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16825" w:lineRule="exact"/>
        <w:rPr/>
      </w:pPr>
      <w:r>
        <w:rPr>
          <w:position w:val="-336"/>
        </w:rPr>
        <w:drawing>
          <wp:inline distT="0" distB="0" distL="0" distR="0">
            <wp:extent cx="7559040" cy="10684282"/>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7559040" cy="10684282"/>
                    </a:xfrm>
                    <a:prstGeom prst="rect">
                      <a:avLst/>
                    </a:prstGeom>
                  </pic:spPr>
                </pic:pic>
              </a:graphicData>
            </a:graphic>
          </wp:inline>
        </w:drawing>
      </w:r>
    </w:p>
    <w:p>
      <w:pPr>
        <w:spacing w:line="16825" w:lineRule="exact"/>
        <w:sectPr>
          <w:headerReference w:type="default" r:id="rId1"/>
          <w:footerReference w:type="default" r:id="rId2"/>
          <w:pgSz w:w="11905" w:h="16839"/>
          <w:pgMar w:top="1" w:right="0" w:bottom="1" w:left="0" w:header="0" w:footer="0" w:gutter="0"/>
        </w:sectPr>
        <w:rPr/>
      </w:pPr>
    </w:p>
    <w:p>
      <w:pPr>
        <w:spacing w:line="16825" w:lineRule="exact"/>
        <w:rPr/>
      </w:pPr>
      <w:r>
        <w:rPr>
          <w:position w:val="-336"/>
        </w:rPr>
        <w:drawing>
          <wp:inline distT="0" distB="0" distL="0" distR="0">
            <wp:extent cx="7559040" cy="10684282"/>
            <wp:effectExtent l="0" t="0" r="0" b="0"/>
            <wp:docPr id="4" name="IM 4"/>
            <wp:cNvGraphicFramePr/>
            <a:graphic>
              <a:graphicData uri="http://schemas.openxmlformats.org/drawingml/2006/picture">
                <pic:pic>
                  <pic:nvPicPr>
                    <pic:cNvPr id="4" name="IM 4"/>
                    <pic:cNvPicPr/>
                  </pic:nvPicPr>
                  <pic:blipFill>
                    <a:blip r:embed="rId4"/>
                    <a:stretch>
                      <a:fillRect/>
                    </a:stretch>
                  </pic:blipFill>
                  <pic:spPr>
                    <a:xfrm rot="0">
                      <a:off x="0" y="0"/>
                      <a:ext cx="7559040" cy="10684282"/>
                    </a:xfrm>
                    <a:prstGeom prst="rect">
                      <a:avLst/>
                    </a:prstGeom>
                  </pic:spPr>
                </pic:pic>
              </a:graphicData>
            </a:graphic>
          </wp:inline>
        </w:drawing>
      </w:r>
    </w:p>
    <w:p>
      <w:pPr>
        <w:spacing w:line="16825" w:lineRule="exact"/>
        <w:sectPr>
          <w:pgSz w:w="11905" w:h="16839"/>
          <w:pgMar w:top="1" w:right="0" w:bottom="1" w:left="0" w:header="0" w:footer="0" w:gutter="0"/>
        </w:sectPr>
        <w:rPr/>
      </w:pP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ind w:left="4516"/>
        <w:spacing w:before="91" w:line="224" w:lineRule="auto"/>
        <w:outlineLvl w:val="0"/>
        <w:rPr>
          <w:rFonts w:ascii="FangSong" w:hAnsi="FangSong" w:eastAsia="FangSong" w:cs="FangSong"/>
          <w:sz w:val="28"/>
          <w:szCs w:val="28"/>
        </w:rPr>
      </w:pPr>
      <w:r>
        <w:rPr>
          <w:rFonts w:ascii="FangSong" w:hAnsi="FangSong" w:eastAsia="FangSong" w:cs="FangSong"/>
          <w:sz w:val="28"/>
          <w:szCs w:val="28"/>
          <w:b/>
          <w:bCs/>
          <w:spacing w:val="-37"/>
        </w:rPr>
        <w:t>目</w:t>
      </w:r>
      <w:r>
        <w:rPr>
          <w:rFonts w:ascii="FangSong" w:hAnsi="FangSong" w:eastAsia="FangSong" w:cs="FangSong"/>
          <w:sz w:val="28"/>
          <w:szCs w:val="28"/>
          <w:spacing w:val="14"/>
        </w:rPr>
        <w:t xml:space="preserve">  </w:t>
      </w:r>
      <w:r>
        <w:rPr>
          <w:rFonts w:ascii="FangSong" w:hAnsi="FangSong" w:eastAsia="FangSong" w:cs="FangSong"/>
          <w:sz w:val="28"/>
          <w:szCs w:val="28"/>
          <w:b/>
          <w:bCs/>
          <w:spacing w:val="-37"/>
        </w:rPr>
        <w:t>录</w:t>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21"/>
            <w:spacing w:before="164" w:line="197" w:lineRule="auto"/>
            <w:tabs>
              <w:tab w:val="right" w:leader="dot" w:pos="9742"/>
            </w:tabs>
            <w:rPr/>
          </w:pPr>
          <w:hyperlink w:history="true" w:anchor="bookmark1">
            <w:r>
              <w:rPr>
                <w:spacing w:val="-1"/>
              </w:rPr>
              <w:t>1</w:t>
            </w:r>
            <w:r>
              <w:rPr>
                <w:spacing w:val="13"/>
              </w:rPr>
              <w:t xml:space="preserve">  </w:t>
            </w:r>
            <w:r>
              <w:rPr>
                <w:rFonts w:ascii="FangSong" w:hAnsi="FangSong" w:eastAsia="FangSong" w:cs="FangSong"/>
                <w:spacing w:val="-1"/>
              </w:rPr>
              <w:t>工作背景</w:t>
            </w:r>
            <w:r>
              <w:rPr>
                <w:rFonts w:ascii="FangSong" w:hAnsi="FangSong" w:eastAsia="FangSong" w:cs="FangSong"/>
                <w:spacing w:val="-57"/>
              </w:rPr>
              <w:t xml:space="preserve"> </w:t>
            </w:r>
            <w:r>
              <w:rPr>
                <w:rFonts w:ascii="FangSong" w:hAnsi="FangSong" w:eastAsia="FangSong" w:cs="FangSong"/>
              </w:rPr>
              <w:tab/>
            </w:r>
            <w:r>
              <w:rPr>
                <w:spacing w:val="-8"/>
              </w:rPr>
              <w:t>-</w:t>
            </w:r>
            <w:r>
              <w:rPr>
                <w:spacing w:val="28"/>
              </w:rPr>
              <w:t xml:space="preserve"> </w:t>
            </w:r>
            <w:r>
              <w:rPr>
                <w:spacing w:val="-8"/>
              </w:rPr>
              <w:t>1</w:t>
            </w:r>
            <w:r>
              <w:rPr>
                <w:spacing w:val="12"/>
                <w:w w:val="101"/>
              </w:rPr>
              <w:t xml:space="preserve"> </w:t>
            </w:r>
            <w:r>
              <w:rPr>
                <w:spacing w:val="-8"/>
              </w:rPr>
              <w:t>-</w:t>
            </w:r>
          </w:hyperlink>
        </w:p>
        <w:p>
          <w:pPr>
            <w:pStyle w:val="BodyText"/>
            <w:ind w:left="441"/>
            <w:spacing w:before="98" w:line="197" w:lineRule="auto"/>
            <w:tabs>
              <w:tab w:val="right" w:leader="dot" w:pos="9742"/>
            </w:tabs>
            <w:rPr/>
          </w:pPr>
          <w:hyperlink w:history="true" w:anchor="bookmark2">
            <w:r>
              <w:rPr>
                <w:spacing w:val="1"/>
              </w:rPr>
              <w:t>1.1</w:t>
            </w:r>
            <w:r>
              <w:rPr>
                <w:spacing w:val="11"/>
              </w:rPr>
              <w:t xml:space="preserve">  </w:t>
            </w:r>
            <w:r>
              <w:rPr>
                <w:rFonts w:ascii="FangSong" w:hAnsi="FangSong" w:eastAsia="FangSong" w:cs="FangSong"/>
                <w:spacing w:val="1"/>
              </w:rPr>
              <w:t>工作由来</w:t>
            </w:r>
            <w:r>
              <w:rPr>
                <w:rFonts w:ascii="FangSong" w:hAnsi="FangSong" w:eastAsia="FangSong" w:cs="FangSong"/>
                <w:spacing w:val="-57"/>
              </w:rPr>
              <w:t xml:space="preserve"> </w:t>
            </w:r>
            <w:r>
              <w:rPr>
                <w:rFonts w:ascii="FangSong" w:hAnsi="FangSong" w:eastAsia="FangSong" w:cs="FangSong"/>
              </w:rPr>
              <w:tab/>
            </w:r>
            <w:r>
              <w:rPr>
                <w:rFonts w:ascii="FangSong" w:hAnsi="FangSong" w:eastAsia="FangSong" w:cs="FangSong"/>
                <w:spacing w:val="-44"/>
              </w:rPr>
              <w:t xml:space="preserve"> </w:t>
            </w:r>
            <w:r>
              <w:rPr>
                <w:spacing w:val="-12"/>
              </w:rPr>
              <w:t>-</w:t>
            </w:r>
            <w:r>
              <w:rPr>
                <w:spacing w:val="27"/>
              </w:rPr>
              <w:t xml:space="preserve"> </w:t>
            </w:r>
            <w:r>
              <w:rPr>
                <w:spacing w:val="-12"/>
              </w:rPr>
              <w:t>1</w:t>
            </w:r>
            <w:r>
              <w:rPr>
                <w:spacing w:val="12"/>
                <w:w w:val="101"/>
              </w:rPr>
              <w:t xml:space="preserve"> </w:t>
            </w:r>
            <w:r>
              <w:rPr>
                <w:spacing w:val="-9"/>
              </w:rPr>
              <w:t>-</w:t>
            </w:r>
          </w:hyperlink>
        </w:p>
        <w:p>
          <w:pPr>
            <w:pStyle w:val="BodyText"/>
            <w:ind w:left="441"/>
            <w:spacing w:before="98" w:line="197" w:lineRule="auto"/>
            <w:tabs>
              <w:tab w:val="right" w:leader="dot" w:pos="9742"/>
            </w:tabs>
            <w:rPr/>
          </w:pPr>
          <w:hyperlink w:history="true" w:anchor="bookmark3">
            <w:r>
              <w:rPr>
                <w:spacing w:val="1"/>
              </w:rPr>
              <w:t>1.2</w:t>
            </w:r>
            <w:r>
              <w:rPr>
                <w:spacing w:val="11"/>
              </w:rPr>
              <w:t xml:space="preserve">  </w:t>
            </w:r>
            <w:r>
              <w:rPr>
                <w:rFonts w:ascii="FangSong" w:hAnsi="FangSong" w:eastAsia="FangSong" w:cs="FangSong"/>
                <w:spacing w:val="1"/>
              </w:rPr>
              <w:t>工作依据</w:t>
            </w:r>
            <w:r>
              <w:rPr>
                <w:rFonts w:ascii="FangSong" w:hAnsi="FangSong" w:eastAsia="FangSong" w:cs="FangSong"/>
                <w:spacing w:val="-57"/>
              </w:rPr>
              <w:t xml:space="preserve"> </w:t>
            </w:r>
            <w:r>
              <w:rPr>
                <w:rFonts w:ascii="FangSong" w:hAnsi="FangSong" w:eastAsia="FangSong" w:cs="FangSong"/>
              </w:rPr>
              <w:tab/>
            </w:r>
            <w:r>
              <w:rPr>
                <w:rFonts w:ascii="FangSong" w:hAnsi="FangSong" w:eastAsia="FangSong" w:cs="FangSong"/>
                <w:spacing w:val="-44"/>
              </w:rPr>
              <w:t xml:space="preserve"> </w:t>
            </w:r>
            <w:r>
              <w:rPr>
                <w:spacing w:val="-12"/>
              </w:rPr>
              <w:t>-</w:t>
            </w:r>
            <w:r>
              <w:rPr>
                <w:spacing w:val="27"/>
              </w:rPr>
              <w:t xml:space="preserve"> </w:t>
            </w:r>
            <w:r>
              <w:rPr>
                <w:spacing w:val="-12"/>
              </w:rPr>
              <w:t>1</w:t>
            </w:r>
            <w:r>
              <w:rPr>
                <w:spacing w:val="12"/>
                <w:w w:val="101"/>
              </w:rPr>
              <w:t xml:space="preserve"> </w:t>
            </w:r>
            <w:r>
              <w:rPr>
                <w:spacing w:val="-9"/>
              </w:rPr>
              <w:t>-</w:t>
            </w:r>
          </w:hyperlink>
        </w:p>
        <w:p>
          <w:pPr>
            <w:pStyle w:val="BodyText"/>
            <w:ind w:left="441"/>
            <w:spacing w:before="98" w:line="197" w:lineRule="auto"/>
            <w:tabs>
              <w:tab w:val="right" w:leader="dot" w:pos="9742"/>
            </w:tabs>
            <w:rPr/>
          </w:pPr>
          <w:hyperlink w:history="true" w:anchor="bookmark4">
            <w:r>
              <w:rPr>
                <w:spacing w:val="4"/>
              </w:rPr>
              <w:t>1.3</w:t>
            </w:r>
            <w:r>
              <w:rPr>
                <w:spacing w:val="16"/>
              </w:rPr>
              <w:t xml:space="preserve">  </w:t>
            </w:r>
            <w:r>
              <w:rPr>
                <w:rFonts w:ascii="FangSong" w:hAnsi="FangSong" w:eastAsia="FangSong" w:cs="FangSong"/>
                <w:spacing w:val="4"/>
              </w:rPr>
              <w:t>工作内容及技术路线</w:t>
            </w:r>
            <w:r>
              <w:rPr>
                <w:rFonts w:ascii="FangSong" w:hAnsi="FangSong" w:eastAsia="FangSong" w:cs="FangSong"/>
                <w:spacing w:val="-59"/>
              </w:rPr>
              <w:t xml:space="preserve"> </w:t>
            </w:r>
            <w:r>
              <w:rPr>
                <w:rFonts w:ascii="FangSong" w:hAnsi="FangSong" w:eastAsia="FangSong" w:cs="FangSong"/>
              </w:rPr>
              <w:tab/>
            </w:r>
            <w:r>
              <w:rPr>
                <w:rFonts w:ascii="FangSong" w:hAnsi="FangSong" w:eastAsia="FangSong" w:cs="FangSong"/>
                <w:spacing w:val="-54"/>
              </w:rPr>
              <w:t xml:space="preserve"> </w:t>
            </w:r>
            <w:r>
              <w:rPr>
                <w:spacing w:val="-4"/>
              </w:rPr>
              <w:t>-</w:t>
            </w:r>
            <w:r>
              <w:rPr>
                <w:spacing w:val="7"/>
              </w:rPr>
              <w:t xml:space="preserve"> </w:t>
            </w:r>
            <w:r>
              <w:rPr>
                <w:spacing w:val="-4"/>
              </w:rPr>
              <w:t>2</w:t>
            </w:r>
            <w:r>
              <w:rPr>
                <w:spacing w:val="12"/>
                <w:w w:val="101"/>
              </w:rPr>
              <w:t xml:space="preserve"> </w:t>
            </w:r>
            <w:r>
              <w:rPr>
                <w:spacing w:val="-4"/>
              </w:rPr>
              <w:t>-</w:t>
            </w:r>
          </w:hyperlink>
        </w:p>
        <w:p>
          <w:pPr>
            <w:pStyle w:val="BodyText"/>
            <w:ind w:left="1"/>
            <w:spacing w:before="98" w:line="197" w:lineRule="auto"/>
            <w:tabs>
              <w:tab w:val="right" w:leader="dot" w:pos="9742"/>
            </w:tabs>
            <w:rPr/>
          </w:pPr>
          <w:hyperlink w:history="true" w:anchor="bookmark5">
            <w:r>
              <w:rPr>
                <w:spacing w:val="4"/>
              </w:rPr>
              <w:t>2</w:t>
            </w:r>
            <w:r>
              <w:rPr>
                <w:spacing w:val="10"/>
              </w:rPr>
              <w:t xml:space="preserve">  </w:t>
            </w:r>
            <w:r>
              <w:rPr>
                <w:rFonts w:ascii="FangSong" w:hAnsi="FangSong" w:eastAsia="FangSong" w:cs="FangSong"/>
                <w:spacing w:val="4"/>
              </w:rPr>
              <w:t>企业概况</w:t>
            </w:r>
            <w:r>
              <w:rPr>
                <w:rFonts w:ascii="FangSong" w:hAnsi="FangSong" w:eastAsia="FangSong" w:cs="FangSong"/>
                <w:spacing w:val="-56"/>
              </w:rPr>
              <w:t xml:space="preserve"> </w:t>
            </w:r>
            <w:r>
              <w:rPr>
                <w:rFonts w:ascii="FangSong" w:hAnsi="FangSong" w:eastAsia="FangSong" w:cs="FangSong"/>
              </w:rPr>
              <w:tab/>
            </w:r>
            <w:r>
              <w:rPr>
                <w:spacing w:val="-2"/>
              </w:rPr>
              <w:t>-</w:t>
            </w:r>
            <w:r>
              <w:rPr>
                <w:spacing w:val="11"/>
              </w:rPr>
              <w:t xml:space="preserve"> </w:t>
            </w:r>
            <w:r>
              <w:rPr>
                <w:spacing w:val="-2"/>
              </w:rPr>
              <w:t>3</w:t>
            </w:r>
            <w:r>
              <w:rPr>
                <w:spacing w:val="12"/>
              </w:rPr>
              <w:t xml:space="preserve"> </w:t>
            </w:r>
            <w:r>
              <w:rPr>
                <w:spacing w:val="-2"/>
              </w:rPr>
              <w:t>-</w:t>
            </w:r>
          </w:hyperlink>
        </w:p>
        <w:p>
          <w:pPr>
            <w:pStyle w:val="BodyText"/>
            <w:ind w:left="421"/>
            <w:spacing w:before="99" w:line="197" w:lineRule="auto"/>
            <w:tabs>
              <w:tab w:val="right" w:leader="dot" w:pos="9742"/>
            </w:tabs>
            <w:rPr/>
          </w:pPr>
          <w:hyperlink w:history="true" w:anchor="bookmark6">
            <w:r>
              <w:rPr>
                <w:spacing w:val="4"/>
              </w:rPr>
              <w:t>2.1</w:t>
            </w:r>
            <w:r>
              <w:rPr>
                <w:spacing w:val="10"/>
              </w:rPr>
              <w:t xml:space="preserve">  </w:t>
            </w:r>
            <w:r>
              <w:rPr>
                <w:rFonts w:ascii="FangSong" w:hAnsi="FangSong" w:eastAsia="FangSong" w:cs="FangSong"/>
                <w:spacing w:val="4"/>
              </w:rPr>
              <w:t>基本情况</w:t>
            </w:r>
            <w:r>
              <w:rPr>
                <w:rFonts w:ascii="FangSong" w:hAnsi="FangSong" w:eastAsia="FangSong" w:cs="FangSong"/>
                <w:spacing w:val="-55"/>
              </w:rPr>
              <w:t xml:space="preserve"> </w:t>
            </w:r>
            <w:r>
              <w:rPr>
                <w:rFonts w:ascii="FangSong" w:hAnsi="FangSong" w:eastAsia="FangSong" w:cs="FangSong"/>
              </w:rPr>
              <w:tab/>
            </w:r>
            <w:r>
              <w:rPr>
                <w:rFonts w:ascii="FangSong" w:hAnsi="FangSong" w:eastAsia="FangSong" w:cs="FangSong"/>
                <w:spacing w:val="-43"/>
              </w:rPr>
              <w:t xml:space="preserve"> </w:t>
            </w:r>
            <w:r>
              <w:rPr>
                <w:spacing w:val="-6"/>
              </w:rPr>
              <w:t>-</w:t>
            </w:r>
            <w:r>
              <w:rPr>
                <w:spacing w:val="11"/>
              </w:rPr>
              <w:t xml:space="preserve"> </w:t>
            </w:r>
            <w:r>
              <w:rPr>
                <w:spacing w:val="-6"/>
              </w:rPr>
              <w:t>3</w:t>
            </w:r>
            <w:r>
              <w:rPr>
                <w:spacing w:val="12"/>
                <w:w w:val="101"/>
              </w:rPr>
              <w:t xml:space="preserve"> </w:t>
            </w:r>
            <w:r>
              <w:rPr>
                <w:spacing w:val="-6"/>
              </w:rPr>
              <w:t>-</w:t>
            </w:r>
          </w:hyperlink>
        </w:p>
        <w:p>
          <w:pPr>
            <w:pStyle w:val="BodyText"/>
            <w:ind w:left="421"/>
            <w:spacing w:before="99" w:line="197" w:lineRule="auto"/>
            <w:tabs>
              <w:tab w:val="right" w:leader="dot" w:pos="9742"/>
            </w:tabs>
            <w:rPr/>
          </w:pPr>
          <w:hyperlink w:history="true" w:anchor="bookmark7">
            <w:r>
              <w:rPr>
                <w:spacing w:val="8"/>
              </w:rPr>
              <w:t>2.2  </w:t>
            </w:r>
            <w:r>
              <w:rPr>
                <w:rFonts w:ascii="FangSong" w:hAnsi="FangSong" w:eastAsia="FangSong" w:cs="FangSong"/>
                <w:spacing w:val="8"/>
              </w:rPr>
              <w:t>企业用地历史、行业分类及经营范围</w:t>
            </w:r>
            <w:r>
              <w:rPr>
                <w:rFonts w:ascii="FangSong" w:hAnsi="FangSong" w:eastAsia="FangSong" w:cs="FangSong"/>
                <w:spacing w:val="-55"/>
              </w:rPr>
              <w:t xml:space="preserve"> </w:t>
            </w:r>
            <w:r>
              <w:rPr>
                <w:rFonts w:ascii="FangSong" w:hAnsi="FangSong" w:eastAsia="FangSong" w:cs="FangSong"/>
              </w:rPr>
              <w:tab/>
            </w:r>
            <w:r>
              <w:rPr>
                <w:rFonts w:ascii="FangSong" w:hAnsi="FangSong" w:eastAsia="FangSong" w:cs="FangSong"/>
                <w:spacing w:val="-69"/>
              </w:rPr>
              <w:t xml:space="preserve"> </w:t>
            </w:r>
            <w:r>
              <w:rPr>
                <w:spacing w:val="-6"/>
              </w:rPr>
              <w:t>-</w:t>
            </w:r>
            <w:r>
              <w:rPr>
                <w:spacing w:val="13"/>
              </w:rPr>
              <w:t xml:space="preserve"> </w:t>
            </w:r>
            <w:r>
              <w:rPr>
                <w:spacing w:val="-6"/>
              </w:rPr>
              <w:t>5</w:t>
            </w:r>
            <w:r>
              <w:rPr>
                <w:spacing w:val="12"/>
                <w:w w:val="101"/>
              </w:rPr>
              <w:t xml:space="preserve"> </w:t>
            </w:r>
            <w:r>
              <w:rPr>
                <w:spacing w:val="-6"/>
              </w:rPr>
              <w:t>-</w:t>
            </w:r>
          </w:hyperlink>
        </w:p>
        <w:p>
          <w:pPr>
            <w:pStyle w:val="BodyText"/>
            <w:ind w:left="421"/>
            <w:spacing w:before="98" w:line="197" w:lineRule="auto"/>
            <w:tabs>
              <w:tab w:val="right" w:leader="dot" w:pos="9742"/>
            </w:tabs>
            <w:rPr/>
          </w:pPr>
          <w:hyperlink w:history="true" w:anchor="bookmark8">
            <w:r>
              <w:rPr>
                <w:spacing w:val="8"/>
              </w:rPr>
              <w:t>2.3  </w:t>
            </w:r>
            <w:r>
              <w:rPr>
                <w:rFonts w:ascii="FangSong" w:hAnsi="FangSong" w:eastAsia="FangSong" w:cs="FangSong"/>
                <w:spacing w:val="8"/>
              </w:rPr>
              <w:t>企业用地已有的环境调查与监测情况</w:t>
            </w:r>
            <w:r>
              <w:rPr>
                <w:rFonts w:ascii="FangSong" w:hAnsi="FangSong" w:eastAsia="FangSong" w:cs="FangSong"/>
                <w:spacing w:val="-55"/>
              </w:rPr>
              <w:t xml:space="preserve"> </w:t>
            </w:r>
            <w:r>
              <w:rPr>
                <w:rFonts w:ascii="FangSong" w:hAnsi="FangSong" w:eastAsia="FangSong" w:cs="FangSong"/>
              </w:rPr>
              <w:tab/>
            </w:r>
            <w:r>
              <w:rPr>
                <w:rFonts w:ascii="FangSong" w:hAnsi="FangSong" w:eastAsia="FangSong" w:cs="FangSong"/>
                <w:spacing w:val="-69"/>
              </w:rPr>
              <w:t xml:space="preserve"> </w:t>
            </w:r>
            <w:r>
              <w:rPr>
                <w:spacing w:val="-7"/>
              </w:rPr>
              <w:t>-</w:t>
            </w:r>
            <w:r>
              <w:rPr>
                <w:spacing w:val="16"/>
              </w:rPr>
              <w:t xml:space="preserve"> </w:t>
            </w:r>
            <w:r>
              <w:rPr>
                <w:spacing w:val="-7"/>
              </w:rPr>
              <w:t>8</w:t>
            </w:r>
            <w:r>
              <w:rPr>
                <w:spacing w:val="12"/>
                <w:w w:val="101"/>
              </w:rPr>
              <w:t xml:space="preserve"> </w:t>
            </w:r>
            <w:r>
              <w:rPr>
                <w:spacing w:val="-7"/>
              </w:rPr>
              <w:t>-</w:t>
            </w:r>
          </w:hyperlink>
        </w:p>
        <w:p>
          <w:pPr>
            <w:pStyle w:val="BodyText"/>
            <w:ind w:left="5"/>
            <w:spacing w:before="99" w:line="197" w:lineRule="auto"/>
            <w:tabs>
              <w:tab w:val="right" w:leader="dot" w:pos="9742"/>
            </w:tabs>
            <w:rPr/>
          </w:pPr>
          <w:hyperlink w:history="true" w:anchor="bookmark9">
            <w:r>
              <w:rPr>
                <w:spacing w:val="3"/>
              </w:rPr>
              <w:t>3</w:t>
            </w:r>
            <w:r>
              <w:rPr>
                <w:spacing w:val="11"/>
              </w:rPr>
              <w:t xml:space="preserve">  </w:t>
            </w:r>
            <w:r>
              <w:rPr>
                <w:rFonts w:ascii="FangSong" w:hAnsi="FangSong" w:eastAsia="FangSong" w:cs="FangSong"/>
                <w:spacing w:val="3"/>
              </w:rPr>
              <w:t>地勘资料</w:t>
            </w:r>
            <w:r>
              <w:rPr>
                <w:rFonts w:ascii="FangSong" w:hAnsi="FangSong" w:eastAsia="FangSong" w:cs="FangSong"/>
                <w:spacing w:val="-57"/>
              </w:rPr>
              <w:t xml:space="preserve"> </w:t>
            </w:r>
            <w:r>
              <w:rPr>
                <w:rFonts w:ascii="FangSong" w:hAnsi="FangSong" w:eastAsia="FangSong" w:cs="FangSong"/>
              </w:rPr>
              <w:tab/>
            </w:r>
            <w:r>
              <w:rPr>
                <w:spacing w:val="-4"/>
              </w:rPr>
              <w:t>-</w:t>
            </w:r>
            <w:r>
              <w:rPr>
                <w:spacing w:val="24"/>
                <w:w w:val="101"/>
              </w:rPr>
              <w:t xml:space="preserve"> </w:t>
            </w:r>
            <w:r>
              <w:rPr>
                <w:spacing w:val="-4"/>
              </w:rPr>
              <w:t>13</w:t>
            </w:r>
            <w:r>
              <w:rPr>
                <w:spacing w:val="12"/>
              </w:rPr>
              <w:t xml:space="preserve"> </w:t>
            </w:r>
            <w:r>
              <w:rPr>
                <w:spacing w:val="-4"/>
              </w:rPr>
              <w:t>-</w:t>
            </w:r>
          </w:hyperlink>
        </w:p>
        <w:p>
          <w:pPr>
            <w:pStyle w:val="BodyText"/>
            <w:ind w:left="425"/>
            <w:spacing w:before="98" w:line="197" w:lineRule="auto"/>
            <w:tabs>
              <w:tab w:val="right" w:leader="dot" w:pos="9742"/>
            </w:tabs>
            <w:rPr/>
          </w:pPr>
          <w:hyperlink w:history="true" w:anchor="bookmark10">
            <w:r>
              <w:rPr>
                <w:spacing w:val="3"/>
              </w:rPr>
              <w:t>3.1</w:t>
            </w:r>
            <w:r>
              <w:rPr>
                <w:spacing w:val="12"/>
              </w:rPr>
              <w:t xml:space="preserve">  </w:t>
            </w:r>
            <w:r>
              <w:rPr>
                <w:rFonts w:ascii="FangSong" w:hAnsi="FangSong" w:eastAsia="FangSong" w:cs="FangSong"/>
                <w:spacing w:val="3"/>
              </w:rPr>
              <w:t>工程地质</w:t>
            </w:r>
            <w:r>
              <w:rPr>
                <w:rFonts w:ascii="FangSong" w:hAnsi="FangSong" w:eastAsia="FangSong" w:cs="FangSong"/>
                <w:spacing w:val="-57"/>
              </w:rPr>
              <w:t xml:space="preserve"> </w:t>
            </w:r>
            <w:r>
              <w:rPr>
                <w:rFonts w:ascii="FangSong" w:hAnsi="FangSong" w:eastAsia="FangSong" w:cs="FangSong"/>
              </w:rPr>
              <w:tab/>
            </w:r>
            <w:r>
              <w:rPr>
                <w:rFonts w:ascii="FangSong" w:hAnsi="FangSong" w:eastAsia="FangSong" w:cs="FangSong"/>
                <w:spacing w:val="-45"/>
              </w:rPr>
              <w:t xml:space="preserve"> </w:t>
            </w:r>
            <w:r>
              <w:rPr>
                <w:spacing w:val="-7"/>
              </w:rPr>
              <w:t>-</w:t>
            </w:r>
            <w:r>
              <w:rPr>
                <w:spacing w:val="27"/>
              </w:rPr>
              <w:t xml:space="preserve"> </w:t>
            </w:r>
            <w:r>
              <w:rPr>
                <w:spacing w:val="-7"/>
              </w:rPr>
              <w:t>13</w:t>
            </w:r>
            <w:r>
              <w:rPr>
                <w:spacing w:val="12"/>
                <w:w w:val="101"/>
              </w:rPr>
              <w:t xml:space="preserve"> </w:t>
            </w:r>
            <w:r>
              <w:rPr>
                <w:spacing w:val="-7"/>
              </w:rPr>
              <w:t>-</w:t>
            </w:r>
          </w:hyperlink>
        </w:p>
        <w:p>
          <w:pPr>
            <w:pStyle w:val="BodyText"/>
            <w:ind w:left="425"/>
            <w:spacing w:before="99" w:line="197" w:lineRule="auto"/>
            <w:tabs>
              <w:tab w:val="right" w:leader="dot" w:pos="9742"/>
            </w:tabs>
            <w:rPr/>
          </w:pPr>
          <w:hyperlink w:history="true" w:anchor="bookmark11">
            <w:r>
              <w:rPr>
                <w:spacing w:val="5"/>
              </w:rPr>
              <w:t>3.2</w:t>
            </w:r>
            <w:r>
              <w:rPr>
                <w:spacing w:val="10"/>
              </w:rPr>
              <w:t xml:space="preserve">  </w:t>
            </w:r>
            <w:r>
              <w:rPr>
                <w:rFonts w:ascii="FangSong" w:hAnsi="FangSong" w:eastAsia="FangSong" w:cs="FangSong"/>
                <w:spacing w:val="5"/>
              </w:rPr>
              <w:t>水文地质信息</w:t>
            </w:r>
            <w:r>
              <w:rPr>
                <w:rFonts w:ascii="FangSong" w:hAnsi="FangSong" w:eastAsia="FangSong" w:cs="FangSong"/>
                <w:spacing w:val="-57"/>
              </w:rPr>
              <w:t xml:space="preserve"> </w:t>
            </w:r>
            <w:r>
              <w:rPr>
                <w:rFonts w:ascii="FangSong" w:hAnsi="FangSong" w:eastAsia="FangSong" w:cs="FangSong"/>
              </w:rPr>
              <w:tab/>
            </w:r>
            <w:r>
              <w:rPr>
                <w:rFonts w:ascii="FangSong" w:hAnsi="FangSong" w:eastAsia="FangSong" w:cs="FangSong"/>
                <w:spacing w:val="-49"/>
              </w:rPr>
              <w:t xml:space="preserve"> </w:t>
            </w:r>
            <w:r>
              <w:rPr>
                <w:spacing w:val="-2"/>
              </w:rPr>
              <w:t>-</w:t>
            </w:r>
            <w:r>
              <w:rPr>
                <w:spacing w:val="7"/>
              </w:rPr>
              <w:t xml:space="preserve"> </w:t>
            </w:r>
            <w:r>
              <w:rPr>
                <w:spacing w:val="-2"/>
              </w:rPr>
              <w:t>20</w:t>
            </w:r>
            <w:r>
              <w:rPr>
                <w:spacing w:val="12"/>
                <w:w w:val="101"/>
              </w:rPr>
              <w:t xml:space="preserve"> </w:t>
            </w:r>
            <w:r>
              <w:rPr>
                <w:spacing w:val="-2"/>
              </w:rPr>
              <w:t>-</w:t>
            </w:r>
          </w:hyperlink>
        </w:p>
        <w:p>
          <w:pPr>
            <w:pStyle w:val="BodyText"/>
            <w:spacing w:before="99" w:line="197" w:lineRule="auto"/>
            <w:tabs>
              <w:tab w:val="right" w:leader="dot" w:pos="9742"/>
            </w:tabs>
            <w:rPr/>
          </w:pPr>
          <w:hyperlink w:history="true" w:anchor="bookmark12">
            <w:r>
              <w:rPr>
                <w:spacing w:val="8"/>
              </w:rPr>
              <w:t>4  </w:t>
            </w:r>
            <w:r>
              <w:rPr>
                <w:rFonts w:ascii="FangSong" w:hAnsi="FangSong" w:eastAsia="FangSong" w:cs="FangSong"/>
                <w:spacing w:val="8"/>
              </w:rPr>
              <w:t>企业生产及污染物防治情况</w:t>
            </w:r>
            <w:r>
              <w:rPr>
                <w:rFonts w:ascii="FangSong" w:hAnsi="FangSong" w:eastAsia="FangSong" w:cs="FangSong"/>
                <w:spacing w:val="-55"/>
              </w:rPr>
              <w:t xml:space="preserve"> </w:t>
            </w:r>
            <w:r>
              <w:rPr>
                <w:rFonts w:ascii="FangSong" w:hAnsi="FangSong" w:eastAsia="FangSong" w:cs="FangSong"/>
              </w:rPr>
              <w:tab/>
            </w:r>
            <w:r>
              <w:rPr>
                <w:rFonts w:ascii="FangSong" w:hAnsi="FangSong" w:eastAsia="FangSong" w:cs="FangSong"/>
                <w:spacing w:val="-53"/>
              </w:rPr>
              <w:t xml:space="preserve"> </w:t>
            </w:r>
            <w:r>
              <w:rPr>
                <w:spacing w:val="-2"/>
              </w:rPr>
              <w:t>-</w:t>
            </w:r>
            <w:r>
              <w:rPr>
                <w:spacing w:val="5"/>
              </w:rPr>
              <w:t xml:space="preserve"> </w:t>
            </w:r>
            <w:r>
              <w:rPr>
                <w:spacing w:val="-2"/>
              </w:rPr>
              <w:t>21</w:t>
            </w:r>
            <w:r>
              <w:rPr>
                <w:spacing w:val="12"/>
                <w:w w:val="101"/>
              </w:rPr>
              <w:t xml:space="preserve"> </w:t>
            </w:r>
            <w:r>
              <w:rPr>
                <w:spacing w:val="-2"/>
              </w:rPr>
              <w:t>-</w:t>
            </w:r>
          </w:hyperlink>
        </w:p>
        <w:p>
          <w:pPr>
            <w:pStyle w:val="BodyText"/>
            <w:ind w:left="420"/>
            <w:spacing w:before="98" w:line="197" w:lineRule="auto"/>
            <w:tabs>
              <w:tab w:val="right" w:leader="dot" w:pos="9742"/>
            </w:tabs>
            <w:rPr/>
          </w:pPr>
          <w:hyperlink w:history="true" w:anchor="bookmark13">
            <w:r>
              <w:rPr>
                <w:spacing w:val="5"/>
              </w:rPr>
              <w:t>4.1</w:t>
            </w:r>
            <w:r>
              <w:rPr>
                <w:spacing w:val="12"/>
                <w:w w:val="101"/>
              </w:rPr>
              <w:t xml:space="preserve">  </w:t>
            </w:r>
            <w:r>
              <w:rPr>
                <w:rFonts w:ascii="FangSong" w:hAnsi="FangSong" w:eastAsia="FangSong" w:cs="FangSong"/>
                <w:spacing w:val="5"/>
              </w:rPr>
              <w:t>企业生产概括</w:t>
            </w:r>
            <w:r>
              <w:rPr>
                <w:rFonts w:ascii="FangSong" w:hAnsi="FangSong" w:eastAsia="FangSong" w:cs="FangSong"/>
                <w:spacing w:val="-56"/>
              </w:rPr>
              <w:t xml:space="preserve"> </w:t>
            </w:r>
            <w:r>
              <w:rPr>
                <w:rFonts w:ascii="FangSong" w:hAnsi="FangSong" w:eastAsia="FangSong" w:cs="FangSong"/>
              </w:rPr>
              <w:tab/>
            </w:r>
            <w:r>
              <w:rPr>
                <w:rFonts w:ascii="FangSong" w:hAnsi="FangSong" w:eastAsia="FangSong" w:cs="FangSong"/>
                <w:spacing w:val="-49"/>
              </w:rPr>
              <w:t xml:space="preserve"> </w:t>
            </w:r>
            <w:r>
              <w:rPr>
                <w:spacing w:val="-2"/>
              </w:rPr>
              <w:t>-</w:t>
            </w:r>
            <w:r>
              <w:rPr>
                <w:spacing w:val="7"/>
              </w:rPr>
              <w:t xml:space="preserve"> </w:t>
            </w:r>
            <w:r>
              <w:rPr>
                <w:spacing w:val="-2"/>
              </w:rPr>
              <w:t>21</w:t>
            </w:r>
            <w:r>
              <w:rPr>
                <w:spacing w:val="12"/>
                <w:w w:val="101"/>
              </w:rPr>
              <w:t xml:space="preserve"> </w:t>
            </w:r>
            <w:r>
              <w:rPr>
                <w:spacing w:val="-2"/>
              </w:rPr>
              <w:t>-</w:t>
            </w:r>
          </w:hyperlink>
        </w:p>
        <w:p>
          <w:pPr>
            <w:pStyle w:val="BodyText"/>
            <w:ind w:left="420"/>
            <w:spacing w:before="99" w:line="197" w:lineRule="auto"/>
            <w:tabs>
              <w:tab w:val="right" w:leader="dot" w:pos="9742"/>
            </w:tabs>
            <w:rPr/>
          </w:pPr>
          <w:hyperlink w:history="true" w:anchor="bookmark14">
            <w:r>
              <w:rPr>
                <w:spacing w:val="5"/>
              </w:rPr>
              <w:t>4.2</w:t>
            </w:r>
            <w:r>
              <w:rPr>
                <w:spacing w:val="12"/>
                <w:w w:val="101"/>
              </w:rPr>
              <w:t xml:space="preserve">  </w:t>
            </w:r>
            <w:r>
              <w:rPr>
                <w:rFonts w:ascii="FangSong" w:hAnsi="FangSong" w:eastAsia="FangSong" w:cs="FangSong"/>
                <w:spacing w:val="5"/>
              </w:rPr>
              <w:t>企业总平面图</w:t>
            </w:r>
            <w:r>
              <w:rPr>
                <w:rFonts w:ascii="FangSong" w:hAnsi="FangSong" w:eastAsia="FangSong" w:cs="FangSong"/>
                <w:spacing w:val="-56"/>
              </w:rPr>
              <w:t xml:space="preserve"> </w:t>
            </w:r>
            <w:r>
              <w:rPr>
                <w:rFonts w:ascii="FangSong" w:hAnsi="FangSong" w:eastAsia="FangSong" w:cs="FangSong"/>
              </w:rPr>
              <w:tab/>
            </w:r>
            <w:r>
              <w:rPr>
                <w:rFonts w:ascii="FangSong" w:hAnsi="FangSong" w:eastAsia="FangSong" w:cs="FangSong"/>
                <w:spacing w:val="-50"/>
              </w:rPr>
              <w:t xml:space="preserve"> </w:t>
            </w:r>
            <w:r>
              <w:rPr>
                <w:spacing w:val="-3"/>
              </w:rPr>
              <w:t>-</w:t>
            </w:r>
            <w:r>
              <w:rPr>
                <w:spacing w:val="12"/>
              </w:rPr>
              <w:t xml:space="preserve"> </w:t>
            </w:r>
            <w:r>
              <w:rPr>
                <w:spacing w:val="-3"/>
              </w:rPr>
              <w:t>32</w:t>
            </w:r>
            <w:r>
              <w:rPr>
                <w:spacing w:val="12"/>
                <w:w w:val="101"/>
              </w:rPr>
              <w:t xml:space="preserve"> </w:t>
            </w:r>
            <w:r>
              <w:rPr>
                <w:spacing w:val="-3"/>
              </w:rPr>
              <w:t>-</w:t>
            </w:r>
          </w:hyperlink>
        </w:p>
        <w:p>
          <w:pPr>
            <w:pStyle w:val="BodyText"/>
            <w:ind w:left="420"/>
            <w:spacing w:before="98" w:line="197" w:lineRule="auto"/>
            <w:tabs>
              <w:tab w:val="right" w:leader="dot" w:pos="9742"/>
            </w:tabs>
            <w:rPr/>
          </w:pPr>
          <w:hyperlink w:history="true" w:anchor="bookmark15">
            <w:r>
              <w:rPr>
                <w:spacing w:val="7"/>
              </w:rPr>
              <w:t>4.3  </w:t>
            </w:r>
            <w:r>
              <w:rPr>
                <w:rFonts w:ascii="FangSong" w:hAnsi="FangSong" w:eastAsia="FangSong" w:cs="FangSong"/>
                <w:spacing w:val="7"/>
              </w:rPr>
              <w:t>各重点场所、重点设施设备情况</w:t>
            </w:r>
            <w:r>
              <w:rPr>
                <w:rFonts w:ascii="FangSong" w:hAnsi="FangSong" w:eastAsia="FangSong" w:cs="FangSong"/>
                <w:spacing w:val="-39"/>
              </w:rPr>
              <w:t xml:space="preserve"> </w:t>
            </w:r>
            <w:r>
              <w:rPr>
                <w:rFonts w:ascii="FangSong" w:hAnsi="FangSong" w:eastAsia="FangSong" w:cs="FangSong"/>
              </w:rPr>
              <w:tab/>
            </w:r>
            <w:r>
              <w:rPr>
                <w:rFonts w:ascii="FangSong" w:hAnsi="FangSong" w:eastAsia="FangSong" w:cs="FangSong"/>
                <w:spacing w:val="-66"/>
              </w:rPr>
              <w:t xml:space="preserve"> </w:t>
            </w:r>
            <w:r>
              <w:rPr>
                <w:spacing w:val="-3"/>
              </w:rPr>
              <w:t>-</w:t>
            </w:r>
            <w:r>
              <w:rPr>
                <w:spacing w:val="12"/>
              </w:rPr>
              <w:t xml:space="preserve"> </w:t>
            </w:r>
            <w:r>
              <w:rPr>
                <w:spacing w:val="-3"/>
              </w:rPr>
              <w:t>33</w:t>
            </w:r>
            <w:r>
              <w:rPr>
                <w:spacing w:val="12"/>
                <w:w w:val="101"/>
              </w:rPr>
              <w:t xml:space="preserve"> </w:t>
            </w:r>
            <w:r>
              <w:rPr>
                <w:spacing w:val="-3"/>
              </w:rPr>
              <w:t>-</w:t>
            </w:r>
          </w:hyperlink>
        </w:p>
        <w:p>
          <w:pPr>
            <w:pStyle w:val="BodyText"/>
            <w:ind w:left="6"/>
            <w:spacing w:before="99" w:line="197" w:lineRule="auto"/>
            <w:tabs>
              <w:tab w:val="right" w:leader="dot" w:pos="9742"/>
            </w:tabs>
            <w:rPr/>
          </w:pPr>
          <w:hyperlink w:history="true" w:anchor="bookmark16">
            <w:r>
              <w:rPr>
                <w:spacing w:val="7"/>
              </w:rPr>
              <w:t>5  </w:t>
            </w:r>
            <w:r>
              <w:rPr>
                <w:rFonts w:ascii="FangSong" w:hAnsi="FangSong" w:eastAsia="FangSong" w:cs="FangSong"/>
                <w:spacing w:val="7"/>
              </w:rPr>
              <w:t>重点监测单元识别与分类</w:t>
            </w:r>
            <w:r>
              <w:rPr>
                <w:rFonts w:ascii="FangSong" w:hAnsi="FangSong" w:eastAsia="FangSong" w:cs="FangSong"/>
                <w:spacing w:val="-48"/>
              </w:rPr>
              <w:t xml:space="preserve"> </w:t>
            </w:r>
            <w:r>
              <w:rPr>
                <w:rFonts w:ascii="FangSong" w:hAnsi="FangSong" w:eastAsia="FangSong" w:cs="FangSong"/>
              </w:rPr>
              <w:tab/>
            </w:r>
            <w:r>
              <w:rPr>
                <w:rFonts w:ascii="FangSong" w:hAnsi="FangSong" w:eastAsia="FangSong" w:cs="FangSong"/>
                <w:spacing w:val="-52"/>
              </w:rPr>
              <w:t xml:space="preserve"> </w:t>
            </w:r>
            <w:r>
              <w:rPr>
                <w:spacing w:val="-3"/>
              </w:rPr>
              <w:t>-</w:t>
            </w:r>
            <w:r>
              <w:rPr>
                <w:spacing w:val="9"/>
              </w:rPr>
              <w:t xml:space="preserve"> </w:t>
            </w:r>
            <w:r>
              <w:rPr>
                <w:spacing w:val="-3"/>
              </w:rPr>
              <w:t>37</w:t>
            </w:r>
            <w:r>
              <w:rPr>
                <w:spacing w:val="12"/>
                <w:w w:val="101"/>
              </w:rPr>
              <w:t xml:space="preserve"> </w:t>
            </w:r>
            <w:r>
              <w:rPr>
                <w:spacing w:val="-3"/>
              </w:rPr>
              <w:t>-</w:t>
            </w:r>
          </w:hyperlink>
        </w:p>
        <w:p>
          <w:pPr>
            <w:pStyle w:val="BodyText"/>
            <w:ind w:left="426"/>
            <w:spacing w:before="98" w:line="197" w:lineRule="auto"/>
            <w:tabs>
              <w:tab w:val="right" w:leader="dot" w:pos="9742"/>
            </w:tabs>
            <w:rPr/>
          </w:pPr>
          <w:hyperlink w:history="true" w:anchor="bookmark17">
            <w:r>
              <w:rPr>
                <w:spacing w:val="4"/>
              </w:rPr>
              <w:t>5.1</w:t>
            </w:r>
            <w:r>
              <w:rPr>
                <w:spacing w:val="13"/>
                <w:w w:val="101"/>
              </w:rPr>
              <w:t xml:space="preserve">  </w:t>
            </w:r>
            <w:r>
              <w:rPr>
                <w:rFonts w:ascii="FangSong" w:hAnsi="FangSong" w:eastAsia="FangSong" w:cs="FangSong"/>
                <w:spacing w:val="4"/>
              </w:rPr>
              <w:t>重点单元情况</w:t>
            </w:r>
            <w:r>
              <w:rPr>
                <w:rFonts w:ascii="FangSong" w:hAnsi="FangSong" w:eastAsia="FangSong" w:cs="FangSong"/>
                <w:spacing w:val="-56"/>
              </w:rPr>
              <w:t xml:space="preserve"> </w:t>
            </w:r>
            <w:r>
              <w:rPr>
                <w:rFonts w:ascii="FangSong" w:hAnsi="FangSong" w:eastAsia="FangSong" w:cs="FangSong"/>
              </w:rPr>
              <w:tab/>
            </w:r>
            <w:r>
              <w:rPr>
                <w:rFonts w:ascii="FangSong" w:hAnsi="FangSong" w:eastAsia="FangSong" w:cs="FangSong"/>
                <w:spacing w:val="-50"/>
              </w:rPr>
              <w:t xml:space="preserve"> </w:t>
            </w:r>
            <w:r>
              <w:rPr>
                <w:spacing w:val="-3"/>
              </w:rPr>
              <w:t>-</w:t>
            </w:r>
            <w:r>
              <w:rPr>
                <w:spacing w:val="12"/>
              </w:rPr>
              <w:t xml:space="preserve"> </w:t>
            </w:r>
            <w:r>
              <w:rPr>
                <w:spacing w:val="-3"/>
              </w:rPr>
              <w:t>37</w:t>
            </w:r>
            <w:r>
              <w:rPr>
                <w:spacing w:val="12"/>
                <w:w w:val="101"/>
              </w:rPr>
              <w:t xml:space="preserve"> </w:t>
            </w:r>
            <w:r>
              <w:rPr>
                <w:spacing w:val="-3"/>
              </w:rPr>
              <w:t>-</w:t>
            </w:r>
          </w:hyperlink>
        </w:p>
        <w:p>
          <w:pPr>
            <w:pStyle w:val="BodyText"/>
            <w:ind w:left="426"/>
            <w:spacing w:before="99" w:line="197" w:lineRule="auto"/>
            <w:tabs>
              <w:tab w:val="right" w:leader="dot" w:pos="9742"/>
            </w:tabs>
            <w:rPr/>
          </w:pPr>
          <w:hyperlink w:history="true" w:anchor="bookmark18">
            <w:r>
              <w:rPr>
                <w:spacing w:val="7"/>
              </w:rPr>
              <w:t>5.2  </w:t>
            </w:r>
            <w:r>
              <w:rPr>
                <w:rFonts w:ascii="FangSong" w:hAnsi="FangSong" w:eastAsia="FangSong" w:cs="FangSong"/>
                <w:spacing w:val="7"/>
              </w:rPr>
              <w:t>重点单元识别、分类结果及原因</w:t>
            </w:r>
            <w:r>
              <w:rPr>
                <w:rFonts w:ascii="FangSong" w:hAnsi="FangSong" w:eastAsia="FangSong" w:cs="FangSong"/>
                <w:spacing w:val="-46"/>
              </w:rPr>
              <w:t xml:space="preserve"> </w:t>
            </w:r>
            <w:r>
              <w:rPr>
                <w:rFonts w:ascii="FangSong" w:hAnsi="FangSong" w:eastAsia="FangSong" w:cs="FangSong"/>
              </w:rPr>
              <w:tab/>
            </w:r>
            <w:r>
              <w:rPr>
                <w:rFonts w:ascii="FangSong" w:hAnsi="FangSong" w:eastAsia="FangSong" w:cs="FangSong"/>
                <w:spacing w:val="-66"/>
              </w:rPr>
              <w:t xml:space="preserve"> </w:t>
            </w:r>
            <w:r>
              <w:rPr>
                <w:spacing w:val="-3"/>
              </w:rPr>
              <w:t>-</w:t>
            </w:r>
            <w:r>
              <w:rPr>
                <w:spacing w:val="12"/>
              </w:rPr>
              <w:t xml:space="preserve"> </w:t>
            </w:r>
            <w:r>
              <w:rPr>
                <w:spacing w:val="-3"/>
              </w:rPr>
              <w:t>39</w:t>
            </w:r>
            <w:r>
              <w:rPr>
                <w:spacing w:val="12"/>
                <w:w w:val="101"/>
              </w:rPr>
              <w:t xml:space="preserve"> </w:t>
            </w:r>
            <w:r>
              <w:rPr>
                <w:spacing w:val="-3"/>
              </w:rPr>
              <w:t>-</w:t>
            </w:r>
          </w:hyperlink>
        </w:p>
        <w:p>
          <w:pPr>
            <w:pStyle w:val="BodyText"/>
            <w:ind w:left="426"/>
            <w:spacing w:before="99" w:line="197" w:lineRule="auto"/>
            <w:tabs>
              <w:tab w:val="right" w:leader="dot" w:pos="9742"/>
            </w:tabs>
            <w:rPr/>
          </w:pPr>
          <w:hyperlink w:history="true" w:anchor="bookmark19">
            <w:r>
              <w:rPr>
                <w:spacing w:val="4"/>
              </w:rPr>
              <w:t>5.3</w:t>
            </w:r>
            <w:r>
              <w:rPr>
                <w:spacing w:val="11"/>
              </w:rPr>
              <w:t xml:space="preserve">  </w:t>
            </w:r>
            <w:r>
              <w:rPr>
                <w:rFonts w:ascii="FangSong" w:hAnsi="FangSong" w:eastAsia="FangSong" w:cs="FangSong"/>
                <w:spacing w:val="4"/>
              </w:rPr>
              <w:t>关注污染物</w:t>
            </w:r>
            <w:r>
              <w:rPr>
                <w:rFonts w:ascii="FangSong" w:hAnsi="FangSong" w:eastAsia="FangSong" w:cs="FangSong"/>
                <w:spacing w:val="-58"/>
              </w:rPr>
              <w:t xml:space="preserve"> </w:t>
            </w:r>
            <w:r>
              <w:rPr>
                <w:rFonts w:ascii="FangSong" w:hAnsi="FangSong" w:eastAsia="FangSong" w:cs="FangSong"/>
              </w:rPr>
              <w:tab/>
            </w:r>
            <w:r>
              <w:rPr>
                <w:rFonts w:ascii="FangSong" w:hAnsi="FangSong" w:eastAsia="FangSong" w:cs="FangSong"/>
                <w:spacing w:val="-45"/>
              </w:rPr>
              <w:t xml:space="preserve"> </w:t>
            </w:r>
            <w:r>
              <w:rPr>
                <w:spacing w:val="-2"/>
              </w:rPr>
              <w:t>-</w:t>
            </w:r>
            <w:r>
              <w:rPr>
                <w:spacing w:val="6"/>
              </w:rPr>
              <w:t xml:space="preserve"> </w:t>
            </w:r>
            <w:r>
              <w:rPr>
                <w:spacing w:val="-2"/>
              </w:rPr>
              <w:t>41</w:t>
            </w:r>
            <w:r>
              <w:rPr>
                <w:spacing w:val="12"/>
                <w:w w:val="101"/>
              </w:rPr>
              <w:t xml:space="preserve"> </w:t>
            </w:r>
            <w:r>
              <w:rPr>
                <w:spacing w:val="-2"/>
              </w:rPr>
              <w:t>-</w:t>
            </w:r>
          </w:hyperlink>
        </w:p>
        <w:p>
          <w:pPr>
            <w:pStyle w:val="BodyText"/>
            <w:ind w:left="5"/>
            <w:spacing w:before="98" w:line="197" w:lineRule="auto"/>
            <w:tabs>
              <w:tab w:val="right" w:leader="dot" w:pos="9742"/>
            </w:tabs>
            <w:rPr/>
          </w:pPr>
          <w:hyperlink w:history="true" w:anchor="bookmark20">
            <w:r>
              <w:rPr>
                <w:spacing w:val="5"/>
              </w:rPr>
              <w:t>6</w:t>
            </w:r>
            <w:r>
              <w:rPr>
                <w:spacing w:val="15"/>
                <w:w w:val="101"/>
              </w:rPr>
              <w:t xml:space="preserve">  </w:t>
            </w:r>
            <w:r>
              <w:rPr>
                <w:rFonts w:ascii="FangSong" w:hAnsi="FangSong" w:eastAsia="FangSong" w:cs="FangSong"/>
                <w:spacing w:val="5"/>
              </w:rPr>
              <w:t>监测点位布设方案</w:t>
            </w:r>
            <w:r>
              <w:rPr>
                <w:rFonts w:ascii="FangSong" w:hAnsi="FangSong" w:eastAsia="FangSong" w:cs="FangSong"/>
                <w:spacing w:val="-56"/>
              </w:rPr>
              <w:t xml:space="preserve"> </w:t>
            </w:r>
            <w:r>
              <w:rPr>
                <w:rFonts w:ascii="FangSong" w:hAnsi="FangSong" w:eastAsia="FangSong" w:cs="FangSong"/>
              </w:rPr>
              <w:tab/>
            </w:r>
            <w:r>
              <w:rPr>
                <w:rFonts w:ascii="FangSong" w:hAnsi="FangSong" w:eastAsia="FangSong" w:cs="FangSong"/>
                <w:spacing w:val="-44"/>
              </w:rPr>
              <w:t xml:space="preserve"> </w:t>
            </w:r>
            <w:r>
              <w:rPr>
                <w:spacing w:val="-2"/>
              </w:rPr>
              <w:t>-</w:t>
            </w:r>
            <w:r>
              <w:rPr>
                <w:spacing w:val="4"/>
              </w:rPr>
              <w:t xml:space="preserve"> </w:t>
            </w:r>
            <w:r>
              <w:rPr>
                <w:spacing w:val="-2"/>
              </w:rPr>
              <w:t>42</w:t>
            </w:r>
            <w:r>
              <w:rPr>
                <w:spacing w:val="12"/>
                <w:w w:val="101"/>
              </w:rPr>
              <w:t xml:space="preserve"> </w:t>
            </w:r>
            <w:r>
              <w:rPr>
                <w:spacing w:val="-2"/>
              </w:rPr>
              <w:t>-</w:t>
            </w:r>
          </w:hyperlink>
        </w:p>
        <w:p>
          <w:pPr>
            <w:pStyle w:val="BodyText"/>
            <w:ind w:left="425"/>
            <w:spacing w:before="99" w:line="197" w:lineRule="auto"/>
            <w:tabs>
              <w:tab w:val="right" w:leader="dot" w:pos="9742"/>
            </w:tabs>
            <w:rPr/>
          </w:pPr>
          <w:hyperlink w:history="true" w:anchor="bookmark21">
            <w:r>
              <w:rPr>
                <w:spacing w:val="7"/>
              </w:rPr>
              <w:t>6.1  </w:t>
            </w:r>
            <w:r>
              <w:rPr>
                <w:rFonts w:ascii="FangSong" w:hAnsi="FangSong" w:eastAsia="FangSong" w:cs="FangSong"/>
                <w:spacing w:val="7"/>
              </w:rPr>
              <w:t>重点单元监测点、监测井布设</w:t>
            </w:r>
            <w:r>
              <w:rPr>
                <w:rFonts w:ascii="FangSong" w:hAnsi="FangSong" w:eastAsia="FangSong" w:cs="FangSong"/>
                <w:spacing w:val="-49"/>
              </w:rPr>
              <w:t xml:space="preserve"> </w:t>
            </w:r>
            <w:r>
              <w:rPr>
                <w:rFonts w:ascii="FangSong" w:hAnsi="FangSong" w:eastAsia="FangSong" w:cs="FangSong"/>
              </w:rPr>
              <w:tab/>
            </w:r>
            <w:r>
              <w:rPr>
                <w:rFonts w:ascii="FangSong" w:hAnsi="FangSong" w:eastAsia="FangSong" w:cs="FangSong"/>
                <w:spacing w:val="-61"/>
              </w:rPr>
              <w:t xml:space="preserve"> </w:t>
            </w:r>
            <w:r>
              <w:rPr>
                <w:spacing w:val="-2"/>
              </w:rPr>
              <w:t>-</w:t>
            </w:r>
            <w:r>
              <w:rPr>
                <w:spacing w:val="6"/>
              </w:rPr>
              <w:t xml:space="preserve"> </w:t>
            </w:r>
            <w:r>
              <w:rPr>
                <w:spacing w:val="-2"/>
              </w:rPr>
              <w:t>42</w:t>
            </w:r>
            <w:r>
              <w:rPr>
                <w:spacing w:val="12"/>
                <w:w w:val="101"/>
              </w:rPr>
              <w:t xml:space="preserve"> </w:t>
            </w:r>
            <w:r>
              <w:rPr>
                <w:spacing w:val="-2"/>
              </w:rPr>
              <w:t>-</w:t>
            </w:r>
          </w:hyperlink>
        </w:p>
        <w:p>
          <w:pPr>
            <w:pStyle w:val="BodyText"/>
            <w:ind w:left="425"/>
            <w:spacing w:before="98" w:line="197" w:lineRule="auto"/>
            <w:tabs>
              <w:tab w:val="right" w:leader="dot" w:pos="9742"/>
            </w:tabs>
            <w:rPr/>
          </w:pPr>
          <w:hyperlink w:history="true" w:anchor="bookmark22">
            <w:r>
              <w:rPr>
                <w:spacing w:val="6"/>
              </w:rPr>
              <w:t>6.2  </w:t>
            </w:r>
            <w:r>
              <w:rPr>
                <w:rFonts w:ascii="FangSong" w:hAnsi="FangSong" w:eastAsia="FangSong" w:cs="FangSong"/>
                <w:spacing w:val="6"/>
              </w:rPr>
              <w:t>各点位布设原因</w:t>
            </w:r>
            <w:r>
              <w:rPr>
                <w:rFonts w:ascii="FangSong" w:hAnsi="FangSong" w:eastAsia="FangSong" w:cs="FangSong"/>
                <w:spacing w:val="-55"/>
              </w:rPr>
              <w:t xml:space="preserve"> </w:t>
            </w:r>
            <w:r>
              <w:rPr>
                <w:rFonts w:ascii="FangSong" w:hAnsi="FangSong" w:eastAsia="FangSong" w:cs="FangSong"/>
              </w:rPr>
              <w:tab/>
            </w:r>
            <w:r>
              <w:rPr>
                <w:rFonts w:ascii="FangSong" w:hAnsi="FangSong" w:eastAsia="FangSong" w:cs="FangSong"/>
                <w:spacing w:val="-49"/>
              </w:rPr>
              <w:t xml:space="preserve"> </w:t>
            </w:r>
            <w:r>
              <w:rPr>
                <w:spacing w:val="-2"/>
              </w:rPr>
              <w:t>-</w:t>
            </w:r>
            <w:r>
              <w:rPr>
                <w:spacing w:val="6"/>
              </w:rPr>
              <w:t xml:space="preserve"> </w:t>
            </w:r>
            <w:r>
              <w:rPr>
                <w:spacing w:val="-2"/>
              </w:rPr>
              <w:t>43</w:t>
            </w:r>
            <w:r>
              <w:rPr>
                <w:spacing w:val="12"/>
                <w:w w:val="101"/>
              </w:rPr>
              <w:t xml:space="preserve"> </w:t>
            </w:r>
            <w:r>
              <w:rPr>
                <w:spacing w:val="-2"/>
              </w:rPr>
              <w:t>-</w:t>
            </w:r>
          </w:hyperlink>
        </w:p>
        <w:p>
          <w:pPr>
            <w:pStyle w:val="BodyText"/>
            <w:ind w:left="425"/>
            <w:spacing w:before="99" w:line="197" w:lineRule="auto"/>
            <w:tabs>
              <w:tab w:val="right" w:leader="dot" w:pos="9742"/>
            </w:tabs>
            <w:rPr/>
          </w:pPr>
          <w:hyperlink w:history="true" w:anchor="bookmark23">
            <w:r>
              <w:rPr>
                <w:spacing w:val="7"/>
              </w:rPr>
              <w:t>6.3  </w:t>
            </w:r>
            <w:r>
              <w:rPr>
                <w:rFonts w:ascii="FangSong" w:hAnsi="FangSong" w:eastAsia="FangSong" w:cs="FangSong"/>
                <w:spacing w:val="7"/>
              </w:rPr>
              <w:t>各点位监测指标及选取原因</w:t>
            </w:r>
            <w:r>
              <w:rPr>
                <w:rFonts w:ascii="FangSong" w:hAnsi="FangSong" w:eastAsia="FangSong" w:cs="FangSong"/>
                <w:spacing w:val="-51"/>
              </w:rPr>
              <w:t xml:space="preserve"> </w:t>
            </w:r>
            <w:r>
              <w:rPr>
                <w:rFonts w:ascii="FangSong" w:hAnsi="FangSong" w:eastAsia="FangSong" w:cs="FangSong"/>
              </w:rPr>
              <w:tab/>
            </w:r>
            <w:r>
              <w:rPr>
                <w:rFonts w:ascii="FangSong" w:hAnsi="FangSong" w:eastAsia="FangSong" w:cs="FangSong"/>
                <w:spacing w:val="-60"/>
              </w:rPr>
              <w:t xml:space="preserve"> </w:t>
            </w:r>
            <w:r>
              <w:rPr>
                <w:spacing w:val="-2"/>
              </w:rPr>
              <w:t>-</w:t>
            </w:r>
            <w:r>
              <w:rPr>
                <w:spacing w:val="6"/>
              </w:rPr>
              <w:t xml:space="preserve"> </w:t>
            </w:r>
            <w:r>
              <w:rPr>
                <w:spacing w:val="-2"/>
              </w:rPr>
              <w:t>44</w:t>
            </w:r>
            <w:r>
              <w:rPr>
                <w:spacing w:val="12"/>
                <w:w w:val="101"/>
              </w:rPr>
              <w:t xml:space="preserve"> </w:t>
            </w:r>
            <w:r>
              <w:rPr>
                <w:spacing w:val="-2"/>
              </w:rPr>
              <w:t>-</w:t>
            </w:r>
          </w:hyperlink>
        </w:p>
        <w:p>
          <w:pPr>
            <w:pStyle w:val="BodyText"/>
            <w:ind w:left="425"/>
            <w:spacing w:before="99" w:line="197" w:lineRule="auto"/>
            <w:tabs>
              <w:tab w:val="right" w:leader="dot" w:pos="9742"/>
            </w:tabs>
            <w:rPr/>
          </w:pPr>
          <w:hyperlink w:history="true" w:anchor="bookmark24">
            <w:r>
              <w:rPr>
                <w:spacing w:val="3"/>
              </w:rPr>
              <w:t>6.4</w:t>
            </w:r>
            <w:r>
              <w:rPr>
                <w:spacing w:val="11"/>
              </w:rPr>
              <w:t xml:space="preserve">  </w:t>
            </w:r>
            <w:r>
              <w:rPr>
                <w:rFonts w:ascii="FangSong" w:hAnsi="FangSong" w:eastAsia="FangSong" w:cs="FangSong"/>
                <w:spacing w:val="3"/>
              </w:rPr>
              <w:t>监测频次</w:t>
            </w:r>
            <w:r>
              <w:rPr>
                <w:rFonts w:ascii="FangSong" w:hAnsi="FangSong" w:eastAsia="FangSong" w:cs="FangSong"/>
                <w:spacing w:val="-55"/>
              </w:rPr>
              <w:t xml:space="preserve"> </w:t>
            </w:r>
            <w:r>
              <w:rPr>
                <w:rFonts w:ascii="FangSong" w:hAnsi="FangSong" w:eastAsia="FangSong" w:cs="FangSong"/>
              </w:rPr>
              <w:tab/>
            </w:r>
            <w:r>
              <w:rPr>
                <w:rFonts w:ascii="FangSong" w:hAnsi="FangSong" w:eastAsia="FangSong" w:cs="FangSong"/>
                <w:spacing w:val="-44"/>
              </w:rPr>
              <w:t xml:space="preserve"> </w:t>
            </w:r>
            <w:r>
              <w:rPr>
                <w:spacing w:val="-2"/>
              </w:rPr>
              <w:t>-</w:t>
            </w:r>
            <w:r>
              <w:rPr>
                <w:spacing w:val="6"/>
              </w:rPr>
              <w:t xml:space="preserve"> </w:t>
            </w:r>
            <w:r>
              <w:rPr>
                <w:spacing w:val="-2"/>
              </w:rPr>
              <w:t>45</w:t>
            </w:r>
            <w:r>
              <w:rPr>
                <w:spacing w:val="12"/>
                <w:w w:val="101"/>
              </w:rPr>
              <w:t xml:space="preserve"> </w:t>
            </w:r>
            <w:r>
              <w:rPr>
                <w:spacing w:val="-2"/>
              </w:rPr>
              <w:t>-</w:t>
            </w:r>
          </w:hyperlink>
        </w:p>
        <w:p>
          <w:pPr>
            <w:pStyle w:val="BodyText"/>
            <w:ind w:left="4"/>
            <w:spacing w:before="98" w:line="197" w:lineRule="auto"/>
            <w:tabs>
              <w:tab w:val="right" w:leader="dot" w:pos="9742"/>
            </w:tabs>
            <w:rPr/>
          </w:pPr>
          <w:hyperlink w:history="true" w:anchor="bookmark25">
            <w:r>
              <w:rPr>
                <w:spacing w:val="8"/>
              </w:rPr>
              <w:t>7  </w:t>
            </w:r>
            <w:r>
              <w:rPr>
                <w:rFonts w:ascii="FangSong" w:hAnsi="FangSong" w:eastAsia="FangSong" w:cs="FangSong"/>
                <w:spacing w:val="8"/>
              </w:rPr>
              <w:t>样品采集、保存、流转与制备</w:t>
            </w:r>
            <w:r>
              <w:rPr>
                <w:rFonts w:ascii="FangSong" w:hAnsi="FangSong" w:eastAsia="FangSong" w:cs="FangSong"/>
                <w:spacing w:val="-56"/>
              </w:rPr>
              <w:t xml:space="preserve"> </w:t>
            </w:r>
            <w:r>
              <w:rPr>
                <w:rFonts w:ascii="FangSong" w:hAnsi="FangSong" w:eastAsia="FangSong" w:cs="FangSong"/>
              </w:rPr>
              <w:tab/>
            </w:r>
            <w:r>
              <w:rPr>
                <w:rFonts w:ascii="FangSong" w:hAnsi="FangSong" w:eastAsia="FangSong" w:cs="FangSong"/>
                <w:spacing w:val="-55"/>
              </w:rPr>
              <w:t xml:space="preserve"> </w:t>
            </w:r>
            <w:r>
              <w:rPr>
                <w:spacing w:val="-2"/>
              </w:rPr>
              <w:t>-</w:t>
            </w:r>
            <w:r>
              <w:rPr>
                <w:spacing w:val="4"/>
              </w:rPr>
              <w:t xml:space="preserve"> </w:t>
            </w:r>
            <w:r>
              <w:rPr>
                <w:spacing w:val="-2"/>
              </w:rPr>
              <w:t>46</w:t>
            </w:r>
            <w:r>
              <w:rPr>
                <w:spacing w:val="12"/>
                <w:w w:val="101"/>
              </w:rPr>
              <w:t xml:space="preserve"> </w:t>
            </w:r>
            <w:r>
              <w:rPr>
                <w:spacing w:val="-2"/>
              </w:rPr>
              <w:t>-</w:t>
            </w:r>
          </w:hyperlink>
        </w:p>
        <w:p>
          <w:pPr>
            <w:pStyle w:val="BodyText"/>
            <w:ind w:left="424"/>
            <w:spacing w:before="99" w:line="197" w:lineRule="auto"/>
            <w:tabs>
              <w:tab w:val="right" w:leader="dot" w:pos="9742"/>
            </w:tabs>
            <w:rPr/>
          </w:pPr>
          <w:hyperlink w:history="true" w:anchor="bookmark26">
            <w:r>
              <w:rPr>
                <w:spacing w:val="7"/>
              </w:rPr>
              <w:t>7.1  </w:t>
            </w:r>
            <w:r>
              <w:rPr>
                <w:rFonts w:ascii="FangSong" w:hAnsi="FangSong" w:eastAsia="FangSong" w:cs="FangSong"/>
                <w:spacing w:val="7"/>
              </w:rPr>
              <w:t>现场采样位置、数量和深度</w:t>
            </w:r>
            <w:r>
              <w:rPr>
                <w:rFonts w:ascii="FangSong" w:hAnsi="FangSong" w:eastAsia="FangSong" w:cs="FangSong"/>
                <w:spacing w:val="-50"/>
              </w:rPr>
              <w:t xml:space="preserve"> </w:t>
            </w:r>
            <w:r>
              <w:rPr>
                <w:rFonts w:ascii="FangSong" w:hAnsi="FangSong" w:eastAsia="FangSong" w:cs="FangSong"/>
              </w:rPr>
              <w:tab/>
            </w:r>
            <w:r>
              <w:rPr>
                <w:rFonts w:ascii="FangSong" w:hAnsi="FangSong" w:eastAsia="FangSong" w:cs="FangSong"/>
                <w:spacing w:val="-60"/>
              </w:rPr>
              <w:t xml:space="preserve"> </w:t>
            </w:r>
            <w:r>
              <w:rPr>
                <w:spacing w:val="-2"/>
              </w:rPr>
              <w:t>-</w:t>
            </w:r>
            <w:r>
              <w:rPr>
                <w:spacing w:val="6"/>
              </w:rPr>
              <w:t xml:space="preserve"> </w:t>
            </w:r>
            <w:r>
              <w:rPr>
                <w:spacing w:val="-2"/>
              </w:rPr>
              <w:t>46</w:t>
            </w:r>
            <w:r>
              <w:rPr>
                <w:spacing w:val="12"/>
                <w:w w:val="101"/>
              </w:rPr>
              <w:t xml:space="preserve"> </w:t>
            </w:r>
            <w:r>
              <w:rPr>
                <w:spacing w:val="-2"/>
              </w:rPr>
              <w:t>-</w:t>
            </w:r>
          </w:hyperlink>
        </w:p>
        <w:p>
          <w:pPr>
            <w:pStyle w:val="BodyText"/>
            <w:ind w:left="424"/>
            <w:spacing w:before="98" w:line="197" w:lineRule="auto"/>
            <w:tabs>
              <w:tab w:val="right" w:leader="dot" w:pos="9742"/>
            </w:tabs>
            <w:rPr/>
          </w:pPr>
          <w:hyperlink w:history="true" w:anchor="bookmark27">
            <w:r>
              <w:rPr>
                <w:spacing w:val="5"/>
              </w:rPr>
              <w:t>7.2</w:t>
            </w:r>
            <w:r>
              <w:rPr>
                <w:spacing w:val="13"/>
                <w:w w:val="101"/>
              </w:rPr>
              <w:t xml:space="preserve">  </w:t>
            </w:r>
            <w:r>
              <w:rPr>
                <w:rFonts w:ascii="FangSong" w:hAnsi="FangSong" w:eastAsia="FangSong" w:cs="FangSong"/>
                <w:spacing w:val="5"/>
              </w:rPr>
              <w:t>采样方法及程序</w:t>
            </w:r>
            <w:r>
              <w:rPr>
                <w:rFonts w:ascii="FangSong" w:hAnsi="FangSong" w:eastAsia="FangSong" w:cs="FangSong"/>
                <w:spacing w:val="-59"/>
              </w:rPr>
              <w:t xml:space="preserve"> </w:t>
            </w:r>
            <w:r>
              <w:rPr>
                <w:rFonts w:ascii="FangSong" w:hAnsi="FangSong" w:eastAsia="FangSong" w:cs="FangSong"/>
              </w:rPr>
              <w:tab/>
            </w:r>
            <w:r>
              <w:rPr>
                <w:rFonts w:ascii="FangSong" w:hAnsi="FangSong" w:eastAsia="FangSong" w:cs="FangSong"/>
                <w:spacing w:val="-49"/>
              </w:rPr>
              <w:t xml:space="preserve"> </w:t>
            </w:r>
            <w:r>
              <w:rPr>
                <w:spacing w:val="-2"/>
              </w:rPr>
              <w:t>-</w:t>
            </w:r>
            <w:r>
              <w:rPr>
                <w:spacing w:val="6"/>
              </w:rPr>
              <w:t xml:space="preserve"> </w:t>
            </w:r>
            <w:r>
              <w:rPr>
                <w:spacing w:val="-2"/>
              </w:rPr>
              <w:t>47</w:t>
            </w:r>
            <w:r>
              <w:rPr>
                <w:spacing w:val="12"/>
                <w:w w:val="101"/>
              </w:rPr>
              <w:t xml:space="preserve"> </w:t>
            </w:r>
            <w:r>
              <w:rPr>
                <w:spacing w:val="-2"/>
              </w:rPr>
              <w:t>-</w:t>
            </w:r>
          </w:hyperlink>
        </w:p>
        <w:p>
          <w:pPr>
            <w:pStyle w:val="BodyText"/>
            <w:ind w:left="424"/>
            <w:spacing w:before="99" w:line="197" w:lineRule="auto"/>
            <w:tabs>
              <w:tab w:val="right" w:leader="dot" w:pos="9742"/>
            </w:tabs>
            <w:rPr/>
          </w:pPr>
          <w:hyperlink w:history="true" w:anchor="bookmark28">
            <w:r>
              <w:rPr>
                <w:spacing w:val="7"/>
              </w:rPr>
              <w:t>7.3  </w:t>
            </w:r>
            <w:r>
              <w:rPr>
                <w:rFonts w:ascii="FangSong" w:hAnsi="FangSong" w:eastAsia="FangSong" w:cs="FangSong"/>
                <w:spacing w:val="7"/>
              </w:rPr>
              <w:t>样品保存、流转与制备</w:t>
            </w:r>
            <w:r>
              <w:rPr>
                <w:rFonts w:ascii="FangSong" w:hAnsi="FangSong" w:eastAsia="FangSong" w:cs="FangSong"/>
                <w:spacing w:val="-56"/>
              </w:rPr>
              <w:t xml:space="preserve"> </w:t>
            </w:r>
            <w:r>
              <w:rPr>
                <w:rFonts w:ascii="FangSong" w:hAnsi="FangSong" w:eastAsia="FangSong" w:cs="FangSong"/>
              </w:rPr>
              <w:tab/>
            </w:r>
            <w:r>
              <w:rPr>
                <w:rFonts w:ascii="FangSong" w:hAnsi="FangSong" w:eastAsia="FangSong" w:cs="FangSong"/>
                <w:spacing w:val="-59"/>
              </w:rPr>
              <w:t xml:space="preserve"> </w:t>
            </w:r>
            <w:r>
              <w:rPr>
                <w:spacing w:val="-3"/>
              </w:rPr>
              <w:t>-</w:t>
            </w:r>
            <w:r>
              <w:rPr>
                <w:spacing w:val="13"/>
              </w:rPr>
              <w:t xml:space="preserve"> </w:t>
            </w:r>
            <w:r>
              <w:rPr>
                <w:spacing w:val="-3"/>
              </w:rPr>
              <w:t>54</w:t>
            </w:r>
            <w:r>
              <w:rPr>
                <w:spacing w:val="12"/>
                <w:w w:val="101"/>
              </w:rPr>
              <w:t xml:space="preserve"> </w:t>
            </w:r>
            <w:r>
              <w:rPr>
                <w:spacing w:val="-3"/>
              </w:rPr>
              <w:t>-</w:t>
            </w:r>
          </w:hyperlink>
        </w:p>
        <w:p>
          <w:pPr>
            <w:pStyle w:val="BodyText"/>
            <w:ind w:left="9"/>
            <w:spacing w:before="98" w:line="197" w:lineRule="auto"/>
            <w:tabs>
              <w:tab w:val="right" w:leader="dot" w:pos="9742"/>
            </w:tabs>
            <w:rPr/>
          </w:pPr>
          <w:hyperlink w:history="true" w:anchor="bookmark29">
            <w:r>
              <w:rPr>
                <w:spacing w:val="5"/>
              </w:rPr>
              <w:t>8</w:t>
            </w:r>
            <w:r>
              <w:rPr>
                <w:spacing w:val="13"/>
                <w:w w:val="101"/>
              </w:rPr>
              <w:t xml:space="preserve">  </w:t>
            </w:r>
            <w:r>
              <w:rPr>
                <w:rFonts w:ascii="FangSong" w:hAnsi="FangSong" w:eastAsia="FangSong" w:cs="FangSong"/>
                <w:spacing w:val="5"/>
              </w:rPr>
              <w:t>监测项目检测方法</w:t>
            </w:r>
            <w:r>
              <w:rPr>
                <w:rFonts w:ascii="FangSong" w:hAnsi="FangSong" w:eastAsia="FangSong" w:cs="FangSong"/>
                <w:spacing w:val="-56"/>
              </w:rPr>
              <w:t xml:space="preserve"> </w:t>
            </w:r>
            <w:r>
              <w:rPr>
                <w:rFonts w:ascii="FangSong" w:hAnsi="FangSong" w:eastAsia="FangSong" w:cs="FangSong"/>
              </w:rPr>
              <w:tab/>
            </w:r>
            <w:r>
              <w:rPr>
                <w:rFonts w:ascii="FangSong" w:hAnsi="FangSong" w:eastAsia="FangSong" w:cs="FangSong"/>
                <w:spacing w:val="-46"/>
              </w:rPr>
              <w:t xml:space="preserve"> </w:t>
            </w:r>
            <w:r>
              <w:rPr>
                <w:spacing w:val="-3"/>
              </w:rPr>
              <w:t>-</w:t>
            </w:r>
            <w:r>
              <w:rPr>
                <w:spacing w:val="10"/>
              </w:rPr>
              <w:t xml:space="preserve"> </w:t>
            </w:r>
            <w:r>
              <w:rPr>
                <w:spacing w:val="-3"/>
              </w:rPr>
              <w:t>58</w:t>
            </w:r>
            <w:r>
              <w:rPr>
                <w:spacing w:val="12"/>
                <w:w w:val="101"/>
              </w:rPr>
              <w:t xml:space="preserve"> </w:t>
            </w:r>
            <w:r>
              <w:rPr>
                <w:spacing w:val="-3"/>
              </w:rPr>
              <w:t>-</w:t>
            </w:r>
          </w:hyperlink>
        </w:p>
        <w:p>
          <w:pPr>
            <w:pStyle w:val="BodyText"/>
            <w:ind w:left="429"/>
            <w:spacing w:before="99" w:line="197" w:lineRule="auto"/>
            <w:tabs>
              <w:tab w:val="right" w:leader="dot" w:pos="9742"/>
            </w:tabs>
            <w:rPr/>
          </w:pPr>
          <w:hyperlink w:history="true" w:anchor="bookmark30">
            <w:r>
              <w:rPr>
                <w:spacing w:val="6"/>
              </w:rPr>
              <w:t>8.1 2025</w:t>
            </w:r>
            <w:r>
              <w:rPr>
                <w:rFonts w:ascii="FangSong" w:hAnsi="FangSong" w:eastAsia="FangSong" w:cs="FangSong"/>
                <w:spacing w:val="6"/>
              </w:rPr>
              <w:t>年土壤监测结果分析</w:t>
            </w:r>
            <w:r>
              <w:rPr>
                <w:rFonts w:ascii="FangSong" w:hAnsi="FangSong" w:eastAsia="FangSong" w:cs="FangSong"/>
                <w:spacing w:val="-49"/>
              </w:rPr>
              <w:t xml:space="preserve"> </w:t>
            </w:r>
            <w:r>
              <w:rPr>
                <w:rFonts w:ascii="FangSong" w:hAnsi="FangSong" w:eastAsia="FangSong" w:cs="FangSong"/>
              </w:rPr>
              <w:tab/>
            </w:r>
            <w:r>
              <w:rPr>
                <w:rFonts w:ascii="FangSong" w:hAnsi="FangSong" w:eastAsia="FangSong" w:cs="FangSong"/>
                <w:spacing w:val="-58"/>
              </w:rPr>
              <w:t xml:space="preserve"> </w:t>
            </w:r>
            <w:r>
              <w:rPr>
                <w:spacing w:val="-3"/>
              </w:rPr>
              <w:t>-</w:t>
            </w:r>
            <w:r>
              <w:rPr>
                <w:spacing w:val="10"/>
              </w:rPr>
              <w:t xml:space="preserve"> </w:t>
            </w:r>
            <w:r>
              <w:rPr>
                <w:spacing w:val="-3"/>
              </w:rPr>
              <w:t>58</w:t>
            </w:r>
            <w:r>
              <w:rPr>
                <w:spacing w:val="12"/>
                <w:w w:val="101"/>
              </w:rPr>
              <w:t xml:space="preserve"> </w:t>
            </w:r>
            <w:r>
              <w:rPr>
                <w:spacing w:val="-3"/>
              </w:rPr>
              <w:t>-</w:t>
            </w:r>
          </w:hyperlink>
        </w:p>
        <w:p>
          <w:pPr>
            <w:pStyle w:val="BodyText"/>
            <w:ind w:left="429"/>
            <w:spacing w:before="99" w:line="197" w:lineRule="auto"/>
            <w:tabs>
              <w:tab w:val="right" w:leader="dot" w:pos="9742"/>
            </w:tabs>
            <w:rPr/>
          </w:pPr>
          <w:hyperlink w:history="true" w:anchor="bookmark31">
            <w:r>
              <w:rPr>
                <w:spacing w:val="6"/>
              </w:rPr>
              <w:t>8.2 2025</w:t>
            </w:r>
            <w:r>
              <w:rPr>
                <w:rFonts w:ascii="FangSong" w:hAnsi="FangSong" w:eastAsia="FangSong" w:cs="FangSong"/>
                <w:spacing w:val="6"/>
              </w:rPr>
              <w:t>年地下水监测结果分析</w:t>
            </w:r>
            <w:r>
              <w:rPr>
                <w:rFonts w:ascii="FangSong" w:hAnsi="FangSong" w:eastAsia="FangSong" w:cs="FangSong"/>
                <w:spacing w:val="-47"/>
              </w:rPr>
              <w:t xml:space="preserve"> </w:t>
            </w:r>
            <w:r>
              <w:rPr>
                <w:rFonts w:ascii="FangSong" w:hAnsi="FangSong" w:eastAsia="FangSong" w:cs="FangSong"/>
              </w:rPr>
              <w:tab/>
            </w:r>
            <w:r>
              <w:rPr>
                <w:rFonts w:ascii="FangSong" w:hAnsi="FangSong" w:eastAsia="FangSong" w:cs="FangSong"/>
                <w:spacing w:val="-59"/>
              </w:rPr>
              <w:t xml:space="preserve"> </w:t>
            </w:r>
            <w:r>
              <w:rPr>
                <w:spacing w:val="-3"/>
              </w:rPr>
              <w:t>-</w:t>
            </w:r>
            <w:r>
              <w:rPr>
                <w:spacing w:val="10"/>
              </w:rPr>
              <w:t xml:space="preserve"> </w:t>
            </w:r>
            <w:r>
              <w:rPr>
                <w:spacing w:val="-3"/>
              </w:rPr>
              <w:t>64</w:t>
            </w:r>
            <w:r>
              <w:rPr>
                <w:spacing w:val="12"/>
                <w:w w:val="101"/>
              </w:rPr>
              <w:t xml:space="preserve"> </w:t>
            </w:r>
            <w:r>
              <w:rPr>
                <w:spacing w:val="-3"/>
              </w:rPr>
              <w:t>-</w:t>
            </w:r>
          </w:hyperlink>
        </w:p>
        <w:p>
          <w:pPr>
            <w:pStyle w:val="BodyText"/>
            <w:ind w:left="5"/>
            <w:spacing w:before="98" w:line="197" w:lineRule="auto"/>
            <w:tabs>
              <w:tab w:val="right" w:leader="dot" w:pos="9742"/>
            </w:tabs>
            <w:rPr/>
          </w:pPr>
          <w:hyperlink w:history="true" w:anchor="bookmark32">
            <w:r>
              <w:rPr>
                <w:spacing w:val="6"/>
              </w:rPr>
              <w:t>9</w:t>
            </w:r>
            <w:r>
              <w:rPr>
                <w:spacing w:val="14"/>
              </w:rPr>
              <w:t xml:space="preserve">  </w:t>
            </w:r>
            <w:r>
              <w:rPr>
                <w:rFonts w:ascii="FangSong" w:hAnsi="FangSong" w:eastAsia="FangSong" w:cs="FangSong"/>
                <w:spacing w:val="6"/>
              </w:rPr>
              <w:t>质量保证与质量控制</w:t>
            </w:r>
            <w:r>
              <w:rPr>
                <w:rFonts w:ascii="FangSong" w:hAnsi="FangSong" w:eastAsia="FangSong" w:cs="FangSong"/>
                <w:spacing w:val="-57"/>
              </w:rPr>
              <w:t xml:space="preserve"> </w:t>
            </w:r>
            <w:r>
              <w:rPr>
                <w:rFonts w:ascii="FangSong" w:hAnsi="FangSong" w:eastAsia="FangSong" w:cs="FangSong"/>
              </w:rPr>
              <w:tab/>
            </w:r>
            <w:r>
              <w:rPr>
                <w:rFonts w:ascii="FangSong" w:hAnsi="FangSong" w:eastAsia="FangSong" w:cs="FangSong"/>
                <w:spacing w:val="-49"/>
              </w:rPr>
              <w:t xml:space="preserve"> </w:t>
            </w:r>
            <w:r>
              <w:rPr>
                <w:spacing w:val="-3"/>
              </w:rPr>
              <w:t>-</w:t>
            </w:r>
            <w:r>
              <w:rPr>
                <w:spacing w:val="10"/>
              </w:rPr>
              <w:t xml:space="preserve"> </w:t>
            </w:r>
            <w:r>
              <w:rPr>
                <w:spacing w:val="-3"/>
              </w:rPr>
              <w:t>69</w:t>
            </w:r>
            <w:r>
              <w:rPr>
                <w:spacing w:val="12"/>
                <w:w w:val="101"/>
              </w:rPr>
              <w:t xml:space="preserve"> </w:t>
            </w:r>
            <w:r>
              <w:rPr>
                <w:spacing w:val="-3"/>
              </w:rPr>
              <w:t>-</w:t>
            </w:r>
          </w:hyperlink>
        </w:p>
        <w:p>
          <w:pPr>
            <w:pStyle w:val="BodyText"/>
            <w:ind w:left="425"/>
            <w:spacing w:before="99" w:line="197" w:lineRule="auto"/>
            <w:tabs>
              <w:tab w:val="right" w:leader="dot" w:pos="9742"/>
            </w:tabs>
            <w:rPr/>
          </w:pPr>
          <w:hyperlink w:history="true" w:anchor="bookmark33">
            <w:r>
              <w:rPr>
                <w:spacing w:val="2"/>
              </w:rPr>
              <w:t>9.1   </w:t>
            </w:r>
            <w:r>
              <w:rPr>
                <w:rFonts w:ascii="FangSong" w:hAnsi="FangSong" w:eastAsia="FangSong" w:cs="FangSong"/>
                <w:spacing w:val="2"/>
              </w:rPr>
              <w:t>自行监测质量体系</w:t>
            </w:r>
            <w:r>
              <w:rPr>
                <w:rFonts w:ascii="FangSong" w:hAnsi="FangSong" w:eastAsia="FangSong" w:cs="FangSong"/>
                <w:spacing w:val="-49"/>
              </w:rPr>
              <w:t xml:space="preserve"> </w:t>
            </w:r>
            <w:r>
              <w:rPr>
                <w:rFonts w:ascii="FangSong" w:hAnsi="FangSong" w:eastAsia="FangSong" w:cs="FangSong"/>
              </w:rPr>
              <w:tab/>
            </w:r>
            <w:r>
              <w:rPr>
                <w:rFonts w:ascii="FangSong" w:hAnsi="FangSong" w:eastAsia="FangSong" w:cs="FangSong"/>
                <w:spacing w:val="-54"/>
              </w:rPr>
              <w:t xml:space="preserve"> </w:t>
            </w:r>
            <w:r>
              <w:rPr>
                <w:spacing w:val="-3"/>
              </w:rPr>
              <w:t>-</w:t>
            </w:r>
            <w:r>
              <w:rPr>
                <w:spacing w:val="12"/>
              </w:rPr>
              <w:t xml:space="preserve"> </w:t>
            </w:r>
            <w:r>
              <w:rPr>
                <w:spacing w:val="-3"/>
              </w:rPr>
              <w:t>69</w:t>
            </w:r>
            <w:r>
              <w:rPr>
                <w:spacing w:val="12"/>
                <w:w w:val="101"/>
              </w:rPr>
              <w:t xml:space="preserve"> </w:t>
            </w:r>
            <w:r>
              <w:rPr>
                <w:spacing w:val="-3"/>
              </w:rPr>
              <w:t>-</w:t>
            </w:r>
          </w:hyperlink>
        </w:p>
        <w:p>
          <w:pPr>
            <w:pStyle w:val="BodyText"/>
            <w:ind w:left="425"/>
            <w:spacing w:before="98" w:line="197" w:lineRule="auto"/>
            <w:tabs>
              <w:tab w:val="right" w:leader="dot" w:pos="9742"/>
            </w:tabs>
            <w:rPr/>
          </w:pPr>
          <w:hyperlink w:history="true" w:anchor="bookmark34">
            <w:r>
              <w:rPr>
                <w:spacing w:val="7"/>
              </w:rPr>
              <w:t>9.2  </w:t>
            </w:r>
            <w:r>
              <w:rPr>
                <w:rFonts w:ascii="FangSong" w:hAnsi="FangSong" w:eastAsia="FangSong" w:cs="FangSong"/>
                <w:spacing w:val="7"/>
              </w:rPr>
              <w:t>监测方案制定的质量保证与控制</w:t>
            </w:r>
            <w:r>
              <w:rPr>
                <w:rFonts w:ascii="FangSong" w:hAnsi="FangSong" w:eastAsia="FangSong" w:cs="FangSong"/>
                <w:spacing w:val="-44"/>
              </w:rPr>
              <w:t xml:space="preserve"> </w:t>
            </w:r>
            <w:r>
              <w:rPr>
                <w:rFonts w:ascii="FangSong" w:hAnsi="FangSong" w:eastAsia="FangSong" w:cs="FangSong"/>
              </w:rPr>
              <w:tab/>
            </w:r>
            <w:r>
              <w:rPr>
                <w:rFonts w:ascii="FangSong" w:hAnsi="FangSong" w:eastAsia="FangSong" w:cs="FangSong"/>
                <w:spacing w:val="-66"/>
              </w:rPr>
              <w:t xml:space="preserve"> </w:t>
            </w:r>
            <w:r>
              <w:rPr>
                <w:spacing w:val="-3"/>
              </w:rPr>
              <w:t>-</w:t>
            </w:r>
            <w:r>
              <w:rPr>
                <w:spacing w:val="12"/>
              </w:rPr>
              <w:t xml:space="preserve"> </w:t>
            </w:r>
            <w:r>
              <w:rPr>
                <w:spacing w:val="-3"/>
              </w:rPr>
              <w:t>69</w:t>
            </w:r>
            <w:r>
              <w:rPr>
                <w:spacing w:val="12"/>
                <w:w w:val="101"/>
              </w:rPr>
              <w:t xml:space="preserve"> </w:t>
            </w:r>
            <w:r>
              <w:rPr>
                <w:spacing w:val="-3"/>
              </w:rPr>
              <w:t>-</w:t>
            </w:r>
          </w:hyperlink>
        </w:p>
        <w:p>
          <w:pPr>
            <w:pStyle w:val="BodyText"/>
            <w:ind w:left="425"/>
            <w:spacing w:before="99" w:line="197" w:lineRule="auto"/>
            <w:tabs>
              <w:tab w:val="right" w:leader="dot" w:pos="9742"/>
            </w:tabs>
            <w:rPr/>
          </w:pPr>
          <w:hyperlink w:history="true" w:anchor="bookmark35">
            <w:r>
              <w:rPr>
                <w:spacing w:val="8"/>
              </w:rPr>
              <w:t>9.3  </w:t>
            </w:r>
            <w:r>
              <w:rPr>
                <w:rFonts w:ascii="FangSong" w:hAnsi="FangSong" w:eastAsia="FangSong" w:cs="FangSong"/>
                <w:spacing w:val="8"/>
              </w:rPr>
              <w:t>样品采集、保存、流转、制备与分析的质量保证与控制</w:t>
            </w:r>
            <w:r>
              <w:rPr>
                <w:rFonts w:ascii="FangSong" w:hAnsi="FangSong" w:eastAsia="FangSong" w:cs="FangSong"/>
                <w:spacing w:val="-43"/>
              </w:rPr>
              <w:t xml:space="preserve"> </w:t>
            </w:r>
            <w:r>
              <w:rPr>
                <w:rFonts w:ascii="FangSong" w:hAnsi="FangSong" w:eastAsia="FangSong" w:cs="FangSong"/>
              </w:rPr>
              <w:tab/>
            </w:r>
            <w:r>
              <w:rPr/>
              <w:t>-</w:t>
            </w:r>
            <w:r>
              <w:rPr>
                <w:spacing w:val="14"/>
              </w:rPr>
              <w:t xml:space="preserve"> </w:t>
            </w:r>
            <w:r>
              <w:rPr/>
              <w:t>69</w:t>
            </w:r>
            <w:r>
              <w:rPr>
                <w:spacing w:val="12"/>
                <w:w w:val="101"/>
              </w:rPr>
              <w:t xml:space="preserve"> </w:t>
            </w:r>
            <w:r>
              <w:rPr/>
              <w:t>-</w:t>
            </w:r>
          </w:hyperlink>
        </w:p>
        <w:p>
          <w:pPr>
            <w:pStyle w:val="BodyText"/>
            <w:ind w:left="21"/>
            <w:spacing w:before="99" w:line="197" w:lineRule="auto"/>
            <w:tabs>
              <w:tab w:val="right" w:leader="dot" w:pos="9742"/>
            </w:tabs>
            <w:rPr/>
          </w:pPr>
          <w:hyperlink w:history="true" w:anchor="bookmark36">
            <w:r>
              <w:rPr>
                <w:spacing w:val="2"/>
              </w:rPr>
              <w:t>10</w:t>
            </w:r>
            <w:r>
              <w:rPr>
                <w:spacing w:val="11"/>
              </w:rPr>
              <w:t xml:space="preserve">  </w:t>
            </w:r>
            <w:r>
              <w:rPr>
                <w:rFonts w:ascii="FangSong" w:hAnsi="FangSong" w:eastAsia="FangSong" w:cs="FangSong"/>
                <w:spacing w:val="2"/>
              </w:rPr>
              <w:t>结论与措施</w:t>
            </w:r>
            <w:r>
              <w:rPr>
                <w:rFonts w:ascii="FangSong" w:hAnsi="FangSong" w:eastAsia="FangSong" w:cs="FangSong"/>
                <w:spacing w:val="-55"/>
              </w:rPr>
              <w:t xml:space="preserve"> </w:t>
            </w:r>
            <w:r>
              <w:rPr>
                <w:rFonts w:ascii="FangSong" w:hAnsi="FangSong" w:eastAsia="FangSong" w:cs="FangSong"/>
              </w:rPr>
              <w:tab/>
            </w:r>
            <w:r>
              <w:rPr>
                <w:rFonts w:ascii="FangSong" w:hAnsi="FangSong" w:eastAsia="FangSong" w:cs="FangSong"/>
                <w:spacing w:val="-40"/>
              </w:rPr>
              <w:t xml:space="preserve"> </w:t>
            </w:r>
            <w:r>
              <w:rPr>
                <w:spacing w:val="-3"/>
              </w:rPr>
              <w:t>-</w:t>
            </w:r>
            <w:r>
              <w:rPr>
                <w:spacing w:val="8"/>
              </w:rPr>
              <w:t xml:space="preserve"> </w:t>
            </w:r>
            <w:r>
              <w:rPr>
                <w:spacing w:val="-3"/>
              </w:rPr>
              <w:t>74</w:t>
            </w:r>
            <w:r>
              <w:rPr>
                <w:spacing w:val="12"/>
                <w:w w:val="101"/>
              </w:rPr>
              <w:t xml:space="preserve"> </w:t>
            </w:r>
            <w:r>
              <w:rPr>
                <w:spacing w:val="-3"/>
              </w:rPr>
              <w:t>-</w:t>
            </w:r>
          </w:hyperlink>
        </w:p>
        <w:p>
          <w:pPr>
            <w:pStyle w:val="BodyText"/>
            <w:ind w:left="441"/>
            <w:spacing w:before="98" w:line="197" w:lineRule="auto"/>
            <w:tabs>
              <w:tab w:val="right" w:leader="dot" w:pos="9742"/>
            </w:tabs>
            <w:rPr/>
          </w:pPr>
          <w:hyperlink w:history="true" w:anchor="bookmark37">
            <w:r>
              <w:rPr>
                <w:spacing w:val="1"/>
              </w:rPr>
              <w:t>10.1</w:t>
            </w:r>
            <w:r>
              <w:rPr>
                <w:spacing w:val="13"/>
                <w:w w:val="101"/>
              </w:rPr>
              <w:t xml:space="preserve">  </w:t>
            </w:r>
            <w:r>
              <w:rPr>
                <w:rFonts w:ascii="FangSong" w:hAnsi="FangSong" w:eastAsia="FangSong" w:cs="FangSong"/>
                <w:spacing w:val="1"/>
              </w:rPr>
              <w:t>监测结论</w:t>
            </w:r>
            <w:r>
              <w:rPr>
                <w:rFonts w:ascii="FangSong" w:hAnsi="FangSong" w:eastAsia="FangSong" w:cs="FangSong"/>
                <w:spacing w:val="-59"/>
              </w:rPr>
              <w:t xml:space="preserve"> </w:t>
            </w:r>
            <w:r>
              <w:rPr>
                <w:rFonts w:ascii="FangSong" w:hAnsi="FangSong" w:eastAsia="FangSong" w:cs="FangSong"/>
              </w:rPr>
              <w:tab/>
            </w:r>
            <w:r>
              <w:rPr>
                <w:rFonts w:ascii="FangSong" w:hAnsi="FangSong" w:eastAsia="FangSong" w:cs="FangSong"/>
                <w:spacing w:val="-44"/>
              </w:rPr>
              <w:t xml:space="preserve"> </w:t>
            </w:r>
            <w:r>
              <w:rPr>
                <w:spacing w:val="-3"/>
              </w:rPr>
              <w:t>-</w:t>
            </w:r>
            <w:r>
              <w:rPr>
                <w:spacing w:val="11"/>
              </w:rPr>
              <w:t xml:space="preserve"> </w:t>
            </w:r>
            <w:r>
              <w:rPr>
                <w:spacing w:val="-3"/>
              </w:rPr>
              <w:t>74</w:t>
            </w:r>
            <w:r>
              <w:rPr>
                <w:spacing w:val="12"/>
                <w:w w:val="101"/>
              </w:rPr>
              <w:t xml:space="preserve"> </w:t>
            </w:r>
            <w:r>
              <w:rPr>
                <w:spacing w:val="-3"/>
              </w:rPr>
              <w:t>-</w:t>
            </w:r>
          </w:hyperlink>
        </w:p>
        <w:p>
          <w:pPr>
            <w:pStyle w:val="BodyText"/>
            <w:ind w:left="441"/>
            <w:spacing w:before="99" w:line="197" w:lineRule="auto"/>
            <w:tabs>
              <w:tab w:val="right" w:leader="dot" w:pos="9742"/>
            </w:tabs>
            <w:rPr/>
          </w:pPr>
          <w:hyperlink w:history="true" w:anchor="bookmark38">
            <w:r>
              <w:rPr>
                <w:spacing w:val="7"/>
              </w:rPr>
              <w:t>10.2  </w:t>
            </w:r>
            <w:r>
              <w:rPr>
                <w:rFonts w:ascii="FangSong" w:hAnsi="FangSong" w:eastAsia="FangSong" w:cs="FangSong"/>
                <w:spacing w:val="7"/>
              </w:rPr>
              <w:t>企业针对监测结果拟采取的主要措施及原因</w:t>
            </w:r>
            <w:r>
              <w:rPr>
                <w:rFonts w:ascii="FangSong" w:hAnsi="FangSong" w:eastAsia="FangSong" w:cs="FangSong"/>
                <w:spacing w:val="-48"/>
              </w:rPr>
              <w:t xml:space="preserve"> </w:t>
            </w:r>
            <w:r>
              <w:rPr>
                <w:rFonts w:ascii="FangSong" w:hAnsi="FangSong" w:eastAsia="FangSong" w:cs="FangSong"/>
              </w:rPr>
              <w:tab/>
            </w:r>
            <w:r>
              <w:rPr>
                <w:spacing w:val="3"/>
              </w:rPr>
              <w:t>-</w:t>
            </w:r>
            <w:r>
              <w:rPr>
                <w:spacing w:val="12"/>
              </w:rPr>
              <w:t xml:space="preserve"> </w:t>
            </w:r>
            <w:r>
              <w:rPr>
                <w:spacing w:val="3"/>
              </w:rPr>
              <w:t>74</w:t>
            </w:r>
            <w:r>
              <w:rPr>
                <w:spacing w:val="12"/>
                <w:w w:val="101"/>
              </w:rPr>
              <w:t xml:space="preserve"> </w:t>
            </w:r>
            <w:r>
              <w:rPr>
                <w:spacing w:val="3"/>
              </w:rPr>
              <w:t>-</w:t>
            </w:r>
          </w:hyperlink>
        </w:p>
        <w:p>
          <w:pPr>
            <w:pStyle w:val="BodyText"/>
            <w:ind w:left="19"/>
            <w:spacing w:before="98" w:line="197" w:lineRule="auto"/>
            <w:tabs>
              <w:tab w:val="right" w:leader="dot" w:pos="9742"/>
            </w:tabs>
            <w:rPr/>
          </w:pPr>
          <w:hyperlink w:history="true" w:anchor="bookmark39">
            <w:r>
              <w:rPr>
                <w:rFonts w:ascii="FangSong" w:hAnsi="FangSong" w:eastAsia="FangSong" w:cs="FangSong"/>
                <w:spacing w:val="-3"/>
              </w:rPr>
              <w:t>附件</w:t>
            </w:r>
            <w:r>
              <w:rPr>
                <w:rFonts w:ascii="FangSong" w:hAnsi="FangSong" w:eastAsia="FangSong" w:cs="FangSong"/>
                <w:spacing w:val="-57"/>
              </w:rPr>
              <w:t xml:space="preserve"> </w:t>
            </w:r>
            <w:r>
              <w:rPr>
                <w:rFonts w:ascii="FangSong" w:hAnsi="FangSong" w:eastAsia="FangSong" w:cs="FangSong"/>
              </w:rPr>
              <w:tab/>
            </w:r>
            <w:r>
              <w:rPr>
                <w:spacing w:val="1"/>
              </w:rPr>
              <w:t>-</w:t>
            </w:r>
            <w:r>
              <w:rPr>
                <w:spacing w:val="9"/>
              </w:rPr>
              <w:t xml:space="preserve"> </w:t>
            </w:r>
            <w:r>
              <w:rPr>
                <w:spacing w:val="1"/>
              </w:rPr>
              <w:t>75</w:t>
            </w:r>
            <w:r>
              <w:rPr>
                <w:spacing w:val="12"/>
                <w:w w:val="101"/>
              </w:rPr>
              <w:t xml:space="preserve"> </w:t>
            </w:r>
            <w:r>
              <w:rPr>
                <w:spacing w:val="1"/>
              </w:rPr>
              <w:t>-</w:t>
            </w:r>
          </w:hyperlink>
        </w:p>
        <w:p>
          <w:pPr>
            <w:pStyle w:val="BodyText"/>
            <w:ind w:left="439"/>
            <w:spacing w:before="99" w:line="197" w:lineRule="auto"/>
            <w:tabs>
              <w:tab w:val="right" w:leader="dot" w:pos="9742"/>
            </w:tabs>
            <w:rPr/>
          </w:pPr>
          <w:hyperlink w:history="true" w:anchor="bookmark40">
            <w:r>
              <w:rPr>
                <w:rFonts w:ascii="FangSong" w:hAnsi="FangSong" w:eastAsia="FangSong" w:cs="FangSong"/>
                <w:spacing w:val="5"/>
              </w:rPr>
              <w:t>附件</w:t>
            </w:r>
            <w:r>
              <w:rPr>
                <w:spacing w:val="5"/>
              </w:rPr>
              <w:t>1</w:t>
            </w:r>
            <w:r>
              <w:rPr>
                <w:spacing w:val="13"/>
                <w:w w:val="101"/>
              </w:rPr>
              <w:t xml:space="preserve">  </w:t>
            </w:r>
            <w:r>
              <w:rPr>
                <w:rFonts w:ascii="FangSong" w:hAnsi="FangSong" w:eastAsia="FangSong" w:cs="FangSong"/>
                <w:spacing w:val="5"/>
              </w:rPr>
              <w:t>重点监测单元清单</w:t>
            </w:r>
            <w:r>
              <w:rPr>
                <w:rFonts w:ascii="FangSong" w:hAnsi="FangSong" w:eastAsia="FangSong" w:cs="FangSong"/>
                <w:spacing w:val="-56"/>
              </w:rPr>
              <w:t xml:space="preserve"> </w:t>
            </w:r>
            <w:r>
              <w:rPr>
                <w:rFonts w:ascii="FangSong" w:hAnsi="FangSong" w:eastAsia="FangSong" w:cs="FangSong"/>
              </w:rPr>
              <w:tab/>
            </w:r>
            <w:r>
              <w:rPr>
                <w:rFonts w:ascii="FangSong" w:hAnsi="FangSong" w:eastAsia="FangSong" w:cs="FangSong"/>
                <w:spacing w:val="-52"/>
              </w:rPr>
              <w:t xml:space="preserve"> </w:t>
            </w:r>
            <w:r>
              <w:rPr>
                <w:spacing w:val="-3"/>
              </w:rPr>
              <w:t>-</w:t>
            </w:r>
            <w:r>
              <w:rPr>
                <w:spacing w:val="8"/>
              </w:rPr>
              <w:t xml:space="preserve"> </w:t>
            </w:r>
            <w:r>
              <w:rPr>
                <w:spacing w:val="-3"/>
              </w:rPr>
              <w:t>75</w:t>
            </w:r>
            <w:r>
              <w:rPr>
                <w:spacing w:val="12"/>
                <w:w w:val="101"/>
              </w:rPr>
              <w:t xml:space="preserve"> </w:t>
            </w:r>
            <w:r>
              <w:rPr>
                <w:spacing w:val="-3"/>
              </w:rPr>
              <w:t>-</w:t>
            </w:r>
          </w:hyperlink>
        </w:p>
        <w:p>
          <w:pPr>
            <w:pStyle w:val="BodyText"/>
            <w:ind w:left="439"/>
            <w:spacing w:before="98" w:line="197" w:lineRule="auto"/>
            <w:tabs>
              <w:tab w:val="right" w:leader="dot" w:pos="9742"/>
            </w:tabs>
            <w:rPr/>
          </w:pPr>
          <w:hyperlink w:history="true" w:anchor="bookmark41">
            <w:r>
              <w:rPr>
                <w:rFonts w:ascii="FangSong" w:hAnsi="FangSong" w:eastAsia="FangSong" w:cs="FangSong"/>
                <w:spacing w:val="6"/>
              </w:rPr>
              <w:t>附件</w:t>
            </w:r>
            <w:r>
              <w:rPr>
                <w:spacing w:val="6"/>
              </w:rPr>
              <w:t>2  </w:t>
            </w:r>
            <w:r>
              <w:rPr>
                <w:rFonts w:ascii="FangSong" w:hAnsi="FangSong" w:eastAsia="FangSong" w:cs="FangSong"/>
                <w:spacing w:val="6"/>
              </w:rPr>
              <w:t>地下水监测井采样记录</w:t>
            </w:r>
            <w:r>
              <w:rPr>
                <w:rFonts w:ascii="FangSong" w:hAnsi="FangSong" w:eastAsia="FangSong" w:cs="FangSong"/>
                <w:spacing w:val="-44"/>
              </w:rPr>
              <w:t xml:space="preserve"> </w:t>
            </w:r>
            <w:r>
              <w:rPr>
                <w:rFonts w:ascii="FangSong" w:hAnsi="FangSong" w:eastAsia="FangSong" w:cs="FangSong"/>
              </w:rPr>
              <w:tab/>
            </w:r>
            <w:r>
              <w:rPr>
                <w:rFonts w:ascii="FangSong" w:hAnsi="FangSong" w:eastAsia="FangSong" w:cs="FangSong"/>
                <w:spacing w:val="-56"/>
              </w:rPr>
              <w:t xml:space="preserve"> </w:t>
            </w:r>
            <w:r>
              <w:rPr>
                <w:spacing w:val="-3"/>
              </w:rPr>
              <w:t>-</w:t>
            </w:r>
            <w:r>
              <w:rPr>
                <w:spacing w:val="8"/>
              </w:rPr>
              <w:t xml:space="preserve"> </w:t>
            </w:r>
            <w:r>
              <w:rPr>
                <w:spacing w:val="-3"/>
              </w:rPr>
              <w:t>77</w:t>
            </w:r>
            <w:r>
              <w:rPr>
                <w:spacing w:val="12"/>
                <w:w w:val="101"/>
              </w:rPr>
              <w:t xml:space="preserve"> </w:t>
            </w:r>
            <w:r>
              <w:rPr>
                <w:spacing w:val="-3"/>
              </w:rPr>
              <w:t>-</w:t>
            </w:r>
          </w:hyperlink>
        </w:p>
        <w:p>
          <w:pPr>
            <w:pStyle w:val="BodyText"/>
            <w:ind w:left="439"/>
            <w:spacing w:before="99" w:line="228" w:lineRule="auto"/>
            <w:tabs>
              <w:tab w:val="right" w:leader="dot" w:pos="9742"/>
            </w:tabs>
            <w:rPr/>
          </w:pPr>
          <w:hyperlink w:history="true" w:anchor="bookmark42">
            <w:r>
              <w:rPr>
                <w:rFonts w:ascii="FangSong" w:hAnsi="FangSong" w:eastAsia="FangSong" w:cs="FangSong"/>
                <w:spacing w:val="4"/>
              </w:rPr>
              <w:t>附件</w:t>
            </w:r>
            <w:r>
              <w:rPr>
                <w:spacing w:val="4"/>
              </w:rPr>
              <w:t>3</w:t>
            </w:r>
            <w:r>
              <w:rPr>
                <w:spacing w:val="13"/>
              </w:rPr>
              <w:t xml:space="preserve">  </w:t>
            </w:r>
            <w:r>
              <w:rPr>
                <w:rFonts w:ascii="FangSong" w:hAnsi="FangSong" w:eastAsia="FangSong" w:cs="FangSong"/>
                <w:spacing w:val="4"/>
              </w:rPr>
              <w:t>土壤采样记录</w:t>
            </w:r>
            <w:r>
              <w:rPr>
                <w:rFonts w:ascii="FangSong" w:hAnsi="FangSong" w:eastAsia="FangSong" w:cs="FangSong"/>
                <w:spacing w:val="-56"/>
              </w:rPr>
              <w:t xml:space="preserve"> </w:t>
            </w:r>
            <w:r>
              <w:rPr>
                <w:rFonts w:ascii="FangSong" w:hAnsi="FangSong" w:eastAsia="FangSong" w:cs="FangSong"/>
              </w:rPr>
              <w:tab/>
            </w:r>
            <w:r>
              <w:rPr>
                <w:rFonts w:ascii="FangSong" w:hAnsi="FangSong" w:eastAsia="FangSong" w:cs="FangSong"/>
                <w:spacing w:val="-48"/>
              </w:rPr>
              <w:t xml:space="preserve"> </w:t>
            </w:r>
            <w:r>
              <w:rPr>
                <w:spacing w:val="-3"/>
              </w:rPr>
              <w:t>-</w:t>
            </w:r>
            <w:r>
              <w:rPr>
                <w:spacing w:val="8"/>
              </w:rPr>
              <w:t xml:space="preserve"> </w:t>
            </w:r>
            <w:r>
              <w:rPr>
                <w:spacing w:val="-3"/>
              </w:rPr>
              <w:t>78</w:t>
            </w:r>
            <w:r>
              <w:rPr>
                <w:spacing w:val="12"/>
                <w:w w:val="101"/>
              </w:rPr>
              <w:t xml:space="preserve"> </w:t>
            </w:r>
            <w:r>
              <w:rPr>
                <w:spacing w:val="-3"/>
              </w:rPr>
              <w:t>-</w:t>
            </w:r>
          </w:hyperlink>
        </w:p>
      </w:sdtContent>
    </w:sdt>
    <w:p>
      <w:pPr>
        <w:spacing w:line="228" w:lineRule="auto"/>
        <w:sectPr>
          <w:pgSz w:w="11906" w:h="16839"/>
          <w:pgMar w:top="400" w:right="1079" w:bottom="400" w:left="1083" w:header="0" w:footer="0" w:gutter="0"/>
        </w:sectPr>
        <w:rPr/>
      </w:pPr>
    </w:p>
    <w:p>
      <w:pPr>
        <w:spacing w:line="378" w:lineRule="auto"/>
        <w:rPr>
          <w:rFonts w:ascii="Arial"/>
          <w:sz w:val="21"/>
        </w:rPr>
      </w:pPr>
      <w:r/>
    </w:p>
    <w:p>
      <w:pPr>
        <w:pStyle w:val="BodyText"/>
        <w:ind w:left="18"/>
        <w:spacing w:before="91" w:line="221" w:lineRule="auto"/>
        <w:outlineLvl w:val="0"/>
        <w:rPr>
          <w:rFonts w:ascii="FangSong" w:hAnsi="FangSong" w:eastAsia="FangSong" w:cs="FangSong"/>
          <w:sz w:val="28"/>
          <w:szCs w:val="28"/>
        </w:rPr>
      </w:pPr>
      <w:bookmarkStart w:name="bookmark1" w:id="1"/>
      <w:bookmarkEnd w:id="1"/>
      <w:bookmarkStart w:name="bookmark2" w:id="2"/>
      <w:bookmarkEnd w:id="2"/>
      <w:r>
        <w:rPr>
          <w:sz w:val="28"/>
          <w:szCs w:val="28"/>
          <w:b/>
          <w:bCs/>
          <w:spacing w:val="-11"/>
        </w:rPr>
        <w:t>1</w:t>
      </w:r>
      <w:r>
        <w:rPr>
          <w:sz w:val="28"/>
          <w:szCs w:val="28"/>
          <w:b/>
          <w:bCs/>
          <w:spacing w:val="13"/>
        </w:rPr>
        <w:t xml:space="preserve">  </w:t>
      </w:r>
      <w:r>
        <w:rPr>
          <w:rFonts w:ascii="FangSong" w:hAnsi="FangSong" w:eastAsia="FangSong" w:cs="FangSong"/>
          <w:sz w:val="28"/>
          <w:szCs w:val="28"/>
          <w:b/>
          <w:bCs/>
          <w:spacing w:val="-11"/>
        </w:rPr>
        <w:t>工作背景</w:t>
      </w:r>
    </w:p>
    <w:p>
      <w:pPr>
        <w:pStyle w:val="BodyText"/>
        <w:ind w:left="18"/>
        <w:spacing w:before="288" w:line="221" w:lineRule="auto"/>
        <w:outlineLvl w:val="1"/>
        <w:rPr>
          <w:rFonts w:ascii="FangSong" w:hAnsi="FangSong" w:eastAsia="FangSong" w:cs="FangSong"/>
          <w:sz w:val="28"/>
          <w:szCs w:val="28"/>
        </w:rPr>
      </w:pPr>
      <w:bookmarkStart w:name="bookmark43" w:id="3"/>
      <w:bookmarkEnd w:id="3"/>
      <w:r>
        <w:rPr>
          <w:sz w:val="28"/>
          <w:szCs w:val="28"/>
          <w:b/>
          <w:bCs/>
          <w:spacing w:val="-8"/>
        </w:rPr>
        <w:t>1.1</w:t>
      </w:r>
      <w:r>
        <w:rPr>
          <w:sz w:val="28"/>
          <w:szCs w:val="28"/>
          <w:b/>
          <w:bCs/>
          <w:spacing w:val="13"/>
        </w:rPr>
        <w:t xml:space="preserve">  </w:t>
      </w:r>
      <w:r>
        <w:rPr>
          <w:rFonts w:ascii="FangSong" w:hAnsi="FangSong" w:eastAsia="FangSong" w:cs="FangSong"/>
          <w:sz w:val="28"/>
          <w:szCs w:val="28"/>
          <w:b/>
          <w:bCs/>
          <w:spacing w:val="-8"/>
        </w:rPr>
        <w:t>工作由来</w:t>
      </w:r>
    </w:p>
    <w:p>
      <w:pPr>
        <w:pStyle w:val="BodyText"/>
        <w:ind w:left="15" w:firstLine="481"/>
        <w:spacing w:before="230" w:line="360" w:lineRule="auto"/>
        <w:jc w:val="both"/>
        <w:rPr>
          <w:rFonts w:ascii="FangSong" w:hAnsi="FangSong" w:eastAsia="FangSong" w:cs="FangSong"/>
          <w:sz w:val="24"/>
          <w:szCs w:val="24"/>
        </w:rPr>
      </w:pPr>
      <w:r>
        <w:rPr>
          <w:rFonts w:ascii="FangSong" w:hAnsi="FangSong" w:eastAsia="FangSong" w:cs="FangSong"/>
          <w:sz w:val="24"/>
          <w:szCs w:val="24"/>
          <w:spacing w:val="-9"/>
        </w:rPr>
        <w:t>根据《中华人民共和国土壤污染防治法》、《浙江省土壤、地下水和农业农村污染防治“十</w:t>
      </w:r>
      <w:r>
        <w:rPr>
          <w:rFonts w:ascii="FangSong" w:hAnsi="FangSong" w:eastAsia="FangSong" w:cs="FangSong"/>
          <w:sz w:val="24"/>
          <w:szCs w:val="24"/>
          <w:spacing w:val="4"/>
        </w:rPr>
        <w:t xml:space="preserve">  </w:t>
      </w:r>
      <w:r>
        <w:rPr>
          <w:rFonts w:ascii="FangSong" w:hAnsi="FangSong" w:eastAsia="FangSong" w:cs="FangSong"/>
          <w:sz w:val="24"/>
          <w:szCs w:val="24"/>
        </w:rPr>
        <w:t>四五</w:t>
      </w:r>
      <w:r>
        <w:rPr>
          <w:rFonts w:ascii="FangSong" w:hAnsi="FangSong" w:eastAsia="FangSong" w:cs="FangSong"/>
          <w:sz w:val="24"/>
          <w:szCs w:val="24"/>
          <w:spacing w:val="-85"/>
        </w:rPr>
        <w:t xml:space="preserve"> </w:t>
      </w:r>
      <w:r>
        <w:rPr>
          <w:rFonts w:ascii="FangSong" w:hAnsi="FangSong" w:eastAsia="FangSong" w:cs="FangSong"/>
          <w:sz w:val="24"/>
          <w:szCs w:val="24"/>
        </w:rPr>
        <w:t>”规划》、《杭州市生态环境保护“十四五</w:t>
      </w:r>
      <w:r>
        <w:rPr>
          <w:rFonts w:ascii="FangSong" w:hAnsi="FangSong" w:eastAsia="FangSong" w:cs="FangSong"/>
          <w:sz w:val="24"/>
          <w:szCs w:val="24"/>
          <w:spacing w:val="-89"/>
        </w:rPr>
        <w:t xml:space="preserve"> </w:t>
      </w:r>
      <w:r>
        <w:rPr>
          <w:rFonts w:ascii="FangSong" w:hAnsi="FangSong" w:eastAsia="FangSong" w:cs="FangSong"/>
          <w:sz w:val="24"/>
          <w:szCs w:val="24"/>
        </w:rPr>
        <w:t>”规划》、《杭州市土壤污染防治“十四五</w:t>
      </w:r>
      <w:r>
        <w:rPr>
          <w:rFonts w:ascii="FangSong" w:hAnsi="FangSong" w:eastAsia="FangSong" w:cs="FangSong"/>
          <w:sz w:val="24"/>
          <w:szCs w:val="24"/>
          <w:spacing w:val="-88"/>
        </w:rPr>
        <w:t xml:space="preserve"> </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spacing w:val="-3"/>
        </w:rPr>
        <w:t>规划》，浙江环益资源利用股份有限公司被列入杭州市土壤环境重点监管单位，应按照《工业</w:t>
      </w:r>
      <w:r>
        <w:rPr>
          <w:rFonts w:ascii="FangSong" w:hAnsi="FangSong" w:eastAsia="FangSong" w:cs="FangSong"/>
          <w:sz w:val="24"/>
          <w:szCs w:val="24"/>
          <w:spacing w:val="6"/>
        </w:rPr>
        <w:t xml:space="preserve">  </w:t>
      </w:r>
      <w:r>
        <w:rPr>
          <w:rFonts w:ascii="FangSong" w:hAnsi="FangSong" w:eastAsia="FangSong" w:cs="FangSong"/>
          <w:sz w:val="24"/>
          <w:szCs w:val="24"/>
          <w:spacing w:val="-1"/>
        </w:rPr>
        <w:t>企业土壤和地下水自行监测技术指南（试行）》（</w:t>
      </w:r>
      <w:r>
        <w:rPr>
          <w:sz w:val="24"/>
          <w:szCs w:val="24"/>
          <w:spacing w:val="-1"/>
        </w:rPr>
        <w:t>HJ</w:t>
      </w:r>
      <w:r>
        <w:rPr>
          <w:sz w:val="24"/>
          <w:szCs w:val="24"/>
          <w:spacing w:val="28"/>
          <w:w w:val="101"/>
        </w:rPr>
        <w:t xml:space="preserve"> </w:t>
      </w:r>
      <w:r>
        <w:rPr>
          <w:sz w:val="24"/>
          <w:szCs w:val="24"/>
          <w:spacing w:val="-1"/>
        </w:rPr>
        <w:t>120</w:t>
      </w:r>
      <w:r>
        <w:rPr>
          <w:sz w:val="24"/>
          <w:szCs w:val="24"/>
          <w:spacing w:val="-2"/>
        </w:rPr>
        <w:t>9-2021</w:t>
      </w:r>
      <w:r>
        <w:rPr>
          <w:rFonts w:ascii="FangSong" w:hAnsi="FangSong" w:eastAsia="FangSong" w:cs="FangSong"/>
          <w:sz w:val="24"/>
          <w:szCs w:val="24"/>
          <w:spacing w:val="-2"/>
        </w:rPr>
        <w:t>）要求，制定并实施自行监测</w:t>
      </w:r>
      <w:r>
        <w:rPr>
          <w:rFonts w:ascii="FangSong" w:hAnsi="FangSong" w:eastAsia="FangSong" w:cs="FangSong"/>
          <w:sz w:val="24"/>
          <w:szCs w:val="24"/>
        </w:rPr>
        <w:t xml:space="preserve">  </w:t>
      </w:r>
      <w:r>
        <w:rPr>
          <w:rFonts w:ascii="FangSong" w:hAnsi="FangSong" w:eastAsia="FangSong" w:cs="FangSong"/>
          <w:sz w:val="24"/>
          <w:szCs w:val="24"/>
          <w:spacing w:val="-3"/>
        </w:rPr>
        <w:t>方案，并根据自行监测方案定期开展土壤和地下水自行监测工作。因此，浙江环益资源利用股</w:t>
      </w:r>
      <w:r>
        <w:rPr>
          <w:rFonts w:ascii="FangSong" w:hAnsi="FangSong" w:eastAsia="FangSong" w:cs="FangSong"/>
          <w:sz w:val="24"/>
          <w:szCs w:val="24"/>
          <w:spacing w:val="6"/>
        </w:rPr>
        <w:t xml:space="preserve">  </w:t>
      </w:r>
      <w:r>
        <w:rPr>
          <w:rFonts w:ascii="FangSong" w:hAnsi="FangSong" w:eastAsia="FangSong" w:cs="FangSong"/>
          <w:sz w:val="24"/>
          <w:szCs w:val="24"/>
          <w:spacing w:val="-1"/>
        </w:rPr>
        <w:t>份有限公司委托浙江求实环境监测有限公司开展</w:t>
      </w:r>
      <w:r>
        <w:rPr>
          <w:sz w:val="24"/>
          <w:szCs w:val="24"/>
          <w:spacing w:val="-1"/>
        </w:rPr>
        <w:t>2025</w:t>
      </w:r>
      <w:r>
        <w:rPr>
          <w:rFonts w:ascii="FangSong" w:hAnsi="FangSong" w:eastAsia="FangSong" w:cs="FangSong"/>
          <w:sz w:val="24"/>
          <w:szCs w:val="24"/>
          <w:spacing w:val="-1"/>
        </w:rPr>
        <w:t>年度自行监测工作。</w:t>
      </w:r>
    </w:p>
    <w:p>
      <w:pPr>
        <w:pStyle w:val="BodyText"/>
        <w:ind w:left="18"/>
        <w:spacing w:before="58" w:line="221" w:lineRule="auto"/>
        <w:outlineLvl w:val="1"/>
        <w:rPr>
          <w:rFonts w:ascii="FangSong" w:hAnsi="FangSong" w:eastAsia="FangSong" w:cs="FangSong"/>
          <w:sz w:val="28"/>
          <w:szCs w:val="28"/>
        </w:rPr>
      </w:pPr>
      <w:bookmarkStart w:name="bookmark3" w:id="4"/>
      <w:bookmarkEnd w:id="4"/>
      <w:r>
        <w:rPr>
          <w:sz w:val="28"/>
          <w:szCs w:val="28"/>
          <w:b/>
          <w:bCs/>
          <w:spacing w:val="-8"/>
        </w:rPr>
        <w:t>1.2</w:t>
      </w:r>
      <w:r>
        <w:rPr>
          <w:sz w:val="28"/>
          <w:szCs w:val="28"/>
          <w:b/>
          <w:bCs/>
          <w:spacing w:val="13"/>
        </w:rPr>
        <w:t xml:space="preserve">  </w:t>
      </w:r>
      <w:r>
        <w:rPr>
          <w:rFonts w:ascii="FangSong" w:hAnsi="FangSong" w:eastAsia="FangSong" w:cs="FangSong"/>
          <w:sz w:val="28"/>
          <w:szCs w:val="28"/>
          <w:b/>
          <w:bCs/>
          <w:spacing w:val="-8"/>
        </w:rPr>
        <w:t>工作依据</w:t>
      </w:r>
    </w:p>
    <w:p>
      <w:pPr>
        <w:pStyle w:val="BodyText"/>
        <w:ind w:left="20" w:right="210" w:firstLine="480"/>
        <w:spacing w:before="231" w:line="291" w:lineRule="auto"/>
        <w:rPr>
          <w:rFonts w:ascii="FangSong" w:hAnsi="FangSong" w:eastAsia="FangSong" w:cs="FangSong"/>
          <w:sz w:val="24"/>
          <w:szCs w:val="24"/>
        </w:rPr>
      </w:pPr>
      <w:r>
        <w:rPr>
          <w:rFonts w:ascii="FangSong" w:hAnsi="FangSong" w:eastAsia="FangSong" w:cs="FangSong"/>
          <w:sz w:val="24"/>
          <w:szCs w:val="24"/>
          <w:spacing w:val="-1"/>
        </w:rPr>
        <w:t>（</w:t>
      </w:r>
      <w:r>
        <w:rPr>
          <w:sz w:val="24"/>
          <w:szCs w:val="24"/>
          <w:spacing w:val="-1"/>
        </w:rPr>
        <w:t>1</w:t>
      </w:r>
      <w:r>
        <w:rPr>
          <w:rFonts w:ascii="FangSong" w:hAnsi="FangSong" w:eastAsia="FangSong" w:cs="FangSong"/>
          <w:sz w:val="24"/>
          <w:szCs w:val="24"/>
          <w:spacing w:val="-1"/>
        </w:rPr>
        <w:t>）《中华人民共和国环境保护法》（中华人民共和国主席令</w:t>
      </w:r>
      <w:r>
        <w:rPr>
          <w:rFonts w:ascii="FangSong" w:hAnsi="FangSong" w:eastAsia="FangSong" w:cs="FangSong"/>
          <w:sz w:val="24"/>
          <w:szCs w:val="24"/>
          <w:spacing w:val="-2"/>
        </w:rPr>
        <w:t>第九号，</w:t>
      </w:r>
      <w:r>
        <w:rPr>
          <w:sz w:val="24"/>
          <w:szCs w:val="24"/>
          <w:spacing w:val="-2"/>
        </w:rPr>
        <w:t>2015</w:t>
      </w:r>
      <w:r>
        <w:rPr>
          <w:rFonts w:ascii="FangSong" w:hAnsi="FangSong" w:eastAsia="FangSong" w:cs="FangSong"/>
          <w:sz w:val="24"/>
          <w:szCs w:val="24"/>
          <w:spacing w:val="-2"/>
        </w:rPr>
        <w:t>年</w:t>
      </w:r>
      <w:r>
        <w:rPr>
          <w:sz w:val="24"/>
          <w:szCs w:val="24"/>
          <w:spacing w:val="-2"/>
        </w:rPr>
        <w:t>1</w:t>
      </w:r>
      <w:r>
        <w:rPr>
          <w:rFonts w:ascii="FangSong" w:hAnsi="FangSong" w:eastAsia="FangSong" w:cs="FangSong"/>
          <w:sz w:val="24"/>
          <w:szCs w:val="24"/>
          <w:spacing w:val="-2"/>
        </w:rPr>
        <w:t>月</w:t>
      </w:r>
      <w:r>
        <w:rPr>
          <w:sz w:val="24"/>
          <w:szCs w:val="24"/>
          <w:spacing w:val="-2"/>
        </w:rPr>
        <w:t>1 </w:t>
      </w:r>
      <w:r>
        <w:rPr>
          <w:rFonts w:ascii="FangSong" w:hAnsi="FangSong" w:eastAsia="FangSong" w:cs="FangSong"/>
          <w:sz w:val="24"/>
          <w:szCs w:val="24"/>
          <w:spacing w:val="-2"/>
        </w:rPr>
        <w:t>日起</w:t>
      </w:r>
      <w:r>
        <w:rPr>
          <w:rFonts w:ascii="FangSong" w:hAnsi="FangSong" w:eastAsia="FangSong" w:cs="FangSong"/>
          <w:sz w:val="24"/>
          <w:szCs w:val="24"/>
        </w:rPr>
        <w:t xml:space="preserve"> </w:t>
      </w:r>
      <w:r>
        <w:rPr>
          <w:rFonts w:ascii="FangSong" w:hAnsi="FangSong" w:eastAsia="FangSong" w:cs="FangSong"/>
          <w:sz w:val="24"/>
          <w:szCs w:val="24"/>
          <w:spacing w:val="-11"/>
        </w:rPr>
        <w:t>实施</w:t>
      </w:r>
      <w:r>
        <w:rPr>
          <w:rFonts w:ascii="FangSong" w:hAnsi="FangSong" w:eastAsia="FangSong" w:cs="FangSong"/>
          <w:sz w:val="24"/>
          <w:szCs w:val="24"/>
        </w:rPr>
        <w:t>）；</w:t>
      </w:r>
    </w:p>
    <w:p>
      <w:pPr>
        <w:pStyle w:val="BodyText"/>
        <w:ind w:left="500"/>
        <w:spacing w:before="179" w:line="222" w:lineRule="auto"/>
        <w:rPr>
          <w:rFonts w:ascii="FangSong" w:hAnsi="FangSong" w:eastAsia="FangSong" w:cs="FangSong"/>
          <w:sz w:val="24"/>
          <w:szCs w:val="24"/>
        </w:rPr>
      </w:pPr>
      <w:r>
        <w:rPr>
          <w:rFonts w:ascii="FangSong" w:hAnsi="FangSong" w:eastAsia="FangSong" w:cs="FangSong"/>
          <w:sz w:val="24"/>
          <w:szCs w:val="24"/>
          <w:spacing w:val="-3"/>
        </w:rPr>
        <w:t>（</w:t>
      </w:r>
      <w:r>
        <w:rPr>
          <w:sz w:val="24"/>
          <w:szCs w:val="24"/>
          <w:spacing w:val="-3"/>
        </w:rPr>
        <w:t>2</w:t>
      </w:r>
      <w:r>
        <w:rPr>
          <w:rFonts w:ascii="FangSong" w:hAnsi="FangSong" w:eastAsia="FangSong" w:cs="FangSong"/>
          <w:sz w:val="24"/>
          <w:szCs w:val="24"/>
          <w:spacing w:val="-3"/>
        </w:rPr>
        <w:t>）《中华人民共和国土壤污染防治法》，</w:t>
      </w:r>
      <w:r>
        <w:rPr>
          <w:sz w:val="24"/>
          <w:szCs w:val="24"/>
          <w:spacing w:val="-3"/>
        </w:rPr>
        <w:t>2019</w:t>
      </w:r>
      <w:r>
        <w:rPr>
          <w:rFonts w:ascii="FangSong" w:hAnsi="FangSong" w:eastAsia="FangSong" w:cs="FangSong"/>
          <w:sz w:val="24"/>
          <w:szCs w:val="24"/>
          <w:spacing w:val="-3"/>
        </w:rPr>
        <w:t>年</w:t>
      </w:r>
      <w:r>
        <w:rPr>
          <w:sz w:val="24"/>
          <w:szCs w:val="24"/>
          <w:spacing w:val="-3"/>
        </w:rPr>
        <w:t>1</w:t>
      </w:r>
      <w:r>
        <w:rPr>
          <w:rFonts w:ascii="FangSong" w:hAnsi="FangSong" w:eastAsia="FangSong" w:cs="FangSong"/>
          <w:sz w:val="24"/>
          <w:szCs w:val="24"/>
          <w:spacing w:val="-3"/>
        </w:rPr>
        <w:t>月</w:t>
      </w:r>
      <w:r>
        <w:rPr>
          <w:sz w:val="24"/>
          <w:szCs w:val="24"/>
          <w:spacing w:val="-3"/>
        </w:rPr>
        <w:t>1 </w:t>
      </w:r>
      <w:r>
        <w:rPr>
          <w:rFonts w:ascii="FangSong" w:hAnsi="FangSong" w:eastAsia="FangSong" w:cs="FangSong"/>
          <w:sz w:val="24"/>
          <w:szCs w:val="24"/>
          <w:spacing w:val="-3"/>
        </w:rPr>
        <w:t>日实施；</w:t>
      </w:r>
    </w:p>
    <w:p>
      <w:pPr>
        <w:pStyle w:val="BodyText"/>
        <w:ind w:left="27" w:right="208" w:firstLine="473"/>
        <w:spacing w:before="180" w:line="291" w:lineRule="auto"/>
        <w:rPr>
          <w:rFonts w:ascii="FangSong" w:hAnsi="FangSong" w:eastAsia="FangSong" w:cs="FangSong"/>
          <w:sz w:val="24"/>
          <w:szCs w:val="24"/>
        </w:rPr>
      </w:pPr>
      <w:r>
        <w:rPr>
          <w:rFonts w:ascii="FangSong" w:hAnsi="FangSong" w:eastAsia="FangSong" w:cs="FangSong"/>
          <w:sz w:val="24"/>
          <w:szCs w:val="24"/>
          <w:spacing w:val="3"/>
        </w:rPr>
        <w:t>（</w:t>
      </w:r>
      <w:r>
        <w:rPr>
          <w:sz w:val="24"/>
          <w:szCs w:val="24"/>
          <w:spacing w:val="3"/>
        </w:rPr>
        <w:t>3</w:t>
      </w:r>
      <w:r>
        <w:rPr>
          <w:rFonts w:ascii="FangSong" w:hAnsi="FangSong" w:eastAsia="FangSong" w:cs="FangSong"/>
          <w:sz w:val="24"/>
          <w:szCs w:val="24"/>
          <w:spacing w:val="3"/>
        </w:rPr>
        <w:t>）《国务院关于印发土壤污染防治行动计划的通知》（国发〔</w:t>
      </w:r>
      <w:r>
        <w:rPr>
          <w:sz w:val="24"/>
          <w:szCs w:val="24"/>
          <w:spacing w:val="3"/>
        </w:rPr>
        <w:t>2016</w:t>
      </w:r>
      <w:r>
        <w:rPr>
          <w:rFonts w:ascii="FangSong" w:hAnsi="FangSong" w:eastAsia="FangSong" w:cs="FangSong"/>
          <w:sz w:val="24"/>
          <w:szCs w:val="24"/>
          <w:spacing w:val="3"/>
        </w:rPr>
        <w:t>〕</w:t>
      </w:r>
      <w:r>
        <w:rPr>
          <w:sz w:val="24"/>
          <w:szCs w:val="24"/>
          <w:spacing w:val="3"/>
        </w:rPr>
        <w:t>31</w:t>
      </w:r>
      <w:r>
        <w:rPr>
          <w:rFonts w:ascii="FangSong" w:hAnsi="FangSong" w:eastAsia="FangSong" w:cs="FangSong"/>
          <w:sz w:val="24"/>
          <w:szCs w:val="24"/>
          <w:spacing w:val="2"/>
        </w:rPr>
        <w:t>号，</w:t>
      </w:r>
      <w:r>
        <w:rPr>
          <w:sz w:val="24"/>
          <w:szCs w:val="24"/>
          <w:spacing w:val="2"/>
        </w:rPr>
        <w:t>2016</w:t>
      </w:r>
      <w:r>
        <w:rPr>
          <w:rFonts w:ascii="FangSong" w:hAnsi="FangSong" w:eastAsia="FangSong" w:cs="FangSong"/>
          <w:sz w:val="24"/>
          <w:szCs w:val="24"/>
          <w:spacing w:val="2"/>
        </w:rPr>
        <w:t>年</w:t>
      </w:r>
      <w:r>
        <w:rPr>
          <w:sz w:val="24"/>
          <w:szCs w:val="24"/>
          <w:spacing w:val="2"/>
        </w:rPr>
        <w:t>5</w:t>
      </w:r>
      <w:r>
        <w:rPr>
          <w:sz w:val="24"/>
          <w:szCs w:val="24"/>
        </w:rPr>
        <w:t xml:space="preserve"> </w:t>
      </w:r>
      <w:r>
        <w:rPr>
          <w:rFonts w:ascii="FangSong" w:hAnsi="FangSong" w:eastAsia="FangSong" w:cs="FangSong"/>
          <w:sz w:val="24"/>
          <w:szCs w:val="24"/>
          <w:spacing w:val="-4"/>
        </w:rPr>
        <w:t>月</w:t>
      </w:r>
      <w:r>
        <w:rPr>
          <w:sz w:val="24"/>
          <w:szCs w:val="24"/>
          <w:spacing w:val="-4"/>
        </w:rPr>
        <w:t>28</w:t>
      </w:r>
      <w:r>
        <w:rPr>
          <w:rFonts w:ascii="FangSong" w:hAnsi="FangSong" w:eastAsia="FangSong" w:cs="FangSong"/>
          <w:sz w:val="24"/>
          <w:szCs w:val="24"/>
          <w:spacing w:val="-4"/>
        </w:rPr>
        <w:t>日起实施</w:t>
      </w:r>
      <w:r>
        <w:rPr>
          <w:rFonts w:ascii="FangSong" w:hAnsi="FangSong" w:eastAsia="FangSong" w:cs="FangSong"/>
          <w:sz w:val="24"/>
          <w:szCs w:val="24"/>
        </w:rPr>
        <w:t>）；</w:t>
      </w:r>
    </w:p>
    <w:p>
      <w:pPr>
        <w:pStyle w:val="BodyText"/>
        <w:ind w:left="500"/>
        <w:spacing w:before="178" w:line="222" w:lineRule="auto"/>
        <w:rPr>
          <w:rFonts w:ascii="FangSong" w:hAnsi="FangSong" w:eastAsia="FangSong" w:cs="FangSong"/>
          <w:sz w:val="24"/>
          <w:szCs w:val="24"/>
        </w:rPr>
      </w:pPr>
      <w:r>
        <w:rPr>
          <w:rFonts w:ascii="FangSong" w:hAnsi="FangSong" w:eastAsia="FangSong" w:cs="FangSong"/>
          <w:sz w:val="24"/>
          <w:szCs w:val="24"/>
          <w:spacing w:val="-2"/>
        </w:rPr>
        <w:t>（</w:t>
      </w:r>
      <w:r>
        <w:rPr>
          <w:sz w:val="24"/>
          <w:szCs w:val="24"/>
          <w:spacing w:val="-2"/>
        </w:rPr>
        <w:t>4</w:t>
      </w:r>
      <w:r>
        <w:rPr>
          <w:rFonts w:ascii="FangSong" w:hAnsi="FangSong" w:eastAsia="FangSong" w:cs="FangSong"/>
          <w:sz w:val="24"/>
          <w:szCs w:val="24"/>
          <w:spacing w:val="-2"/>
        </w:rPr>
        <w:t>）《浙江省土壤、地下水和农业农村污染防治“十四五</w:t>
      </w:r>
      <w:r>
        <w:rPr>
          <w:rFonts w:ascii="FangSong" w:hAnsi="FangSong" w:eastAsia="FangSong" w:cs="FangSong"/>
          <w:sz w:val="24"/>
          <w:szCs w:val="24"/>
          <w:spacing w:val="-80"/>
        </w:rPr>
        <w:t xml:space="preserve"> </w:t>
      </w:r>
      <w:r>
        <w:rPr>
          <w:rFonts w:ascii="FangSong" w:hAnsi="FangSong" w:eastAsia="FangSong" w:cs="FangSong"/>
          <w:sz w:val="24"/>
          <w:szCs w:val="24"/>
          <w:spacing w:val="-2"/>
        </w:rPr>
        <w:t>”规划》；</w:t>
      </w:r>
    </w:p>
    <w:p>
      <w:pPr>
        <w:pStyle w:val="BodyText"/>
        <w:ind w:left="500"/>
        <w:spacing w:before="180" w:line="221" w:lineRule="auto"/>
        <w:rPr>
          <w:rFonts w:ascii="FangSong" w:hAnsi="FangSong" w:eastAsia="FangSong" w:cs="FangSong"/>
          <w:sz w:val="24"/>
          <w:szCs w:val="24"/>
        </w:rPr>
      </w:pPr>
      <w:r>
        <w:rPr>
          <w:rFonts w:ascii="FangSong" w:hAnsi="FangSong" w:eastAsia="FangSong" w:cs="FangSong"/>
          <w:sz w:val="24"/>
          <w:szCs w:val="24"/>
          <w:spacing w:val="-3"/>
        </w:rPr>
        <w:t>（</w:t>
      </w:r>
      <w:r>
        <w:rPr>
          <w:sz w:val="24"/>
          <w:szCs w:val="24"/>
          <w:spacing w:val="-3"/>
        </w:rPr>
        <w:t>5</w:t>
      </w:r>
      <w:r>
        <w:rPr>
          <w:rFonts w:ascii="FangSong" w:hAnsi="FangSong" w:eastAsia="FangSong" w:cs="FangSong"/>
          <w:sz w:val="24"/>
          <w:szCs w:val="24"/>
          <w:spacing w:val="-3"/>
        </w:rPr>
        <w:t>）《杭州市生态环境保护“十四五</w:t>
      </w:r>
      <w:r>
        <w:rPr>
          <w:rFonts w:ascii="FangSong" w:hAnsi="FangSong" w:eastAsia="FangSong" w:cs="FangSong"/>
          <w:sz w:val="24"/>
          <w:szCs w:val="24"/>
          <w:spacing w:val="-76"/>
        </w:rPr>
        <w:t xml:space="preserve"> </w:t>
      </w:r>
      <w:r>
        <w:rPr>
          <w:rFonts w:ascii="FangSong" w:hAnsi="FangSong" w:eastAsia="FangSong" w:cs="FangSong"/>
          <w:sz w:val="24"/>
          <w:szCs w:val="24"/>
          <w:spacing w:val="-3"/>
        </w:rPr>
        <w:t>”规划》；</w:t>
      </w:r>
    </w:p>
    <w:p>
      <w:pPr>
        <w:pStyle w:val="BodyText"/>
        <w:ind w:left="500"/>
        <w:spacing w:before="181" w:line="222" w:lineRule="auto"/>
        <w:rPr>
          <w:rFonts w:ascii="FangSong" w:hAnsi="FangSong" w:eastAsia="FangSong" w:cs="FangSong"/>
          <w:sz w:val="24"/>
          <w:szCs w:val="24"/>
        </w:rPr>
      </w:pPr>
      <w:r>
        <w:rPr>
          <w:rFonts w:ascii="FangSong" w:hAnsi="FangSong" w:eastAsia="FangSong" w:cs="FangSong"/>
          <w:sz w:val="24"/>
          <w:szCs w:val="24"/>
          <w:spacing w:val="-2"/>
        </w:rPr>
        <w:t>（</w:t>
      </w:r>
      <w:r>
        <w:rPr>
          <w:sz w:val="24"/>
          <w:szCs w:val="24"/>
          <w:spacing w:val="-2"/>
        </w:rPr>
        <w:t>6</w:t>
      </w:r>
      <w:r>
        <w:rPr>
          <w:rFonts w:ascii="FangSong" w:hAnsi="FangSong" w:eastAsia="FangSong" w:cs="FangSong"/>
          <w:sz w:val="24"/>
          <w:szCs w:val="24"/>
          <w:spacing w:val="-2"/>
        </w:rPr>
        <w:t>）《杭州市土壤污染防治“十四五</w:t>
      </w:r>
      <w:r>
        <w:rPr>
          <w:rFonts w:ascii="FangSong" w:hAnsi="FangSong" w:eastAsia="FangSong" w:cs="FangSong"/>
          <w:sz w:val="24"/>
          <w:szCs w:val="24"/>
          <w:spacing w:val="-88"/>
        </w:rPr>
        <w:t xml:space="preserve"> </w:t>
      </w:r>
      <w:r>
        <w:rPr>
          <w:rFonts w:ascii="FangSong" w:hAnsi="FangSong" w:eastAsia="FangSong" w:cs="FangSong"/>
          <w:sz w:val="24"/>
          <w:szCs w:val="24"/>
          <w:spacing w:val="-2"/>
        </w:rPr>
        <w:t>”规划》（杭土固办〔</w:t>
      </w:r>
      <w:r>
        <w:rPr>
          <w:sz w:val="24"/>
          <w:szCs w:val="24"/>
          <w:spacing w:val="-2"/>
        </w:rPr>
        <w:t>2022</w:t>
      </w:r>
      <w:r>
        <w:rPr>
          <w:rFonts w:ascii="FangSong" w:hAnsi="FangSong" w:eastAsia="FangSong" w:cs="FangSong"/>
          <w:sz w:val="24"/>
          <w:szCs w:val="24"/>
          <w:spacing w:val="-2"/>
        </w:rPr>
        <w:t>〕</w:t>
      </w:r>
      <w:r>
        <w:rPr>
          <w:sz w:val="24"/>
          <w:szCs w:val="24"/>
          <w:spacing w:val="-2"/>
        </w:rPr>
        <w:t>1</w:t>
      </w:r>
      <w:r>
        <w:rPr>
          <w:rFonts w:ascii="FangSong" w:hAnsi="FangSong" w:eastAsia="FangSong" w:cs="FangSong"/>
          <w:sz w:val="24"/>
          <w:szCs w:val="24"/>
          <w:spacing w:val="-2"/>
        </w:rPr>
        <w:t>号</w:t>
      </w:r>
      <w:r>
        <w:rPr>
          <w:rFonts w:ascii="FangSong" w:hAnsi="FangSong" w:eastAsia="FangSong" w:cs="FangSong"/>
          <w:sz w:val="24"/>
          <w:szCs w:val="24"/>
          <w:spacing w:val="7"/>
        </w:rPr>
        <w:t>）；</w:t>
      </w:r>
    </w:p>
    <w:p>
      <w:pPr>
        <w:pStyle w:val="BodyText"/>
        <w:ind w:left="500"/>
        <w:spacing w:before="179" w:line="221" w:lineRule="auto"/>
        <w:rPr>
          <w:rFonts w:ascii="FangSong" w:hAnsi="FangSong" w:eastAsia="FangSong" w:cs="FangSong"/>
          <w:sz w:val="24"/>
          <w:szCs w:val="24"/>
        </w:rPr>
      </w:pPr>
      <w:r>
        <w:rPr>
          <w:rFonts w:ascii="FangSong" w:hAnsi="FangSong" w:eastAsia="FangSong" w:cs="FangSong"/>
          <w:sz w:val="24"/>
          <w:szCs w:val="24"/>
          <w:spacing w:val="-1"/>
        </w:rPr>
        <w:t>（</w:t>
      </w:r>
      <w:r>
        <w:rPr>
          <w:sz w:val="24"/>
          <w:szCs w:val="24"/>
          <w:spacing w:val="-1"/>
        </w:rPr>
        <w:t>7</w:t>
      </w:r>
      <w:r>
        <w:rPr>
          <w:rFonts w:ascii="FangSong" w:hAnsi="FangSong" w:eastAsia="FangSong" w:cs="FangSong"/>
          <w:sz w:val="24"/>
          <w:szCs w:val="24"/>
          <w:spacing w:val="-1"/>
        </w:rPr>
        <w:t>）《工业企业土壤和地下水自行监测技术指南（试行）</w:t>
      </w:r>
      <w:r>
        <w:rPr>
          <w:rFonts w:ascii="FangSong" w:hAnsi="FangSong" w:eastAsia="FangSong" w:cs="FangSong"/>
          <w:sz w:val="24"/>
          <w:szCs w:val="24"/>
          <w:spacing w:val="-2"/>
        </w:rPr>
        <w:t>》（</w:t>
      </w:r>
      <w:r>
        <w:rPr>
          <w:sz w:val="24"/>
          <w:szCs w:val="24"/>
          <w:spacing w:val="-2"/>
        </w:rPr>
        <w:t>HJ</w:t>
      </w:r>
      <w:r>
        <w:rPr>
          <w:sz w:val="24"/>
          <w:szCs w:val="24"/>
          <w:spacing w:val="29"/>
        </w:rPr>
        <w:t xml:space="preserve"> </w:t>
      </w:r>
      <w:r>
        <w:rPr>
          <w:sz w:val="24"/>
          <w:szCs w:val="24"/>
          <w:spacing w:val="-2"/>
        </w:rPr>
        <w:t>1209-2021</w:t>
      </w:r>
      <w:r>
        <w:rPr>
          <w:rFonts w:ascii="FangSong" w:hAnsi="FangSong" w:eastAsia="FangSong" w:cs="FangSong"/>
          <w:sz w:val="24"/>
          <w:szCs w:val="24"/>
        </w:rPr>
        <w:t>）；</w:t>
      </w:r>
    </w:p>
    <w:p>
      <w:pPr>
        <w:pStyle w:val="BodyText"/>
        <w:ind w:left="21" w:right="208" w:firstLine="479"/>
        <w:spacing w:before="181" w:line="291" w:lineRule="auto"/>
        <w:rPr>
          <w:rFonts w:ascii="FangSong" w:hAnsi="FangSong" w:eastAsia="FangSong" w:cs="FangSong"/>
          <w:sz w:val="24"/>
          <w:szCs w:val="24"/>
        </w:rPr>
      </w:pPr>
      <w:r>
        <w:rPr>
          <w:rFonts w:ascii="FangSong" w:hAnsi="FangSong" w:eastAsia="FangSong" w:cs="FangSong"/>
          <w:sz w:val="24"/>
          <w:szCs w:val="24"/>
          <w:spacing w:val="3"/>
        </w:rPr>
        <w:t>（</w:t>
      </w:r>
      <w:r>
        <w:rPr>
          <w:sz w:val="24"/>
          <w:szCs w:val="24"/>
          <w:spacing w:val="3"/>
        </w:rPr>
        <w:t>8</w:t>
      </w:r>
      <w:r>
        <w:rPr>
          <w:rFonts w:ascii="FangSong" w:hAnsi="FangSong" w:eastAsia="FangSong" w:cs="FangSong"/>
          <w:sz w:val="24"/>
          <w:szCs w:val="24"/>
          <w:spacing w:val="3"/>
        </w:rPr>
        <w:t>）《重点监管单位土壤污染隐患排查指南（试行）》（生态环境部公告，</w:t>
      </w:r>
      <w:r>
        <w:rPr>
          <w:sz w:val="24"/>
          <w:szCs w:val="24"/>
          <w:spacing w:val="3"/>
        </w:rPr>
        <w:t>2021</w:t>
      </w:r>
      <w:r>
        <w:rPr>
          <w:rFonts w:ascii="FangSong" w:hAnsi="FangSong" w:eastAsia="FangSong" w:cs="FangSong"/>
          <w:sz w:val="24"/>
          <w:szCs w:val="24"/>
          <w:spacing w:val="3"/>
        </w:rPr>
        <w:t>年第</w:t>
      </w:r>
      <w:r>
        <w:rPr>
          <w:sz w:val="24"/>
          <w:szCs w:val="24"/>
          <w:spacing w:val="3"/>
        </w:rPr>
        <w:t>1</w:t>
      </w:r>
      <w:r>
        <w:rPr>
          <w:sz w:val="24"/>
          <w:szCs w:val="24"/>
          <w:spacing w:val="1"/>
        </w:rPr>
        <w:t xml:space="preserve"> </w:t>
      </w:r>
      <w:r>
        <w:rPr>
          <w:rFonts w:ascii="FangSong" w:hAnsi="FangSong" w:eastAsia="FangSong" w:cs="FangSong"/>
          <w:sz w:val="24"/>
          <w:szCs w:val="24"/>
          <w:spacing w:val="-22"/>
        </w:rPr>
        <w:t>号</w:t>
      </w:r>
      <w:r>
        <w:rPr>
          <w:rFonts w:ascii="FangSong" w:hAnsi="FangSong" w:eastAsia="FangSong" w:cs="FangSong"/>
          <w:sz w:val="24"/>
          <w:szCs w:val="24"/>
        </w:rPr>
        <w:t>）；</w:t>
      </w:r>
    </w:p>
    <w:p>
      <w:pPr>
        <w:pStyle w:val="BodyText"/>
        <w:ind w:left="500"/>
        <w:spacing w:before="180" w:line="222" w:lineRule="auto"/>
        <w:rPr>
          <w:rFonts w:ascii="FangSong" w:hAnsi="FangSong" w:eastAsia="FangSong" w:cs="FangSong"/>
          <w:sz w:val="24"/>
          <w:szCs w:val="24"/>
        </w:rPr>
      </w:pPr>
      <w:r>
        <w:rPr>
          <w:rFonts w:ascii="FangSong" w:hAnsi="FangSong" w:eastAsia="FangSong" w:cs="FangSong"/>
          <w:sz w:val="24"/>
          <w:szCs w:val="24"/>
          <w:spacing w:val="-1"/>
        </w:rPr>
        <w:t>（</w:t>
      </w:r>
      <w:r>
        <w:rPr>
          <w:sz w:val="24"/>
          <w:szCs w:val="24"/>
          <w:spacing w:val="-1"/>
        </w:rPr>
        <w:t>9</w:t>
      </w:r>
      <w:r>
        <w:rPr>
          <w:rFonts w:ascii="FangSong" w:hAnsi="FangSong" w:eastAsia="FangSong" w:cs="FangSong"/>
          <w:sz w:val="24"/>
          <w:szCs w:val="24"/>
          <w:spacing w:val="-1"/>
        </w:rPr>
        <w:t>）《土壤环境质量建设用地土壤污染风险管控标准》（</w:t>
      </w:r>
      <w:r>
        <w:rPr>
          <w:sz w:val="24"/>
          <w:szCs w:val="24"/>
          <w:spacing w:val="-1"/>
        </w:rPr>
        <w:t>GB 36600-2018</w:t>
      </w:r>
      <w:r>
        <w:rPr>
          <w:rFonts w:ascii="FangSong" w:hAnsi="FangSong" w:eastAsia="FangSong" w:cs="FangSong"/>
          <w:sz w:val="24"/>
          <w:szCs w:val="24"/>
          <w:spacing w:val="8"/>
        </w:rPr>
        <w:t>）；</w:t>
      </w:r>
    </w:p>
    <w:p>
      <w:pPr>
        <w:pStyle w:val="BodyText"/>
        <w:ind w:left="500"/>
        <w:spacing w:before="179" w:line="222" w:lineRule="auto"/>
        <w:rPr>
          <w:rFonts w:ascii="FangSong" w:hAnsi="FangSong" w:eastAsia="FangSong" w:cs="FangSong"/>
          <w:sz w:val="24"/>
          <w:szCs w:val="24"/>
        </w:rPr>
      </w:pPr>
      <w:r>
        <w:rPr>
          <w:rFonts w:ascii="FangSong" w:hAnsi="FangSong" w:eastAsia="FangSong" w:cs="FangSong"/>
          <w:sz w:val="24"/>
          <w:szCs w:val="24"/>
          <w:spacing w:val="-2"/>
        </w:rPr>
        <w:t>（</w:t>
      </w:r>
      <w:r>
        <w:rPr>
          <w:sz w:val="24"/>
          <w:szCs w:val="24"/>
          <w:spacing w:val="-2"/>
        </w:rPr>
        <w:t>10</w:t>
      </w:r>
      <w:r>
        <w:rPr>
          <w:rFonts w:ascii="FangSong" w:hAnsi="FangSong" w:eastAsia="FangSong" w:cs="FangSong"/>
          <w:sz w:val="24"/>
          <w:szCs w:val="24"/>
          <w:spacing w:val="-2"/>
        </w:rPr>
        <w:t>）《地下水质量标准》（</w:t>
      </w:r>
      <w:r>
        <w:rPr>
          <w:sz w:val="24"/>
          <w:szCs w:val="24"/>
          <w:spacing w:val="-2"/>
        </w:rPr>
        <w:t>GB/T</w:t>
      </w:r>
      <w:r>
        <w:rPr>
          <w:sz w:val="24"/>
          <w:szCs w:val="24"/>
          <w:spacing w:val="29"/>
        </w:rPr>
        <w:t xml:space="preserve"> </w:t>
      </w:r>
      <w:r>
        <w:rPr>
          <w:sz w:val="24"/>
          <w:szCs w:val="24"/>
          <w:spacing w:val="-2"/>
        </w:rPr>
        <w:t>14848-2017</w:t>
      </w:r>
      <w:r>
        <w:rPr>
          <w:rFonts w:ascii="FangSong" w:hAnsi="FangSong" w:eastAsia="FangSong" w:cs="FangSong"/>
          <w:sz w:val="24"/>
          <w:szCs w:val="24"/>
          <w:spacing w:val="1"/>
        </w:rPr>
        <w:t>）；</w:t>
      </w:r>
    </w:p>
    <w:p>
      <w:pPr>
        <w:pStyle w:val="BodyText"/>
        <w:ind w:left="500"/>
        <w:spacing w:before="180" w:line="219" w:lineRule="auto"/>
        <w:rPr>
          <w:rFonts w:ascii="FangSong" w:hAnsi="FangSong" w:eastAsia="FangSong" w:cs="FangSong"/>
          <w:sz w:val="24"/>
          <w:szCs w:val="24"/>
        </w:rPr>
      </w:pPr>
      <w:r>
        <w:rPr>
          <w:rFonts w:ascii="FangSong" w:hAnsi="FangSong" w:eastAsia="FangSong" w:cs="FangSong"/>
          <w:sz w:val="24"/>
          <w:szCs w:val="24"/>
          <w:spacing w:val="-1"/>
        </w:rPr>
        <w:t>（</w:t>
      </w:r>
      <w:r>
        <w:rPr>
          <w:sz w:val="24"/>
          <w:szCs w:val="24"/>
          <w:spacing w:val="-1"/>
        </w:rPr>
        <w:t>11</w:t>
      </w:r>
      <w:r>
        <w:rPr>
          <w:rFonts w:ascii="FangSong" w:hAnsi="FangSong" w:eastAsia="FangSong" w:cs="FangSong"/>
          <w:sz w:val="24"/>
          <w:szCs w:val="24"/>
          <w:spacing w:val="-1"/>
        </w:rPr>
        <w:t>）《地块土壤和地下水中挥发性有机物采样技术导则</w:t>
      </w:r>
      <w:r>
        <w:rPr>
          <w:rFonts w:ascii="FangSong" w:hAnsi="FangSong" w:eastAsia="FangSong" w:cs="FangSong"/>
          <w:sz w:val="24"/>
          <w:szCs w:val="24"/>
          <w:spacing w:val="-2"/>
        </w:rPr>
        <w:t>》（</w:t>
      </w:r>
      <w:r>
        <w:rPr>
          <w:sz w:val="24"/>
          <w:szCs w:val="24"/>
          <w:spacing w:val="-2"/>
        </w:rPr>
        <w:t>HJ</w:t>
      </w:r>
      <w:r>
        <w:rPr>
          <w:sz w:val="24"/>
          <w:szCs w:val="24"/>
          <w:spacing w:val="29"/>
        </w:rPr>
        <w:t xml:space="preserve"> </w:t>
      </w:r>
      <w:r>
        <w:rPr>
          <w:sz w:val="24"/>
          <w:szCs w:val="24"/>
          <w:spacing w:val="-2"/>
        </w:rPr>
        <w:t>1019-2019</w:t>
      </w:r>
      <w:r>
        <w:rPr>
          <w:rFonts w:ascii="FangSong" w:hAnsi="FangSong" w:eastAsia="FangSong" w:cs="FangSong"/>
          <w:sz w:val="24"/>
          <w:szCs w:val="24"/>
        </w:rPr>
        <w:t>）；</w:t>
      </w:r>
    </w:p>
    <w:p>
      <w:pPr>
        <w:pStyle w:val="BodyText"/>
        <w:ind w:left="500"/>
        <w:spacing w:before="183" w:line="222" w:lineRule="auto"/>
        <w:rPr>
          <w:rFonts w:ascii="FangSong" w:hAnsi="FangSong" w:eastAsia="FangSong" w:cs="FangSong"/>
          <w:sz w:val="24"/>
          <w:szCs w:val="24"/>
        </w:rPr>
      </w:pPr>
      <w:r>
        <w:rPr>
          <w:rFonts w:ascii="FangSong" w:hAnsi="FangSong" w:eastAsia="FangSong" w:cs="FangSong"/>
          <w:sz w:val="24"/>
          <w:szCs w:val="24"/>
          <w:spacing w:val="-2"/>
        </w:rPr>
        <w:t>（</w:t>
      </w:r>
      <w:r>
        <w:rPr>
          <w:sz w:val="24"/>
          <w:szCs w:val="24"/>
          <w:spacing w:val="-2"/>
        </w:rPr>
        <w:t>12</w:t>
      </w:r>
      <w:r>
        <w:rPr>
          <w:rFonts w:ascii="FangSong" w:hAnsi="FangSong" w:eastAsia="FangSong" w:cs="FangSong"/>
          <w:sz w:val="24"/>
          <w:szCs w:val="24"/>
          <w:spacing w:val="-2"/>
        </w:rPr>
        <w:t>）《土壤环境监测技术规范》（</w:t>
      </w:r>
      <w:r>
        <w:rPr>
          <w:sz w:val="24"/>
          <w:szCs w:val="24"/>
          <w:spacing w:val="-2"/>
        </w:rPr>
        <w:t>HJ/T</w:t>
      </w:r>
      <w:r>
        <w:rPr>
          <w:sz w:val="24"/>
          <w:szCs w:val="24"/>
          <w:spacing w:val="29"/>
        </w:rPr>
        <w:t xml:space="preserve"> </w:t>
      </w:r>
      <w:r>
        <w:rPr>
          <w:sz w:val="24"/>
          <w:szCs w:val="24"/>
          <w:spacing w:val="-2"/>
        </w:rPr>
        <w:t>166-2004</w:t>
      </w:r>
      <w:r>
        <w:rPr>
          <w:rFonts w:ascii="FangSong" w:hAnsi="FangSong" w:eastAsia="FangSong" w:cs="FangSong"/>
          <w:sz w:val="24"/>
          <w:szCs w:val="24"/>
          <w:spacing w:val="3"/>
        </w:rPr>
        <w:t>）；</w:t>
      </w:r>
    </w:p>
    <w:p>
      <w:pPr>
        <w:pStyle w:val="BodyText"/>
        <w:ind w:left="500"/>
        <w:spacing w:before="179" w:line="222" w:lineRule="auto"/>
        <w:rPr>
          <w:rFonts w:ascii="FangSong" w:hAnsi="FangSong" w:eastAsia="FangSong" w:cs="FangSong"/>
          <w:sz w:val="24"/>
          <w:szCs w:val="24"/>
        </w:rPr>
      </w:pPr>
      <w:r>
        <w:rPr>
          <w:rFonts w:ascii="FangSong" w:hAnsi="FangSong" w:eastAsia="FangSong" w:cs="FangSong"/>
          <w:sz w:val="24"/>
          <w:szCs w:val="24"/>
          <w:spacing w:val="-2"/>
        </w:rPr>
        <w:t>（</w:t>
      </w:r>
      <w:r>
        <w:rPr>
          <w:sz w:val="24"/>
          <w:szCs w:val="24"/>
          <w:spacing w:val="-2"/>
        </w:rPr>
        <w:t>13</w:t>
      </w:r>
      <w:r>
        <w:rPr>
          <w:rFonts w:ascii="FangSong" w:hAnsi="FangSong" w:eastAsia="FangSong" w:cs="FangSong"/>
          <w:sz w:val="24"/>
          <w:szCs w:val="24"/>
          <w:spacing w:val="-2"/>
        </w:rPr>
        <w:t>）《地下水环境监测技术规范》（</w:t>
      </w:r>
      <w:r>
        <w:rPr>
          <w:sz w:val="24"/>
          <w:szCs w:val="24"/>
          <w:spacing w:val="-2"/>
        </w:rPr>
        <w:t>HJ</w:t>
      </w:r>
      <w:r>
        <w:rPr>
          <w:sz w:val="24"/>
          <w:szCs w:val="24"/>
          <w:spacing w:val="29"/>
        </w:rPr>
        <w:t xml:space="preserve"> </w:t>
      </w:r>
      <w:r>
        <w:rPr>
          <w:sz w:val="24"/>
          <w:szCs w:val="24"/>
          <w:spacing w:val="-2"/>
        </w:rPr>
        <w:t>164-2020</w:t>
      </w:r>
      <w:r>
        <w:rPr>
          <w:rFonts w:ascii="FangSong" w:hAnsi="FangSong" w:eastAsia="FangSong" w:cs="FangSong"/>
          <w:sz w:val="24"/>
          <w:szCs w:val="24"/>
          <w:spacing w:val="2"/>
        </w:rPr>
        <w:t>）；</w:t>
      </w:r>
    </w:p>
    <w:p>
      <w:pPr>
        <w:pStyle w:val="BodyText"/>
        <w:ind w:left="500"/>
        <w:spacing w:before="180" w:line="222" w:lineRule="auto"/>
        <w:rPr>
          <w:rFonts w:ascii="FangSong" w:hAnsi="FangSong" w:eastAsia="FangSong" w:cs="FangSong"/>
          <w:sz w:val="24"/>
          <w:szCs w:val="24"/>
        </w:rPr>
      </w:pPr>
      <w:r>
        <w:rPr>
          <w:rFonts w:ascii="FangSong" w:hAnsi="FangSong" w:eastAsia="FangSong" w:cs="FangSong"/>
          <w:sz w:val="24"/>
          <w:szCs w:val="24"/>
          <w:spacing w:val="-1"/>
        </w:rPr>
        <w:t>（</w:t>
      </w:r>
      <w:r>
        <w:rPr>
          <w:sz w:val="24"/>
          <w:szCs w:val="24"/>
          <w:spacing w:val="-1"/>
        </w:rPr>
        <w:t>14</w:t>
      </w:r>
      <w:r>
        <w:rPr>
          <w:rFonts w:ascii="FangSong" w:hAnsi="FangSong" w:eastAsia="FangSong" w:cs="FangSong"/>
          <w:sz w:val="24"/>
          <w:szCs w:val="24"/>
          <w:spacing w:val="-1"/>
        </w:rPr>
        <w:t>）《地下水管理条例》（国令第</w:t>
      </w:r>
      <w:r>
        <w:rPr>
          <w:sz w:val="24"/>
          <w:szCs w:val="24"/>
          <w:spacing w:val="-1"/>
        </w:rPr>
        <w:t>748</w:t>
      </w:r>
      <w:r>
        <w:rPr>
          <w:rFonts w:ascii="FangSong" w:hAnsi="FangSong" w:eastAsia="FangSong" w:cs="FangSong"/>
          <w:sz w:val="24"/>
          <w:szCs w:val="24"/>
          <w:spacing w:val="-1"/>
        </w:rPr>
        <w:t>号，</w:t>
      </w:r>
      <w:r>
        <w:rPr>
          <w:sz w:val="24"/>
          <w:szCs w:val="24"/>
          <w:spacing w:val="-1"/>
        </w:rPr>
        <w:t>2021</w:t>
      </w:r>
      <w:r>
        <w:rPr>
          <w:rFonts w:ascii="FangSong" w:hAnsi="FangSong" w:eastAsia="FangSong" w:cs="FangSong"/>
          <w:sz w:val="24"/>
          <w:szCs w:val="24"/>
          <w:spacing w:val="-1"/>
        </w:rPr>
        <w:t>年</w:t>
      </w:r>
      <w:r>
        <w:rPr>
          <w:sz w:val="24"/>
          <w:szCs w:val="24"/>
          <w:spacing w:val="-1"/>
        </w:rPr>
        <w:t>11</w:t>
      </w:r>
      <w:r>
        <w:rPr>
          <w:rFonts w:ascii="FangSong" w:hAnsi="FangSong" w:eastAsia="FangSong" w:cs="FangSong"/>
          <w:sz w:val="24"/>
          <w:szCs w:val="24"/>
          <w:spacing w:val="-1"/>
        </w:rPr>
        <w:t>月</w:t>
      </w:r>
      <w:r>
        <w:rPr>
          <w:sz w:val="24"/>
          <w:szCs w:val="24"/>
          <w:spacing w:val="-1"/>
        </w:rPr>
        <w:t>09</w:t>
      </w:r>
      <w:r>
        <w:rPr>
          <w:rFonts w:ascii="FangSong" w:hAnsi="FangSong" w:eastAsia="FangSong" w:cs="FangSong"/>
          <w:sz w:val="24"/>
          <w:szCs w:val="24"/>
          <w:spacing w:val="-1"/>
        </w:rPr>
        <w:t>日</w:t>
      </w:r>
      <w:r>
        <w:rPr>
          <w:rFonts w:ascii="FangSong" w:hAnsi="FangSong" w:eastAsia="FangSong" w:cs="FangSong"/>
          <w:sz w:val="24"/>
          <w:szCs w:val="24"/>
          <w:spacing w:val="5"/>
        </w:rPr>
        <w:t>）；</w:t>
      </w:r>
    </w:p>
    <w:p>
      <w:pPr>
        <w:pStyle w:val="BodyText"/>
        <w:ind w:left="500"/>
        <w:spacing w:before="179" w:line="222" w:lineRule="auto"/>
        <w:rPr>
          <w:rFonts w:ascii="FangSong" w:hAnsi="FangSong" w:eastAsia="FangSong" w:cs="FangSong"/>
          <w:sz w:val="24"/>
          <w:szCs w:val="24"/>
        </w:rPr>
      </w:pPr>
      <w:r>
        <w:rPr>
          <w:rFonts w:ascii="FangSong" w:hAnsi="FangSong" w:eastAsia="FangSong" w:cs="FangSong"/>
          <w:sz w:val="24"/>
          <w:szCs w:val="24"/>
          <w:spacing w:val="-1"/>
        </w:rPr>
        <w:t>（</w:t>
      </w:r>
      <w:r>
        <w:rPr>
          <w:sz w:val="24"/>
          <w:szCs w:val="24"/>
          <w:spacing w:val="-1"/>
        </w:rPr>
        <w:t>15</w:t>
      </w:r>
      <w:r>
        <w:rPr>
          <w:rFonts w:ascii="FangSong" w:hAnsi="FangSong" w:eastAsia="FangSong" w:cs="FangSong"/>
          <w:sz w:val="24"/>
          <w:szCs w:val="24"/>
          <w:spacing w:val="-1"/>
        </w:rPr>
        <w:t>）《建设用地土壤污染状况调查</w:t>
      </w:r>
      <w:r>
        <w:rPr>
          <w:rFonts w:ascii="FangSong" w:hAnsi="FangSong" w:eastAsia="FangSong" w:cs="FangSong"/>
          <w:sz w:val="24"/>
          <w:szCs w:val="24"/>
          <w:spacing w:val="-1"/>
        </w:rPr>
        <w:t xml:space="preserve"> </w:t>
      </w:r>
      <w:r>
        <w:rPr>
          <w:rFonts w:ascii="FangSong" w:hAnsi="FangSong" w:eastAsia="FangSong" w:cs="FangSong"/>
          <w:sz w:val="24"/>
          <w:szCs w:val="24"/>
          <w:spacing w:val="-1"/>
        </w:rPr>
        <w:t>技术导则》（</w:t>
      </w:r>
      <w:r>
        <w:rPr>
          <w:sz w:val="24"/>
          <w:szCs w:val="24"/>
          <w:spacing w:val="-1"/>
        </w:rPr>
        <w:t>H</w:t>
      </w:r>
      <w:r>
        <w:rPr>
          <w:sz w:val="24"/>
          <w:szCs w:val="24"/>
          <w:spacing w:val="-2"/>
        </w:rPr>
        <w:t>J 25.</w:t>
      </w:r>
      <w:r>
        <w:rPr>
          <w:sz w:val="24"/>
          <w:szCs w:val="24"/>
          <w:spacing w:val="-32"/>
        </w:rPr>
        <w:t xml:space="preserve"> </w:t>
      </w:r>
      <w:r>
        <w:rPr>
          <w:sz w:val="24"/>
          <w:szCs w:val="24"/>
          <w:spacing w:val="-2"/>
        </w:rPr>
        <w:t>1-2019</w:t>
      </w:r>
      <w:r>
        <w:rPr>
          <w:rFonts w:ascii="FangSong" w:hAnsi="FangSong" w:eastAsia="FangSong" w:cs="FangSong"/>
          <w:sz w:val="24"/>
          <w:szCs w:val="24"/>
          <w:spacing w:val="-2"/>
        </w:rPr>
        <w:t>）。</w:t>
      </w:r>
    </w:p>
    <w:p>
      <w:pPr>
        <w:spacing w:line="222" w:lineRule="auto"/>
        <w:sectPr>
          <w:headerReference w:type="default" r:id="rId5"/>
          <w:footerReference w:type="default" r:id="rId6"/>
          <w:pgSz w:w="11906" w:h="16839"/>
          <w:pgMar w:top="1139" w:right="870" w:bottom="1252" w:left="1080" w:header="831" w:footer="1090" w:gutter="0"/>
        </w:sectPr>
        <w:rPr>
          <w:rFonts w:ascii="FangSong" w:hAnsi="FangSong" w:eastAsia="FangSong" w:cs="FangSong"/>
          <w:sz w:val="24"/>
          <w:szCs w:val="24"/>
        </w:rPr>
      </w:pPr>
    </w:p>
    <w:p>
      <w:pPr>
        <w:spacing w:line="378" w:lineRule="auto"/>
        <w:rPr>
          <w:rFonts w:ascii="Arial"/>
          <w:sz w:val="21"/>
        </w:rPr>
      </w:pPr>
      <w:r/>
    </w:p>
    <w:p>
      <w:pPr>
        <w:pStyle w:val="BodyText"/>
        <w:ind w:left="18"/>
        <w:spacing w:before="91" w:line="221" w:lineRule="auto"/>
        <w:outlineLvl w:val="1"/>
        <w:rPr>
          <w:rFonts w:ascii="FangSong" w:hAnsi="FangSong" w:eastAsia="FangSong" w:cs="FangSong"/>
          <w:sz w:val="28"/>
          <w:szCs w:val="28"/>
        </w:rPr>
      </w:pPr>
      <w:bookmarkStart w:name="bookmark4" w:id="5"/>
      <w:bookmarkEnd w:id="5"/>
      <w:r>
        <w:rPr>
          <w:sz w:val="28"/>
          <w:szCs w:val="28"/>
          <w:b/>
          <w:bCs/>
          <w:spacing w:val="-3"/>
        </w:rPr>
        <w:t>1.3  </w:t>
      </w:r>
      <w:r>
        <w:rPr>
          <w:rFonts w:ascii="FangSong" w:hAnsi="FangSong" w:eastAsia="FangSong" w:cs="FangSong"/>
          <w:sz w:val="28"/>
          <w:szCs w:val="28"/>
          <w:b/>
          <w:bCs/>
          <w:spacing w:val="-3"/>
        </w:rPr>
        <w:t>工作内容及技术路线</w:t>
      </w:r>
    </w:p>
    <w:p>
      <w:pPr>
        <w:ind w:left="21" w:firstLine="475"/>
        <w:spacing w:before="229" w:line="360" w:lineRule="auto"/>
        <w:rPr>
          <w:rFonts w:ascii="FangSong" w:hAnsi="FangSong" w:eastAsia="FangSong" w:cs="FangSong"/>
          <w:sz w:val="24"/>
          <w:szCs w:val="24"/>
        </w:rPr>
      </w:pPr>
      <w:r>
        <w:rPr>
          <w:rFonts w:ascii="FangSong" w:hAnsi="FangSong" w:eastAsia="FangSong" w:cs="FangSong"/>
          <w:sz w:val="24"/>
          <w:szCs w:val="24"/>
          <w:spacing w:val="-3"/>
        </w:rPr>
        <w:t>本项目工作内容主要包括：污染识别（资料收集、现场踏勘、人员访谈）、制定自行监测</w:t>
      </w:r>
      <w:r>
        <w:rPr>
          <w:rFonts w:ascii="FangSong" w:hAnsi="FangSong" w:eastAsia="FangSong" w:cs="FangSong"/>
          <w:sz w:val="24"/>
          <w:szCs w:val="24"/>
          <w:spacing w:val="5"/>
        </w:rPr>
        <w:t xml:space="preserve"> </w:t>
      </w:r>
      <w:r>
        <w:rPr>
          <w:rFonts w:ascii="FangSong" w:hAnsi="FangSong" w:eastAsia="FangSong" w:cs="FangSong"/>
          <w:sz w:val="24"/>
          <w:szCs w:val="24"/>
          <w:spacing w:val="-1"/>
        </w:rPr>
        <w:t>工作计划、现场采样与实验室测试、数据分析与评估、编制自行监测报告等。</w:t>
      </w:r>
    </w:p>
    <w:p>
      <w:pPr>
        <w:spacing w:line="360" w:lineRule="auto"/>
        <w:sectPr>
          <w:headerReference w:type="default" r:id="rId7"/>
          <w:footerReference w:type="default" r:id="rId8"/>
          <w:pgSz w:w="11906" w:h="16839"/>
          <w:pgMar w:top="1139" w:right="1079" w:bottom="1252" w:left="1080" w:header="831" w:footer="1090" w:gutter="0"/>
        </w:sectPr>
        <w:rPr>
          <w:rFonts w:ascii="FangSong" w:hAnsi="FangSong" w:eastAsia="FangSong" w:cs="FangSong"/>
          <w:sz w:val="24"/>
          <w:szCs w:val="24"/>
        </w:rPr>
      </w:pPr>
    </w:p>
    <w:p>
      <w:pPr>
        <w:spacing w:line="379" w:lineRule="auto"/>
        <w:rPr>
          <w:rFonts w:ascii="Arial"/>
          <w:sz w:val="21"/>
        </w:rPr>
      </w:pPr>
      <w:r/>
    </w:p>
    <w:p>
      <w:pPr>
        <w:pStyle w:val="BodyText"/>
        <w:ind w:left="6"/>
        <w:spacing w:before="91" w:line="223" w:lineRule="auto"/>
        <w:outlineLvl w:val="0"/>
        <w:rPr>
          <w:rFonts w:ascii="FangSong" w:hAnsi="FangSong" w:eastAsia="FangSong" w:cs="FangSong"/>
          <w:sz w:val="28"/>
          <w:szCs w:val="28"/>
        </w:rPr>
      </w:pPr>
      <w:bookmarkStart w:name="bookmark44" w:id="6"/>
      <w:bookmarkEnd w:id="6"/>
      <w:r>
        <w:rPr>
          <w:sz w:val="28"/>
          <w:szCs w:val="28"/>
          <w:b/>
          <w:bCs/>
          <w:spacing w:val="-7"/>
        </w:rPr>
        <w:t>2</w:t>
      </w:r>
      <w:r>
        <w:rPr>
          <w:sz w:val="28"/>
          <w:szCs w:val="28"/>
          <w:b/>
          <w:bCs/>
          <w:spacing w:val="9"/>
        </w:rPr>
        <w:t xml:space="preserve">  </w:t>
      </w:r>
      <w:r>
        <w:rPr>
          <w:rFonts w:ascii="FangSong" w:hAnsi="FangSong" w:eastAsia="FangSong" w:cs="FangSong"/>
          <w:sz w:val="28"/>
          <w:szCs w:val="28"/>
          <w:b/>
          <w:bCs/>
          <w:spacing w:val="-7"/>
        </w:rPr>
        <w:t>企业概况</w:t>
      </w:r>
    </w:p>
    <w:p>
      <w:pPr>
        <w:pStyle w:val="BodyText"/>
        <w:ind w:left="6"/>
        <w:spacing w:before="285" w:line="223" w:lineRule="auto"/>
        <w:outlineLvl w:val="1"/>
        <w:rPr>
          <w:rFonts w:ascii="FangSong" w:hAnsi="FangSong" w:eastAsia="FangSong" w:cs="FangSong"/>
          <w:sz w:val="28"/>
          <w:szCs w:val="28"/>
        </w:rPr>
      </w:pPr>
      <w:bookmarkStart w:name="bookmark45" w:id="7"/>
      <w:bookmarkEnd w:id="7"/>
      <w:r>
        <w:rPr>
          <w:sz w:val="28"/>
          <w:szCs w:val="28"/>
          <w:b/>
          <w:bCs/>
          <w:spacing w:val="-5"/>
        </w:rPr>
        <w:t>2.1</w:t>
      </w:r>
      <w:r>
        <w:rPr>
          <w:sz w:val="28"/>
          <w:szCs w:val="28"/>
          <w:b/>
          <w:bCs/>
          <w:spacing w:val="9"/>
        </w:rPr>
        <w:t xml:space="preserve">  </w:t>
      </w:r>
      <w:r>
        <w:rPr>
          <w:rFonts w:ascii="FangSong" w:hAnsi="FangSong" w:eastAsia="FangSong" w:cs="FangSong"/>
          <w:sz w:val="28"/>
          <w:szCs w:val="28"/>
          <w:b/>
          <w:bCs/>
          <w:spacing w:val="-5"/>
        </w:rPr>
        <w:t>基本情况</w:t>
      </w:r>
    </w:p>
    <w:p>
      <w:pPr>
        <w:pStyle w:val="BodyText"/>
        <w:ind w:left="16" w:firstLine="480"/>
        <w:spacing w:before="226" w:line="361" w:lineRule="auto"/>
        <w:jc w:val="both"/>
        <w:rPr>
          <w:rFonts w:ascii="FangSong" w:hAnsi="FangSong" w:eastAsia="FangSong" w:cs="FangSong"/>
          <w:sz w:val="24"/>
          <w:szCs w:val="24"/>
        </w:rPr>
      </w:pPr>
      <w:r>
        <w:rPr>
          <w:rFonts w:ascii="FangSong" w:hAnsi="FangSong" w:eastAsia="FangSong" w:cs="FangSong"/>
          <w:sz w:val="24"/>
          <w:szCs w:val="24"/>
        </w:rPr>
        <w:t>浙江环益资源利用股份有限公司成立于</w:t>
      </w:r>
      <w:r>
        <w:rPr>
          <w:sz w:val="24"/>
          <w:szCs w:val="24"/>
        </w:rPr>
        <w:t>2007</w:t>
      </w:r>
      <w:r>
        <w:rPr>
          <w:rFonts w:ascii="FangSong" w:hAnsi="FangSong" w:eastAsia="FangSong" w:cs="FangSong"/>
          <w:sz w:val="24"/>
          <w:szCs w:val="24"/>
        </w:rPr>
        <w:t>年</w:t>
      </w:r>
      <w:r>
        <w:rPr>
          <w:sz w:val="24"/>
          <w:szCs w:val="24"/>
        </w:rPr>
        <w:t>6</w:t>
      </w:r>
      <w:r>
        <w:rPr>
          <w:rFonts w:ascii="FangSong" w:hAnsi="FangSong" w:eastAsia="FangSong" w:cs="FangSong"/>
          <w:sz w:val="24"/>
          <w:szCs w:val="24"/>
        </w:rPr>
        <w:t>月，位于浙江省杭州市桐庐县江南镇工业</w:t>
      </w:r>
      <w:r>
        <w:rPr>
          <w:rFonts w:ascii="FangSong" w:hAnsi="FangSong" w:eastAsia="FangSong" w:cs="FangSong"/>
          <w:sz w:val="24"/>
          <w:szCs w:val="24"/>
          <w:spacing w:val="7"/>
        </w:rPr>
        <w:t xml:space="preserve"> </w:t>
      </w:r>
      <w:r>
        <w:rPr>
          <w:rFonts w:ascii="FangSong" w:hAnsi="FangSong" w:eastAsia="FangSong" w:cs="FangSong"/>
          <w:sz w:val="24"/>
          <w:szCs w:val="24"/>
          <w:spacing w:val="-2"/>
        </w:rPr>
        <w:t>功能区，</w:t>
      </w:r>
      <w:r>
        <w:rPr>
          <w:rFonts w:ascii="FangSong" w:hAnsi="FangSong" w:eastAsia="FangSong" w:cs="FangSong"/>
          <w:sz w:val="24"/>
          <w:szCs w:val="24"/>
          <w:spacing w:val="-59"/>
        </w:rPr>
        <w:t xml:space="preserve"> </w:t>
      </w:r>
      <w:r>
        <w:rPr>
          <w:rFonts w:ascii="FangSong" w:hAnsi="FangSong" w:eastAsia="FangSong" w:cs="FangSong"/>
          <w:sz w:val="24"/>
          <w:szCs w:val="24"/>
          <w:spacing w:val="-2"/>
        </w:rPr>
        <w:t>占地面积</w:t>
      </w:r>
      <w:r>
        <w:rPr>
          <w:sz w:val="24"/>
          <w:szCs w:val="24"/>
          <w:spacing w:val="-2"/>
        </w:rPr>
        <w:t>223998.84m</w:t>
      </w:r>
      <w:r>
        <w:rPr>
          <w:sz w:val="15"/>
          <w:szCs w:val="15"/>
          <w:spacing w:val="-2"/>
          <w:position w:val="7"/>
        </w:rPr>
        <w:t>2 </w:t>
      </w:r>
      <w:r>
        <w:rPr>
          <w:rFonts w:ascii="FangSong" w:hAnsi="FangSong" w:eastAsia="FangSong" w:cs="FangSong"/>
          <w:sz w:val="24"/>
          <w:szCs w:val="24"/>
          <w:spacing w:val="-2"/>
        </w:rPr>
        <w:t>。企业地理位置和交通路线图如图</w:t>
      </w:r>
      <w:r>
        <w:rPr>
          <w:sz w:val="24"/>
          <w:szCs w:val="24"/>
          <w:spacing w:val="-2"/>
        </w:rPr>
        <w:t>2.</w:t>
      </w:r>
      <w:r>
        <w:rPr>
          <w:sz w:val="24"/>
          <w:szCs w:val="24"/>
          <w:spacing w:val="-32"/>
        </w:rPr>
        <w:t xml:space="preserve"> </w:t>
      </w:r>
      <w:r>
        <w:rPr>
          <w:sz w:val="24"/>
          <w:szCs w:val="24"/>
          <w:spacing w:val="-2"/>
        </w:rPr>
        <w:t>1-1</w:t>
      </w:r>
      <w:r>
        <w:rPr>
          <w:rFonts w:ascii="FangSong" w:hAnsi="FangSong" w:eastAsia="FangSong" w:cs="FangSong"/>
          <w:sz w:val="24"/>
          <w:szCs w:val="24"/>
          <w:spacing w:val="-2"/>
        </w:rPr>
        <w:t>所示。企业地块正门及</w:t>
      </w:r>
      <w:r>
        <w:rPr>
          <w:rFonts w:ascii="FangSong" w:hAnsi="FangSong" w:eastAsia="FangSong" w:cs="FangSong"/>
          <w:sz w:val="24"/>
          <w:szCs w:val="24"/>
        </w:rPr>
        <w:t xml:space="preserve"> </w:t>
      </w:r>
      <w:r>
        <w:rPr>
          <w:rFonts w:ascii="FangSong" w:hAnsi="FangSong" w:eastAsia="FangSong" w:cs="FangSong"/>
          <w:sz w:val="24"/>
          <w:szCs w:val="24"/>
          <w:spacing w:val="-3"/>
        </w:rPr>
        <w:t>各拐点坐标如表</w:t>
      </w:r>
      <w:r>
        <w:rPr>
          <w:sz w:val="24"/>
          <w:szCs w:val="24"/>
          <w:spacing w:val="-3"/>
        </w:rPr>
        <w:t>2.</w:t>
      </w:r>
      <w:r>
        <w:rPr>
          <w:sz w:val="24"/>
          <w:szCs w:val="24"/>
          <w:spacing w:val="-21"/>
        </w:rPr>
        <w:t xml:space="preserve"> </w:t>
      </w:r>
      <w:r>
        <w:rPr>
          <w:sz w:val="24"/>
          <w:szCs w:val="24"/>
          <w:spacing w:val="-3"/>
        </w:rPr>
        <w:t>1-1</w:t>
      </w:r>
      <w:r>
        <w:rPr>
          <w:rFonts w:ascii="FangSong" w:hAnsi="FangSong" w:eastAsia="FangSong" w:cs="FangSong"/>
          <w:sz w:val="24"/>
          <w:szCs w:val="24"/>
          <w:spacing w:val="-3"/>
        </w:rPr>
        <w:t>所示，用地红线如图</w:t>
      </w:r>
      <w:r>
        <w:rPr>
          <w:sz w:val="24"/>
          <w:szCs w:val="24"/>
          <w:spacing w:val="-3"/>
        </w:rPr>
        <w:t>2.</w:t>
      </w:r>
      <w:r>
        <w:rPr>
          <w:sz w:val="24"/>
          <w:szCs w:val="24"/>
          <w:spacing w:val="-32"/>
        </w:rPr>
        <w:t xml:space="preserve"> </w:t>
      </w:r>
      <w:r>
        <w:rPr>
          <w:sz w:val="24"/>
          <w:szCs w:val="24"/>
          <w:spacing w:val="-3"/>
        </w:rPr>
        <w:t>1-2</w:t>
      </w:r>
      <w:r>
        <w:rPr>
          <w:rFonts w:ascii="FangSong" w:hAnsi="FangSong" w:eastAsia="FangSong" w:cs="FangSong"/>
          <w:sz w:val="24"/>
          <w:szCs w:val="24"/>
          <w:spacing w:val="-3"/>
        </w:rPr>
        <w:t>所示。</w:t>
      </w:r>
    </w:p>
    <w:p>
      <w:pPr>
        <w:spacing w:line="406" w:lineRule="auto"/>
        <w:rPr>
          <w:rFonts w:ascii="Arial"/>
          <w:sz w:val="21"/>
        </w:rPr>
      </w:pPr>
      <w:r/>
    </w:p>
    <w:p>
      <w:pPr>
        <w:pStyle w:val="BodyText"/>
        <w:ind w:left="1053"/>
        <w:spacing w:before="90" w:line="189" w:lineRule="auto"/>
        <w:rPr>
          <w:sz w:val="31"/>
          <w:szCs w:val="31"/>
        </w:rPr>
      </w:pPr>
      <w:r>
        <w:drawing>
          <wp:anchor distT="0" distB="0" distL="0" distR="0" simplePos="0" relativeHeight="251658240" behindDoc="1" locked="0" layoutInCell="1" allowOverlap="1">
            <wp:simplePos x="0" y="0"/>
            <wp:positionH relativeFrom="column">
              <wp:posOffset>0</wp:posOffset>
            </wp:positionH>
            <wp:positionV relativeFrom="paragraph">
              <wp:posOffset>-234076</wp:posOffset>
            </wp:positionV>
            <wp:extent cx="6181343" cy="6819900"/>
            <wp:effectExtent l="0" t="0" r="0" b="0"/>
            <wp:wrapNone/>
            <wp:docPr id="6" name="IM 6"/>
            <wp:cNvGraphicFramePr/>
            <a:graphic>
              <a:graphicData uri="http://schemas.openxmlformats.org/drawingml/2006/picture">
                <pic:pic>
                  <pic:nvPicPr>
                    <pic:cNvPr id="6" name="IM 6"/>
                    <pic:cNvPicPr/>
                  </pic:nvPicPr>
                  <pic:blipFill>
                    <a:blip r:embed="rId11"/>
                    <a:stretch>
                      <a:fillRect/>
                    </a:stretch>
                  </pic:blipFill>
                  <pic:spPr>
                    <a:xfrm rot="0">
                      <a:off x="0" y="0"/>
                      <a:ext cx="6181343" cy="6819900"/>
                    </a:xfrm>
                    <a:prstGeom prst="rect">
                      <a:avLst/>
                    </a:prstGeom>
                  </pic:spPr>
                </pic:pic>
              </a:graphicData>
            </a:graphic>
          </wp:anchor>
        </w:drawing>
      </w:r>
      <w:r>
        <w:rPr>
          <w:sz w:val="31"/>
          <w:szCs w:val="31"/>
          <w:b/>
          <w:bCs/>
          <w:spacing w:val="1"/>
        </w:rPr>
        <w:t>N</w:t>
      </w:r>
    </w:p>
    <w:p>
      <w:pPr>
        <w:ind w:left="986"/>
        <w:spacing w:before="4" w:line="210" w:lineRule="auto"/>
        <w:rPr>
          <w:rFonts w:ascii="Arial" w:hAnsi="Arial" w:eastAsia="Arial" w:cs="Arial"/>
          <w:sz w:val="51"/>
          <w:szCs w:val="51"/>
        </w:rPr>
      </w:pPr>
      <w:bookmarkStart w:name="bookmark5" w:id="8"/>
      <w:bookmarkEnd w:id="8"/>
      <w:bookmarkStart w:name="bookmark6" w:id="9"/>
      <w:bookmarkEnd w:id="9"/>
      <w:r>
        <w:rPr>
          <w:rFonts w:ascii="Arial" w:hAnsi="Arial" w:eastAsia="Arial" w:cs="Arial"/>
          <w:sz w:val="51"/>
          <w:szCs w:val="51"/>
          <w:color w:val="1B1B1B"/>
          <w:spacing w:val="22"/>
        </w:rPr>
        <w:t>A</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BodyText"/>
        <w:ind w:left="3276"/>
        <w:spacing w:before="78" w:line="222" w:lineRule="auto"/>
        <w:rPr>
          <w:rFonts w:ascii="FangSong" w:hAnsi="FangSong" w:eastAsia="FangSong" w:cs="FangSong"/>
          <w:sz w:val="24"/>
          <w:szCs w:val="24"/>
        </w:rPr>
      </w:pPr>
      <w:r>
        <w:rPr>
          <w:rFonts w:ascii="FangSong" w:hAnsi="FangSong" w:eastAsia="FangSong" w:cs="FangSong"/>
          <w:sz w:val="24"/>
          <w:szCs w:val="24"/>
          <w:b/>
          <w:bCs/>
          <w:spacing w:val="-4"/>
        </w:rPr>
        <w:t>图</w:t>
      </w:r>
      <w:r>
        <w:rPr>
          <w:sz w:val="24"/>
          <w:szCs w:val="24"/>
          <w:b/>
          <w:bCs/>
          <w:spacing w:val="-4"/>
        </w:rPr>
        <w:t>2.1-1  </w:t>
      </w:r>
      <w:r>
        <w:rPr>
          <w:rFonts w:ascii="FangSong" w:hAnsi="FangSong" w:eastAsia="FangSong" w:cs="FangSong"/>
          <w:sz w:val="24"/>
          <w:szCs w:val="24"/>
          <w:b/>
          <w:bCs/>
          <w:spacing w:val="-4"/>
        </w:rPr>
        <w:t>地理位置和交通路线图</w:t>
      </w:r>
    </w:p>
    <w:p>
      <w:pPr>
        <w:spacing w:line="222" w:lineRule="auto"/>
        <w:sectPr>
          <w:headerReference w:type="default" r:id="rId9"/>
          <w:footerReference w:type="default" r:id="rId10"/>
          <w:pgSz w:w="11906" w:h="16839"/>
          <w:pgMar w:top="1139" w:right="1079" w:bottom="1252" w:left="1080" w:header="831" w:footer="1090" w:gutter="0"/>
        </w:sectPr>
        <w:rPr>
          <w:rFonts w:ascii="FangSong" w:hAnsi="FangSong" w:eastAsia="FangSong" w:cs="FangSong"/>
          <w:sz w:val="24"/>
          <w:szCs w:val="24"/>
        </w:rPr>
      </w:pPr>
    </w:p>
    <w:p>
      <w:pPr>
        <w:spacing w:line="333" w:lineRule="auto"/>
        <w:rPr>
          <w:rFonts w:ascii="Arial"/>
          <w:sz w:val="21"/>
        </w:rPr>
      </w:pPr>
      <w:r/>
    </w:p>
    <w:p>
      <w:pPr>
        <w:pStyle w:val="BodyText"/>
        <w:ind w:left="3317"/>
        <w:spacing w:before="78" w:line="222" w:lineRule="auto"/>
        <w:rPr>
          <w:rFonts w:ascii="FangSong" w:hAnsi="FangSong" w:eastAsia="FangSong" w:cs="FangSong"/>
          <w:sz w:val="24"/>
          <w:szCs w:val="24"/>
        </w:rPr>
      </w:pPr>
      <w:r>
        <w:rPr>
          <w:rFonts w:ascii="FangSong" w:hAnsi="FangSong" w:eastAsia="FangSong" w:cs="FangSong"/>
          <w:sz w:val="24"/>
          <w:szCs w:val="24"/>
          <w:b/>
          <w:bCs/>
          <w:spacing w:val="-3"/>
        </w:rPr>
        <w:t>表</w:t>
      </w:r>
      <w:r>
        <w:rPr>
          <w:rFonts w:ascii="FangSong" w:hAnsi="FangSong" w:eastAsia="FangSong" w:cs="FangSong"/>
          <w:sz w:val="24"/>
          <w:szCs w:val="24"/>
          <w:spacing w:val="-3"/>
        </w:rPr>
        <w:t xml:space="preserve"> </w:t>
      </w:r>
      <w:r>
        <w:rPr>
          <w:sz w:val="24"/>
          <w:szCs w:val="24"/>
          <w:b/>
          <w:bCs/>
          <w:spacing w:val="-3"/>
        </w:rPr>
        <w:t>2.1-1  </w:t>
      </w:r>
      <w:r>
        <w:rPr>
          <w:rFonts w:ascii="FangSong" w:hAnsi="FangSong" w:eastAsia="FangSong" w:cs="FangSong"/>
          <w:sz w:val="24"/>
          <w:szCs w:val="24"/>
          <w:b/>
          <w:bCs/>
          <w:spacing w:val="-3"/>
        </w:rPr>
        <w:t>企业正门和拐点坐标</w:t>
      </w:r>
    </w:p>
    <w:p>
      <w:pPr>
        <w:spacing w:line="167" w:lineRule="exact"/>
        <w:rPr/>
      </w:pPr>
      <w:r/>
    </w:p>
    <w:tbl>
      <w:tblPr>
        <w:tblStyle w:val="TableNormal"/>
        <w:tblW w:w="982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83"/>
        <w:gridCol w:w="3931"/>
        <w:gridCol w:w="1824"/>
        <w:gridCol w:w="1824"/>
        <w:gridCol w:w="1059"/>
      </w:tblGrid>
      <w:tr>
        <w:trPr>
          <w:trHeight w:val="399" w:hRule="atLeast"/>
        </w:trPr>
        <w:tc>
          <w:tcPr>
            <w:tcW w:w="1183" w:type="dxa"/>
            <w:vAlign w:val="top"/>
          </w:tcPr>
          <w:p>
            <w:pPr>
              <w:pStyle w:val="TableText"/>
              <w:ind w:left="178"/>
              <w:spacing w:before="93" w:line="232" w:lineRule="auto"/>
              <w:rPr/>
            </w:pPr>
            <w:r>
              <w:rPr>
                <w:b/>
                <w:bCs/>
                <w:spacing w:val="5"/>
              </w:rPr>
              <w:t>拐点代号</w:t>
            </w:r>
          </w:p>
        </w:tc>
        <w:tc>
          <w:tcPr>
            <w:tcW w:w="3931" w:type="dxa"/>
            <w:vAlign w:val="top"/>
          </w:tcPr>
          <w:p>
            <w:pPr>
              <w:pStyle w:val="TableText"/>
              <w:ind w:left="1766"/>
              <w:spacing w:before="93" w:line="230" w:lineRule="auto"/>
              <w:rPr/>
            </w:pPr>
            <w:r>
              <w:rPr>
                <w:b/>
                <w:bCs/>
              </w:rPr>
              <w:t>位置</w:t>
            </w:r>
          </w:p>
        </w:tc>
        <w:tc>
          <w:tcPr>
            <w:tcW w:w="1824" w:type="dxa"/>
            <w:vAlign w:val="top"/>
          </w:tcPr>
          <w:p>
            <w:pPr>
              <w:pStyle w:val="TableText"/>
              <w:ind w:left="712"/>
              <w:spacing w:before="93" w:line="232" w:lineRule="auto"/>
              <w:rPr/>
            </w:pPr>
            <w:r>
              <w:rPr>
                <w:b/>
                <w:bCs/>
                <w:spacing w:val="1"/>
              </w:rPr>
              <w:t>经度</w:t>
            </w:r>
          </w:p>
        </w:tc>
        <w:tc>
          <w:tcPr>
            <w:tcW w:w="1824" w:type="dxa"/>
            <w:vAlign w:val="top"/>
          </w:tcPr>
          <w:p>
            <w:pPr>
              <w:pStyle w:val="TableText"/>
              <w:ind w:left="717"/>
              <w:spacing w:before="94" w:line="229" w:lineRule="auto"/>
              <w:rPr/>
            </w:pPr>
            <w:r>
              <w:rPr>
                <w:b/>
                <w:bCs/>
                <w:spacing w:val="-1"/>
              </w:rPr>
              <w:t>纬度</w:t>
            </w:r>
          </w:p>
        </w:tc>
        <w:tc>
          <w:tcPr>
            <w:tcW w:w="1059" w:type="dxa"/>
            <w:vAlign w:val="top"/>
          </w:tcPr>
          <w:p>
            <w:pPr>
              <w:pStyle w:val="TableText"/>
              <w:ind w:left="332"/>
              <w:spacing w:before="93" w:line="233" w:lineRule="auto"/>
              <w:rPr/>
            </w:pPr>
            <w:r>
              <w:rPr>
                <w:b/>
                <w:bCs/>
              </w:rPr>
              <w:t>备注</w:t>
            </w:r>
          </w:p>
        </w:tc>
      </w:tr>
      <w:tr>
        <w:trPr>
          <w:trHeight w:val="397" w:hRule="atLeast"/>
        </w:trPr>
        <w:tc>
          <w:tcPr>
            <w:tcW w:w="1183" w:type="dxa"/>
            <w:vAlign w:val="top"/>
          </w:tcPr>
          <w:p>
            <w:pPr>
              <w:ind w:left="559"/>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931" w:type="dxa"/>
            <w:vAlign w:val="top"/>
          </w:tcPr>
          <w:p>
            <w:pPr>
              <w:pStyle w:val="TableText"/>
              <w:ind w:left="718"/>
              <w:spacing w:before="90" w:line="230" w:lineRule="auto"/>
              <w:rPr/>
            </w:pPr>
            <w:r>
              <w:rPr>
                <w:spacing w:val="7"/>
              </w:rPr>
              <w:t>浙江环益正门（厂界北侧）</w:t>
            </w:r>
          </w:p>
        </w:tc>
        <w:tc>
          <w:tcPr>
            <w:tcW w:w="1824" w:type="dxa"/>
            <w:vAlign w:val="top"/>
          </w:tcPr>
          <w:p>
            <w:pPr>
              <w:pStyle w:val="TableText"/>
              <w:ind w:left="228"/>
              <w:spacing w:before="90" w:line="233" w:lineRule="auto"/>
              <w:rPr/>
            </w:pPr>
            <w:r>
              <w:rPr>
                <w:rFonts w:ascii="Times New Roman" w:hAnsi="Times New Roman" w:eastAsia="Times New Roman" w:cs="Times New Roman"/>
                <w:spacing w:val="2"/>
              </w:rPr>
              <w:t>119°45'30.57"</w:t>
            </w:r>
            <w:r>
              <w:rPr>
                <w:spacing w:val="2"/>
              </w:rPr>
              <w:t>东</w:t>
            </w:r>
          </w:p>
        </w:tc>
        <w:tc>
          <w:tcPr>
            <w:tcW w:w="1824" w:type="dxa"/>
            <w:vAlign w:val="top"/>
          </w:tcPr>
          <w:p>
            <w:pPr>
              <w:pStyle w:val="TableText"/>
              <w:ind w:left="261"/>
              <w:spacing w:before="90" w:line="231" w:lineRule="auto"/>
              <w:rPr/>
            </w:pPr>
            <w:r>
              <w:rPr>
                <w:rFonts w:ascii="Times New Roman" w:hAnsi="Times New Roman" w:eastAsia="Times New Roman" w:cs="Times New Roman"/>
                <w:spacing w:val="4"/>
              </w:rPr>
              <w:t>29°50'38.73"</w:t>
            </w:r>
            <w:r>
              <w:rPr>
                <w:spacing w:val="4"/>
              </w:rPr>
              <w:t>北</w:t>
            </w:r>
          </w:p>
        </w:tc>
        <w:tc>
          <w:tcPr>
            <w:tcW w:w="1059"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6" w:right="2" w:firstLine="91"/>
              <w:spacing w:before="65" w:line="288" w:lineRule="auto"/>
              <w:rPr/>
            </w:pPr>
            <w:r>
              <w:rPr>
                <w:rFonts w:ascii="Times New Roman" w:hAnsi="Times New Roman" w:eastAsia="Times New Roman" w:cs="Times New Roman"/>
                <w:spacing w:val="1"/>
              </w:rPr>
              <w:t>2~</w:t>
            </w:r>
            <w:r>
              <w:rPr>
                <w:rFonts w:ascii="Times New Roman" w:hAnsi="Times New Roman" w:eastAsia="Times New Roman" w:cs="Times New Roman"/>
                <w:spacing w:val="-23"/>
              </w:rPr>
              <w:t xml:space="preserve"> </w:t>
            </w:r>
            <w:r>
              <w:rPr>
                <w:rFonts w:ascii="Times New Roman" w:hAnsi="Times New Roman" w:eastAsia="Times New Roman" w:cs="Times New Roman"/>
                <w:spacing w:val="1"/>
              </w:rPr>
              <w:t>16</w:t>
            </w:r>
            <w:r>
              <w:rPr>
                <w:spacing w:val="1"/>
              </w:rPr>
              <w:t>为企</w:t>
            </w:r>
            <w:r>
              <w:rPr/>
              <w:t xml:space="preserve">  </w:t>
            </w:r>
            <w:r>
              <w:rPr>
                <w:spacing w:val="7"/>
              </w:rPr>
              <w:t>业边界主要</w:t>
            </w:r>
          </w:p>
          <w:p>
            <w:pPr>
              <w:pStyle w:val="TableText"/>
              <w:ind w:left="332"/>
              <w:spacing w:line="231" w:lineRule="auto"/>
              <w:rPr/>
            </w:pPr>
            <w:r>
              <w:rPr>
                <w:spacing w:val="2"/>
              </w:rPr>
              <w:t>拐点</w:t>
            </w:r>
          </w:p>
        </w:tc>
      </w:tr>
      <w:tr>
        <w:trPr>
          <w:trHeight w:val="396" w:hRule="atLeast"/>
        </w:trPr>
        <w:tc>
          <w:tcPr>
            <w:tcW w:w="1183" w:type="dxa"/>
            <w:vAlign w:val="top"/>
          </w:tcPr>
          <w:p>
            <w:pPr>
              <w:ind w:left="539"/>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931" w:type="dxa"/>
            <w:vAlign w:val="top"/>
          </w:tcPr>
          <w:p>
            <w:pPr>
              <w:pStyle w:val="TableText"/>
              <w:ind w:left="1450"/>
              <w:spacing w:before="91" w:line="231" w:lineRule="auto"/>
              <w:rPr/>
            </w:pPr>
            <w:r>
              <w:rPr>
                <w:spacing w:val="7"/>
              </w:rPr>
              <w:t>厂界东北侧</w:t>
            </w:r>
          </w:p>
        </w:tc>
        <w:tc>
          <w:tcPr>
            <w:tcW w:w="1824" w:type="dxa"/>
            <w:vAlign w:val="top"/>
          </w:tcPr>
          <w:p>
            <w:pPr>
              <w:pStyle w:val="TableText"/>
              <w:ind w:left="228"/>
              <w:spacing w:before="91" w:line="233" w:lineRule="auto"/>
              <w:rPr/>
            </w:pPr>
            <w:r>
              <w:rPr>
                <w:rFonts w:ascii="Times New Roman" w:hAnsi="Times New Roman" w:eastAsia="Times New Roman" w:cs="Times New Roman"/>
                <w:spacing w:val="2"/>
              </w:rPr>
              <w:t>119°45'36.42"</w:t>
            </w:r>
            <w:r>
              <w:rPr>
                <w:spacing w:val="2"/>
              </w:rPr>
              <w:t>东</w:t>
            </w:r>
          </w:p>
        </w:tc>
        <w:tc>
          <w:tcPr>
            <w:tcW w:w="1824" w:type="dxa"/>
            <w:vAlign w:val="top"/>
          </w:tcPr>
          <w:p>
            <w:pPr>
              <w:pStyle w:val="TableText"/>
              <w:ind w:left="261"/>
              <w:spacing w:before="91" w:line="231" w:lineRule="auto"/>
              <w:rPr/>
            </w:pPr>
            <w:r>
              <w:rPr>
                <w:rFonts w:ascii="Times New Roman" w:hAnsi="Times New Roman" w:eastAsia="Times New Roman" w:cs="Times New Roman"/>
                <w:spacing w:val="4"/>
              </w:rPr>
              <w:t>29°50'41.85"</w:t>
            </w:r>
            <w:r>
              <w:rPr>
                <w:spacing w:val="4"/>
              </w:rPr>
              <w:t>北</w:t>
            </w:r>
          </w:p>
        </w:tc>
        <w:tc>
          <w:tcPr>
            <w:tcW w:w="1059" w:type="dxa"/>
            <w:vAlign w:val="top"/>
            <w:vMerge w:val="continue"/>
            <w:tcBorders>
              <w:top w:val="nil"/>
              <w:bottom w:val="nil"/>
            </w:tcBorders>
          </w:tcPr>
          <w:p>
            <w:pPr>
              <w:rPr>
                <w:rFonts w:ascii="Arial"/>
                <w:sz w:val="21"/>
              </w:rPr>
            </w:pPr>
            <w:r/>
          </w:p>
        </w:tc>
      </w:tr>
      <w:tr>
        <w:trPr>
          <w:trHeight w:val="397" w:hRule="atLeast"/>
        </w:trPr>
        <w:tc>
          <w:tcPr>
            <w:tcW w:w="1183" w:type="dxa"/>
            <w:vAlign w:val="top"/>
          </w:tcPr>
          <w:p>
            <w:pPr>
              <w:ind w:left="543"/>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931" w:type="dxa"/>
            <w:vAlign w:val="top"/>
          </w:tcPr>
          <w:p>
            <w:pPr>
              <w:pStyle w:val="TableText"/>
              <w:ind w:left="1450"/>
              <w:spacing w:before="91" w:line="231" w:lineRule="auto"/>
              <w:rPr/>
            </w:pPr>
            <w:r>
              <w:rPr>
                <w:spacing w:val="7"/>
              </w:rPr>
              <w:t>厂界东北侧</w:t>
            </w:r>
          </w:p>
        </w:tc>
        <w:tc>
          <w:tcPr>
            <w:tcW w:w="1824" w:type="dxa"/>
            <w:vAlign w:val="top"/>
          </w:tcPr>
          <w:p>
            <w:pPr>
              <w:pStyle w:val="TableText"/>
              <w:ind w:left="228"/>
              <w:spacing w:before="91" w:line="233" w:lineRule="auto"/>
              <w:rPr/>
            </w:pPr>
            <w:r>
              <w:rPr>
                <w:rFonts w:ascii="Times New Roman" w:hAnsi="Times New Roman" w:eastAsia="Times New Roman" w:cs="Times New Roman"/>
                <w:spacing w:val="2"/>
              </w:rPr>
              <w:t>119°45'37.34"</w:t>
            </w:r>
            <w:r>
              <w:rPr>
                <w:spacing w:val="2"/>
              </w:rPr>
              <w:t>东</w:t>
            </w:r>
          </w:p>
        </w:tc>
        <w:tc>
          <w:tcPr>
            <w:tcW w:w="1824" w:type="dxa"/>
            <w:vAlign w:val="top"/>
          </w:tcPr>
          <w:p>
            <w:pPr>
              <w:pStyle w:val="TableText"/>
              <w:ind w:left="261"/>
              <w:spacing w:before="91" w:line="231" w:lineRule="auto"/>
              <w:rPr/>
            </w:pPr>
            <w:r>
              <w:rPr>
                <w:rFonts w:ascii="Times New Roman" w:hAnsi="Times New Roman" w:eastAsia="Times New Roman" w:cs="Times New Roman"/>
                <w:spacing w:val="4"/>
              </w:rPr>
              <w:t>29°50'40.43"</w:t>
            </w:r>
            <w:r>
              <w:rPr>
                <w:spacing w:val="4"/>
              </w:rPr>
              <w:t>北</w:t>
            </w:r>
          </w:p>
        </w:tc>
        <w:tc>
          <w:tcPr>
            <w:tcW w:w="1059" w:type="dxa"/>
            <w:vAlign w:val="top"/>
            <w:vMerge w:val="continue"/>
            <w:tcBorders>
              <w:top w:val="nil"/>
              <w:bottom w:val="nil"/>
            </w:tcBorders>
          </w:tcPr>
          <w:p>
            <w:pPr>
              <w:rPr>
                <w:rFonts w:ascii="Arial"/>
                <w:sz w:val="21"/>
              </w:rPr>
            </w:pPr>
            <w:r/>
          </w:p>
        </w:tc>
      </w:tr>
      <w:tr>
        <w:trPr>
          <w:trHeight w:val="396" w:hRule="atLeast"/>
        </w:trPr>
        <w:tc>
          <w:tcPr>
            <w:tcW w:w="1183" w:type="dxa"/>
            <w:vAlign w:val="top"/>
          </w:tcPr>
          <w:p>
            <w:pPr>
              <w:ind w:left="538"/>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3931" w:type="dxa"/>
            <w:vAlign w:val="top"/>
          </w:tcPr>
          <w:p>
            <w:pPr>
              <w:pStyle w:val="TableText"/>
              <w:ind w:left="85"/>
              <w:spacing w:before="92" w:line="231" w:lineRule="auto"/>
              <w:rPr/>
            </w:pPr>
            <w:r>
              <w:rPr>
                <w:spacing w:val="8"/>
              </w:rPr>
              <w:t>厂界东北侧（应急池、初期雨水池东侧）</w:t>
            </w:r>
          </w:p>
        </w:tc>
        <w:tc>
          <w:tcPr>
            <w:tcW w:w="1824" w:type="dxa"/>
            <w:vAlign w:val="top"/>
          </w:tcPr>
          <w:p>
            <w:pPr>
              <w:pStyle w:val="TableText"/>
              <w:ind w:left="228"/>
              <w:spacing w:before="92" w:line="233" w:lineRule="auto"/>
              <w:rPr/>
            </w:pPr>
            <w:r>
              <w:rPr>
                <w:rFonts w:ascii="Times New Roman" w:hAnsi="Times New Roman" w:eastAsia="Times New Roman" w:cs="Times New Roman"/>
                <w:spacing w:val="2"/>
              </w:rPr>
              <w:t>119°45'39.65"</w:t>
            </w:r>
            <w:r>
              <w:rPr>
                <w:spacing w:val="2"/>
              </w:rPr>
              <w:t>东</w:t>
            </w:r>
          </w:p>
        </w:tc>
        <w:tc>
          <w:tcPr>
            <w:tcW w:w="1824" w:type="dxa"/>
            <w:vAlign w:val="top"/>
          </w:tcPr>
          <w:p>
            <w:pPr>
              <w:pStyle w:val="TableText"/>
              <w:ind w:left="261"/>
              <w:spacing w:before="92" w:line="231" w:lineRule="auto"/>
              <w:rPr/>
            </w:pPr>
            <w:r>
              <w:rPr>
                <w:rFonts w:ascii="Times New Roman" w:hAnsi="Times New Roman" w:eastAsia="Times New Roman" w:cs="Times New Roman"/>
                <w:spacing w:val="4"/>
              </w:rPr>
              <w:t>29°50'39.84"</w:t>
            </w:r>
            <w:r>
              <w:rPr>
                <w:spacing w:val="4"/>
              </w:rPr>
              <w:t>北</w:t>
            </w:r>
          </w:p>
        </w:tc>
        <w:tc>
          <w:tcPr>
            <w:tcW w:w="1059" w:type="dxa"/>
            <w:vAlign w:val="top"/>
            <w:vMerge w:val="continue"/>
            <w:tcBorders>
              <w:top w:val="nil"/>
              <w:bottom w:val="nil"/>
            </w:tcBorders>
          </w:tcPr>
          <w:p>
            <w:pPr>
              <w:rPr>
                <w:rFonts w:ascii="Arial"/>
                <w:sz w:val="21"/>
              </w:rPr>
            </w:pPr>
            <w:r/>
          </w:p>
        </w:tc>
      </w:tr>
      <w:tr>
        <w:trPr>
          <w:trHeight w:val="396" w:hRule="atLeast"/>
        </w:trPr>
        <w:tc>
          <w:tcPr>
            <w:tcW w:w="1183" w:type="dxa"/>
            <w:vAlign w:val="top"/>
          </w:tcPr>
          <w:p>
            <w:pPr>
              <w:ind w:left="545"/>
              <w:spacing w:before="13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931" w:type="dxa"/>
            <w:vAlign w:val="top"/>
          </w:tcPr>
          <w:p>
            <w:pPr>
              <w:pStyle w:val="TableText"/>
              <w:ind w:left="1239"/>
              <w:spacing w:before="92" w:line="231" w:lineRule="auto"/>
              <w:rPr/>
            </w:pPr>
            <w:r>
              <w:rPr>
                <w:spacing w:val="7"/>
              </w:rPr>
              <w:t>厂界东北侧偏东</w:t>
            </w:r>
          </w:p>
        </w:tc>
        <w:tc>
          <w:tcPr>
            <w:tcW w:w="1824" w:type="dxa"/>
            <w:vAlign w:val="top"/>
          </w:tcPr>
          <w:p>
            <w:pPr>
              <w:pStyle w:val="TableText"/>
              <w:ind w:left="228"/>
              <w:spacing w:before="92" w:line="233" w:lineRule="auto"/>
              <w:rPr/>
            </w:pPr>
            <w:r>
              <w:rPr>
                <w:rFonts w:ascii="Times New Roman" w:hAnsi="Times New Roman" w:eastAsia="Times New Roman" w:cs="Times New Roman"/>
                <w:spacing w:val="2"/>
              </w:rPr>
              <w:t>119°45'41.16"</w:t>
            </w:r>
            <w:r>
              <w:rPr>
                <w:spacing w:val="2"/>
              </w:rPr>
              <w:t>东</w:t>
            </w:r>
          </w:p>
        </w:tc>
        <w:tc>
          <w:tcPr>
            <w:tcW w:w="1824" w:type="dxa"/>
            <w:vAlign w:val="top"/>
          </w:tcPr>
          <w:p>
            <w:pPr>
              <w:pStyle w:val="TableText"/>
              <w:ind w:left="261"/>
              <w:spacing w:before="92" w:line="231" w:lineRule="auto"/>
              <w:rPr/>
            </w:pPr>
            <w:r>
              <w:rPr>
                <w:rFonts w:ascii="Times New Roman" w:hAnsi="Times New Roman" w:eastAsia="Times New Roman" w:cs="Times New Roman"/>
                <w:spacing w:val="4"/>
              </w:rPr>
              <w:t>29°50'38.05"</w:t>
            </w:r>
            <w:r>
              <w:rPr>
                <w:spacing w:val="4"/>
              </w:rPr>
              <w:t>北</w:t>
            </w:r>
          </w:p>
        </w:tc>
        <w:tc>
          <w:tcPr>
            <w:tcW w:w="1059" w:type="dxa"/>
            <w:vAlign w:val="top"/>
            <w:vMerge w:val="continue"/>
            <w:tcBorders>
              <w:top w:val="nil"/>
              <w:bottom w:val="nil"/>
            </w:tcBorders>
          </w:tcPr>
          <w:p>
            <w:pPr>
              <w:rPr>
                <w:rFonts w:ascii="Arial"/>
                <w:sz w:val="21"/>
              </w:rPr>
            </w:pPr>
            <w:r/>
          </w:p>
        </w:tc>
      </w:tr>
      <w:tr>
        <w:trPr>
          <w:trHeight w:val="397" w:hRule="atLeast"/>
        </w:trPr>
        <w:tc>
          <w:tcPr>
            <w:tcW w:w="1183" w:type="dxa"/>
            <w:vAlign w:val="top"/>
          </w:tcPr>
          <w:p>
            <w:pPr>
              <w:ind w:left="543"/>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931" w:type="dxa"/>
            <w:vAlign w:val="top"/>
          </w:tcPr>
          <w:p>
            <w:pPr>
              <w:pStyle w:val="TableText"/>
              <w:ind w:left="1556"/>
              <w:spacing w:before="94" w:line="232" w:lineRule="auto"/>
              <w:rPr/>
            </w:pPr>
            <w:r>
              <w:rPr>
                <w:spacing w:val="6"/>
              </w:rPr>
              <w:t>厂界东侧</w:t>
            </w:r>
          </w:p>
        </w:tc>
        <w:tc>
          <w:tcPr>
            <w:tcW w:w="1824" w:type="dxa"/>
            <w:vAlign w:val="top"/>
          </w:tcPr>
          <w:p>
            <w:pPr>
              <w:pStyle w:val="TableText"/>
              <w:ind w:left="228"/>
              <w:spacing w:before="94" w:line="233" w:lineRule="auto"/>
              <w:rPr/>
            </w:pPr>
            <w:r>
              <w:rPr>
                <w:rFonts w:ascii="Times New Roman" w:hAnsi="Times New Roman" w:eastAsia="Times New Roman" w:cs="Times New Roman"/>
                <w:spacing w:val="2"/>
              </w:rPr>
              <w:t>119°45'42.43"</w:t>
            </w:r>
            <w:r>
              <w:rPr>
                <w:spacing w:val="2"/>
              </w:rPr>
              <w:t>东</w:t>
            </w:r>
          </w:p>
        </w:tc>
        <w:tc>
          <w:tcPr>
            <w:tcW w:w="1824" w:type="dxa"/>
            <w:vAlign w:val="top"/>
          </w:tcPr>
          <w:p>
            <w:pPr>
              <w:pStyle w:val="TableText"/>
              <w:ind w:left="261"/>
              <w:spacing w:before="94" w:line="231" w:lineRule="auto"/>
              <w:rPr/>
            </w:pPr>
            <w:r>
              <w:rPr>
                <w:rFonts w:ascii="Times New Roman" w:hAnsi="Times New Roman" w:eastAsia="Times New Roman" w:cs="Times New Roman"/>
                <w:spacing w:val="4"/>
              </w:rPr>
              <w:t>29°50'33.91"</w:t>
            </w:r>
            <w:r>
              <w:rPr>
                <w:spacing w:val="4"/>
              </w:rPr>
              <w:t>北</w:t>
            </w:r>
          </w:p>
        </w:tc>
        <w:tc>
          <w:tcPr>
            <w:tcW w:w="1059" w:type="dxa"/>
            <w:vAlign w:val="top"/>
            <w:vMerge w:val="continue"/>
            <w:tcBorders>
              <w:top w:val="nil"/>
              <w:bottom w:val="nil"/>
            </w:tcBorders>
          </w:tcPr>
          <w:p>
            <w:pPr>
              <w:rPr>
                <w:rFonts w:ascii="Arial"/>
                <w:sz w:val="21"/>
              </w:rPr>
            </w:pPr>
            <w:r/>
          </w:p>
        </w:tc>
      </w:tr>
      <w:tr>
        <w:trPr>
          <w:trHeight w:val="397" w:hRule="atLeast"/>
        </w:trPr>
        <w:tc>
          <w:tcPr>
            <w:tcW w:w="1183" w:type="dxa"/>
            <w:vAlign w:val="top"/>
          </w:tcPr>
          <w:p>
            <w:pPr>
              <w:ind w:left="542"/>
              <w:spacing w:before="13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3931" w:type="dxa"/>
            <w:vAlign w:val="top"/>
          </w:tcPr>
          <w:p>
            <w:pPr>
              <w:pStyle w:val="TableText"/>
              <w:ind w:left="610"/>
              <w:spacing w:before="93" w:line="229" w:lineRule="auto"/>
              <w:rPr/>
            </w:pPr>
            <w:r>
              <w:rPr>
                <w:spacing w:val="8"/>
              </w:rPr>
              <w:t>厂界东侧（原料仓库东北角）</w:t>
            </w:r>
          </w:p>
        </w:tc>
        <w:tc>
          <w:tcPr>
            <w:tcW w:w="1824" w:type="dxa"/>
            <w:vAlign w:val="top"/>
          </w:tcPr>
          <w:p>
            <w:pPr>
              <w:pStyle w:val="TableText"/>
              <w:ind w:left="228"/>
              <w:spacing w:before="93" w:line="233" w:lineRule="auto"/>
              <w:rPr/>
            </w:pPr>
            <w:r>
              <w:rPr>
                <w:rFonts w:ascii="Times New Roman" w:hAnsi="Times New Roman" w:eastAsia="Times New Roman" w:cs="Times New Roman"/>
                <w:spacing w:val="2"/>
              </w:rPr>
              <w:t>119°45'41.60"</w:t>
            </w:r>
            <w:r>
              <w:rPr>
                <w:spacing w:val="2"/>
              </w:rPr>
              <w:t>东</w:t>
            </w:r>
          </w:p>
        </w:tc>
        <w:tc>
          <w:tcPr>
            <w:tcW w:w="1824" w:type="dxa"/>
            <w:vAlign w:val="top"/>
          </w:tcPr>
          <w:p>
            <w:pPr>
              <w:pStyle w:val="TableText"/>
              <w:ind w:left="261"/>
              <w:spacing w:before="93" w:line="231" w:lineRule="auto"/>
              <w:rPr/>
            </w:pPr>
            <w:r>
              <w:rPr>
                <w:rFonts w:ascii="Times New Roman" w:hAnsi="Times New Roman" w:eastAsia="Times New Roman" w:cs="Times New Roman"/>
                <w:spacing w:val="4"/>
              </w:rPr>
              <w:t>29°50'33.29"</w:t>
            </w:r>
            <w:r>
              <w:rPr>
                <w:spacing w:val="4"/>
              </w:rPr>
              <w:t>北</w:t>
            </w:r>
          </w:p>
        </w:tc>
        <w:tc>
          <w:tcPr>
            <w:tcW w:w="1059" w:type="dxa"/>
            <w:vAlign w:val="top"/>
            <w:vMerge w:val="continue"/>
            <w:tcBorders>
              <w:top w:val="nil"/>
              <w:bottom w:val="nil"/>
            </w:tcBorders>
          </w:tcPr>
          <w:p>
            <w:pPr>
              <w:rPr>
                <w:rFonts w:ascii="Arial"/>
                <w:sz w:val="21"/>
              </w:rPr>
            </w:pPr>
            <w:r/>
          </w:p>
        </w:tc>
      </w:tr>
      <w:tr>
        <w:trPr>
          <w:trHeight w:val="397" w:hRule="atLeast"/>
        </w:trPr>
        <w:tc>
          <w:tcPr>
            <w:tcW w:w="1183" w:type="dxa"/>
            <w:vAlign w:val="top"/>
          </w:tcPr>
          <w:p>
            <w:pPr>
              <w:ind w:left="547"/>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3931" w:type="dxa"/>
            <w:vAlign w:val="top"/>
          </w:tcPr>
          <w:p>
            <w:pPr>
              <w:pStyle w:val="TableText"/>
              <w:ind w:left="505"/>
              <w:spacing w:before="94" w:line="229" w:lineRule="auto"/>
              <w:rPr/>
            </w:pPr>
            <w:r>
              <w:rPr>
                <w:spacing w:val="8"/>
              </w:rPr>
              <w:t>厂界东南侧（原料仓库东南角）</w:t>
            </w:r>
          </w:p>
        </w:tc>
        <w:tc>
          <w:tcPr>
            <w:tcW w:w="1824" w:type="dxa"/>
            <w:vAlign w:val="top"/>
          </w:tcPr>
          <w:p>
            <w:pPr>
              <w:pStyle w:val="TableText"/>
              <w:ind w:left="228"/>
              <w:spacing w:before="94" w:line="233" w:lineRule="auto"/>
              <w:rPr/>
            </w:pPr>
            <w:r>
              <w:rPr>
                <w:rFonts w:ascii="Times New Roman" w:hAnsi="Times New Roman" w:eastAsia="Times New Roman" w:cs="Times New Roman"/>
                <w:spacing w:val="2"/>
              </w:rPr>
              <w:t>119°45'44.58"</w:t>
            </w:r>
            <w:r>
              <w:rPr>
                <w:spacing w:val="2"/>
              </w:rPr>
              <w:t>东</w:t>
            </w:r>
          </w:p>
        </w:tc>
        <w:tc>
          <w:tcPr>
            <w:tcW w:w="1824" w:type="dxa"/>
            <w:vAlign w:val="top"/>
          </w:tcPr>
          <w:p>
            <w:pPr>
              <w:pStyle w:val="TableText"/>
              <w:ind w:left="261"/>
              <w:spacing w:before="94" w:line="231" w:lineRule="auto"/>
              <w:rPr/>
            </w:pPr>
            <w:r>
              <w:rPr>
                <w:rFonts w:ascii="Times New Roman" w:hAnsi="Times New Roman" w:eastAsia="Times New Roman" w:cs="Times New Roman"/>
                <w:spacing w:val="4"/>
              </w:rPr>
              <w:t>29°50'27.60"</w:t>
            </w:r>
            <w:r>
              <w:rPr>
                <w:spacing w:val="4"/>
              </w:rPr>
              <w:t>北</w:t>
            </w:r>
          </w:p>
        </w:tc>
        <w:tc>
          <w:tcPr>
            <w:tcW w:w="1059" w:type="dxa"/>
            <w:vAlign w:val="top"/>
            <w:vMerge w:val="continue"/>
            <w:tcBorders>
              <w:top w:val="nil"/>
              <w:bottom w:val="nil"/>
            </w:tcBorders>
          </w:tcPr>
          <w:p>
            <w:pPr>
              <w:rPr>
                <w:rFonts w:ascii="Arial"/>
                <w:sz w:val="21"/>
              </w:rPr>
            </w:pPr>
            <w:r/>
          </w:p>
        </w:tc>
      </w:tr>
      <w:tr>
        <w:trPr>
          <w:trHeight w:val="397" w:hRule="atLeast"/>
        </w:trPr>
        <w:tc>
          <w:tcPr>
            <w:tcW w:w="1183" w:type="dxa"/>
            <w:vAlign w:val="top"/>
          </w:tcPr>
          <w:p>
            <w:pPr>
              <w:ind w:left="543"/>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3931" w:type="dxa"/>
            <w:vAlign w:val="top"/>
          </w:tcPr>
          <w:p>
            <w:pPr>
              <w:pStyle w:val="TableText"/>
              <w:ind w:left="505"/>
              <w:spacing w:before="93" w:line="229" w:lineRule="auto"/>
              <w:rPr/>
            </w:pPr>
            <w:r>
              <w:rPr>
                <w:spacing w:val="8"/>
              </w:rPr>
              <w:t>厂界东南侧（原料仓库西南角）</w:t>
            </w:r>
          </w:p>
        </w:tc>
        <w:tc>
          <w:tcPr>
            <w:tcW w:w="1824" w:type="dxa"/>
            <w:vAlign w:val="top"/>
          </w:tcPr>
          <w:p>
            <w:pPr>
              <w:pStyle w:val="TableText"/>
              <w:ind w:left="228"/>
              <w:spacing w:before="93" w:line="233" w:lineRule="auto"/>
              <w:rPr/>
            </w:pPr>
            <w:r>
              <w:rPr>
                <w:rFonts w:ascii="Times New Roman" w:hAnsi="Times New Roman" w:eastAsia="Times New Roman" w:cs="Times New Roman"/>
                <w:spacing w:val="2"/>
              </w:rPr>
              <w:t>119°45'42.34"</w:t>
            </w:r>
            <w:r>
              <w:rPr>
                <w:spacing w:val="2"/>
              </w:rPr>
              <w:t>东</w:t>
            </w:r>
          </w:p>
        </w:tc>
        <w:tc>
          <w:tcPr>
            <w:tcW w:w="1824" w:type="dxa"/>
            <w:vAlign w:val="top"/>
          </w:tcPr>
          <w:p>
            <w:pPr>
              <w:pStyle w:val="TableText"/>
              <w:ind w:left="261"/>
              <w:spacing w:before="93" w:line="231" w:lineRule="auto"/>
              <w:rPr/>
            </w:pPr>
            <w:r>
              <w:rPr>
                <w:rFonts w:ascii="Times New Roman" w:hAnsi="Times New Roman" w:eastAsia="Times New Roman" w:cs="Times New Roman"/>
                <w:spacing w:val="4"/>
              </w:rPr>
              <w:t>29°50'26.64"</w:t>
            </w:r>
            <w:r>
              <w:rPr>
                <w:spacing w:val="4"/>
              </w:rPr>
              <w:t>北</w:t>
            </w:r>
          </w:p>
        </w:tc>
        <w:tc>
          <w:tcPr>
            <w:tcW w:w="1059" w:type="dxa"/>
            <w:vAlign w:val="top"/>
            <w:vMerge w:val="continue"/>
            <w:tcBorders>
              <w:top w:val="nil"/>
              <w:bottom w:val="nil"/>
            </w:tcBorders>
          </w:tcPr>
          <w:p>
            <w:pPr>
              <w:rPr>
                <w:rFonts w:ascii="Arial"/>
                <w:sz w:val="21"/>
              </w:rPr>
            </w:pPr>
            <w:r/>
          </w:p>
        </w:tc>
      </w:tr>
      <w:tr>
        <w:trPr>
          <w:trHeight w:val="397" w:hRule="atLeast"/>
        </w:trPr>
        <w:tc>
          <w:tcPr>
            <w:tcW w:w="1183" w:type="dxa"/>
            <w:vAlign w:val="top"/>
          </w:tcPr>
          <w:p>
            <w:pPr>
              <w:ind w:left="506"/>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3931" w:type="dxa"/>
            <w:vAlign w:val="top"/>
          </w:tcPr>
          <w:p>
            <w:pPr>
              <w:pStyle w:val="TableText"/>
              <w:ind w:left="1450"/>
              <w:spacing w:before="94" w:line="232" w:lineRule="auto"/>
              <w:rPr/>
            </w:pPr>
            <w:r>
              <w:rPr>
                <w:spacing w:val="6"/>
              </w:rPr>
              <w:t>厂界东南侧</w:t>
            </w:r>
          </w:p>
        </w:tc>
        <w:tc>
          <w:tcPr>
            <w:tcW w:w="1824" w:type="dxa"/>
            <w:vAlign w:val="top"/>
          </w:tcPr>
          <w:p>
            <w:pPr>
              <w:pStyle w:val="TableText"/>
              <w:ind w:left="228"/>
              <w:spacing w:before="94" w:line="233" w:lineRule="auto"/>
              <w:rPr/>
            </w:pPr>
            <w:r>
              <w:rPr>
                <w:rFonts w:ascii="Times New Roman" w:hAnsi="Times New Roman" w:eastAsia="Times New Roman" w:cs="Times New Roman"/>
                <w:spacing w:val="2"/>
              </w:rPr>
              <w:t>119°45'43.63"</w:t>
            </w:r>
            <w:r>
              <w:rPr>
                <w:spacing w:val="2"/>
              </w:rPr>
              <w:t>东</w:t>
            </w:r>
          </w:p>
        </w:tc>
        <w:tc>
          <w:tcPr>
            <w:tcW w:w="1824" w:type="dxa"/>
            <w:vAlign w:val="top"/>
          </w:tcPr>
          <w:p>
            <w:pPr>
              <w:pStyle w:val="TableText"/>
              <w:ind w:left="261"/>
              <w:spacing w:before="94" w:line="231" w:lineRule="auto"/>
              <w:rPr/>
            </w:pPr>
            <w:r>
              <w:rPr>
                <w:rFonts w:ascii="Times New Roman" w:hAnsi="Times New Roman" w:eastAsia="Times New Roman" w:cs="Times New Roman"/>
                <w:spacing w:val="4"/>
              </w:rPr>
              <w:t>29°50'24.00"</w:t>
            </w:r>
            <w:r>
              <w:rPr>
                <w:spacing w:val="4"/>
              </w:rPr>
              <w:t>北</w:t>
            </w:r>
          </w:p>
        </w:tc>
        <w:tc>
          <w:tcPr>
            <w:tcW w:w="1059" w:type="dxa"/>
            <w:vAlign w:val="top"/>
            <w:vMerge w:val="continue"/>
            <w:tcBorders>
              <w:top w:val="nil"/>
              <w:bottom w:val="nil"/>
            </w:tcBorders>
          </w:tcPr>
          <w:p>
            <w:pPr>
              <w:rPr>
                <w:rFonts w:ascii="Arial"/>
                <w:sz w:val="21"/>
              </w:rPr>
            </w:pPr>
            <w:r/>
          </w:p>
        </w:tc>
      </w:tr>
      <w:tr>
        <w:trPr>
          <w:trHeight w:val="397" w:hRule="atLeast"/>
        </w:trPr>
        <w:tc>
          <w:tcPr>
            <w:tcW w:w="1183" w:type="dxa"/>
            <w:vAlign w:val="top"/>
          </w:tcPr>
          <w:p>
            <w:pPr>
              <w:ind w:left="506"/>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11</w:t>
            </w:r>
          </w:p>
        </w:tc>
        <w:tc>
          <w:tcPr>
            <w:tcW w:w="3931" w:type="dxa"/>
            <w:vAlign w:val="top"/>
          </w:tcPr>
          <w:p>
            <w:pPr>
              <w:pStyle w:val="TableText"/>
              <w:ind w:left="1450"/>
              <w:spacing w:before="92" w:line="232" w:lineRule="auto"/>
              <w:rPr/>
            </w:pPr>
            <w:r>
              <w:rPr>
                <w:spacing w:val="6"/>
              </w:rPr>
              <w:t>厂界西南侧</w:t>
            </w:r>
          </w:p>
        </w:tc>
        <w:tc>
          <w:tcPr>
            <w:tcW w:w="1824" w:type="dxa"/>
            <w:vAlign w:val="top"/>
          </w:tcPr>
          <w:p>
            <w:pPr>
              <w:pStyle w:val="TableText"/>
              <w:ind w:left="228"/>
              <w:spacing w:before="93" w:line="233" w:lineRule="auto"/>
              <w:rPr/>
            </w:pPr>
            <w:r>
              <w:rPr>
                <w:rFonts w:ascii="Times New Roman" w:hAnsi="Times New Roman" w:eastAsia="Times New Roman" w:cs="Times New Roman"/>
                <w:spacing w:val="2"/>
              </w:rPr>
              <w:t>119°45'30.23"</w:t>
            </w:r>
            <w:r>
              <w:rPr>
                <w:spacing w:val="2"/>
              </w:rPr>
              <w:t>东</w:t>
            </w:r>
          </w:p>
        </w:tc>
        <w:tc>
          <w:tcPr>
            <w:tcW w:w="1824" w:type="dxa"/>
            <w:vAlign w:val="top"/>
          </w:tcPr>
          <w:p>
            <w:pPr>
              <w:pStyle w:val="TableText"/>
              <w:ind w:left="261"/>
              <w:spacing w:before="93" w:line="231" w:lineRule="auto"/>
              <w:rPr/>
            </w:pPr>
            <w:r>
              <w:rPr>
                <w:rFonts w:ascii="Times New Roman" w:hAnsi="Times New Roman" w:eastAsia="Times New Roman" w:cs="Times New Roman"/>
                <w:spacing w:val="2"/>
              </w:rPr>
              <w:t>29°50'</w:t>
            </w:r>
            <w:r>
              <w:rPr>
                <w:rFonts w:ascii="Times New Roman" w:hAnsi="Times New Roman" w:eastAsia="Times New Roman" w:cs="Times New Roman"/>
                <w:spacing w:val="-21"/>
              </w:rPr>
              <w:t xml:space="preserve"> </w:t>
            </w:r>
            <w:r>
              <w:rPr>
                <w:rFonts w:ascii="Times New Roman" w:hAnsi="Times New Roman" w:eastAsia="Times New Roman" w:cs="Times New Roman"/>
                <w:spacing w:val="2"/>
              </w:rPr>
              <w:t>19.31"</w:t>
            </w:r>
            <w:r>
              <w:rPr>
                <w:spacing w:val="2"/>
              </w:rPr>
              <w:t>北</w:t>
            </w:r>
          </w:p>
        </w:tc>
        <w:tc>
          <w:tcPr>
            <w:tcW w:w="1059" w:type="dxa"/>
            <w:vAlign w:val="top"/>
            <w:vMerge w:val="continue"/>
            <w:tcBorders>
              <w:top w:val="nil"/>
              <w:bottom w:val="nil"/>
            </w:tcBorders>
          </w:tcPr>
          <w:p>
            <w:pPr>
              <w:rPr>
                <w:rFonts w:ascii="Arial"/>
                <w:sz w:val="21"/>
              </w:rPr>
            </w:pPr>
            <w:r/>
          </w:p>
        </w:tc>
      </w:tr>
      <w:tr>
        <w:trPr>
          <w:trHeight w:val="397" w:hRule="atLeast"/>
        </w:trPr>
        <w:tc>
          <w:tcPr>
            <w:tcW w:w="1183" w:type="dxa"/>
            <w:vAlign w:val="top"/>
          </w:tcPr>
          <w:p>
            <w:pPr>
              <w:ind w:left="506"/>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3931" w:type="dxa"/>
            <w:vAlign w:val="top"/>
          </w:tcPr>
          <w:p>
            <w:pPr>
              <w:pStyle w:val="TableText"/>
              <w:ind w:left="1450"/>
              <w:spacing w:before="94" w:line="232" w:lineRule="auto"/>
              <w:rPr/>
            </w:pPr>
            <w:r>
              <w:rPr>
                <w:spacing w:val="6"/>
              </w:rPr>
              <w:t>厂界西南侧</w:t>
            </w:r>
          </w:p>
        </w:tc>
        <w:tc>
          <w:tcPr>
            <w:tcW w:w="1824" w:type="dxa"/>
            <w:vAlign w:val="top"/>
          </w:tcPr>
          <w:p>
            <w:pPr>
              <w:pStyle w:val="TableText"/>
              <w:ind w:left="228"/>
              <w:spacing w:before="94" w:line="233" w:lineRule="auto"/>
              <w:rPr/>
            </w:pPr>
            <w:r>
              <w:rPr>
                <w:rFonts w:ascii="Times New Roman" w:hAnsi="Times New Roman" w:eastAsia="Times New Roman" w:cs="Times New Roman"/>
                <w:spacing w:val="2"/>
              </w:rPr>
              <w:t>119°45'26.01"</w:t>
            </w:r>
            <w:r>
              <w:rPr>
                <w:spacing w:val="2"/>
              </w:rPr>
              <w:t>东</w:t>
            </w:r>
          </w:p>
        </w:tc>
        <w:tc>
          <w:tcPr>
            <w:tcW w:w="1824" w:type="dxa"/>
            <w:vAlign w:val="top"/>
          </w:tcPr>
          <w:p>
            <w:pPr>
              <w:pStyle w:val="TableText"/>
              <w:ind w:left="261"/>
              <w:spacing w:before="94" w:line="231" w:lineRule="auto"/>
              <w:rPr/>
            </w:pPr>
            <w:r>
              <w:rPr>
                <w:rFonts w:ascii="Times New Roman" w:hAnsi="Times New Roman" w:eastAsia="Times New Roman" w:cs="Times New Roman"/>
                <w:spacing w:val="4"/>
              </w:rPr>
              <w:t>29°50'21.79"</w:t>
            </w:r>
            <w:r>
              <w:rPr>
                <w:spacing w:val="4"/>
              </w:rPr>
              <w:t>北</w:t>
            </w:r>
          </w:p>
        </w:tc>
        <w:tc>
          <w:tcPr>
            <w:tcW w:w="1059" w:type="dxa"/>
            <w:vAlign w:val="top"/>
            <w:vMerge w:val="continue"/>
            <w:tcBorders>
              <w:top w:val="nil"/>
              <w:bottom w:val="nil"/>
            </w:tcBorders>
          </w:tcPr>
          <w:p>
            <w:pPr>
              <w:rPr>
                <w:rFonts w:ascii="Arial"/>
                <w:sz w:val="21"/>
              </w:rPr>
            </w:pPr>
            <w:r/>
          </w:p>
        </w:tc>
      </w:tr>
      <w:tr>
        <w:trPr>
          <w:trHeight w:val="397" w:hRule="atLeast"/>
        </w:trPr>
        <w:tc>
          <w:tcPr>
            <w:tcW w:w="1183" w:type="dxa"/>
            <w:vAlign w:val="top"/>
          </w:tcPr>
          <w:p>
            <w:pPr>
              <w:ind w:left="506"/>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c>
          <w:tcPr>
            <w:tcW w:w="3931" w:type="dxa"/>
            <w:vAlign w:val="top"/>
          </w:tcPr>
          <w:p>
            <w:pPr>
              <w:pStyle w:val="TableText"/>
              <w:ind w:left="1239"/>
              <w:spacing w:before="92" w:line="232" w:lineRule="auto"/>
              <w:rPr/>
            </w:pPr>
            <w:r>
              <w:rPr>
                <w:spacing w:val="7"/>
              </w:rPr>
              <w:t>厂界西南侧偏西</w:t>
            </w:r>
          </w:p>
        </w:tc>
        <w:tc>
          <w:tcPr>
            <w:tcW w:w="1824" w:type="dxa"/>
            <w:vAlign w:val="top"/>
          </w:tcPr>
          <w:p>
            <w:pPr>
              <w:pStyle w:val="TableText"/>
              <w:ind w:left="228"/>
              <w:spacing w:before="93" w:line="233" w:lineRule="auto"/>
              <w:rPr/>
            </w:pPr>
            <w:r>
              <w:rPr>
                <w:rFonts w:ascii="Times New Roman" w:hAnsi="Times New Roman" w:eastAsia="Times New Roman" w:cs="Times New Roman"/>
                <w:spacing w:val="2"/>
              </w:rPr>
              <w:t>119°45'27.91"</w:t>
            </w:r>
            <w:r>
              <w:rPr>
                <w:spacing w:val="2"/>
              </w:rPr>
              <w:t>东</w:t>
            </w:r>
          </w:p>
        </w:tc>
        <w:tc>
          <w:tcPr>
            <w:tcW w:w="1824" w:type="dxa"/>
            <w:vAlign w:val="top"/>
          </w:tcPr>
          <w:p>
            <w:pPr>
              <w:pStyle w:val="TableText"/>
              <w:ind w:left="261"/>
              <w:spacing w:before="93" w:line="231" w:lineRule="auto"/>
              <w:rPr/>
            </w:pPr>
            <w:r>
              <w:rPr>
                <w:rFonts w:ascii="Times New Roman" w:hAnsi="Times New Roman" w:eastAsia="Times New Roman" w:cs="Times New Roman"/>
                <w:spacing w:val="4"/>
              </w:rPr>
              <w:t>29°50'24.68"</w:t>
            </w:r>
            <w:r>
              <w:rPr>
                <w:spacing w:val="4"/>
              </w:rPr>
              <w:t>北</w:t>
            </w:r>
          </w:p>
        </w:tc>
        <w:tc>
          <w:tcPr>
            <w:tcW w:w="1059" w:type="dxa"/>
            <w:vAlign w:val="top"/>
            <w:vMerge w:val="continue"/>
            <w:tcBorders>
              <w:top w:val="nil"/>
              <w:bottom w:val="nil"/>
            </w:tcBorders>
          </w:tcPr>
          <w:p>
            <w:pPr>
              <w:rPr>
                <w:rFonts w:ascii="Arial"/>
                <w:sz w:val="21"/>
              </w:rPr>
            </w:pPr>
            <w:r/>
          </w:p>
        </w:tc>
      </w:tr>
      <w:tr>
        <w:trPr>
          <w:trHeight w:val="397" w:hRule="atLeast"/>
        </w:trPr>
        <w:tc>
          <w:tcPr>
            <w:tcW w:w="1183" w:type="dxa"/>
            <w:vAlign w:val="top"/>
          </w:tcPr>
          <w:p>
            <w:pPr>
              <w:ind w:left="506"/>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14</w:t>
            </w:r>
          </w:p>
        </w:tc>
        <w:tc>
          <w:tcPr>
            <w:tcW w:w="3931" w:type="dxa"/>
            <w:vAlign w:val="top"/>
          </w:tcPr>
          <w:p>
            <w:pPr>
              <w:pStyle w:val="TableText"/>
              <w:ind w:left="1556"/>
              <w:spacing w:before="94" w:line="232" w:lineRule="auto"/>
              <w:rPr/>
            </w:pPr>
            <w:r>
              <w:rPr>
                <w:spacing w:val="6"/>
              </w:rPr>
              <w:t>厂界西侧</w:t>
            </w:r>
          </w:p>
        </w:tc>
        <w:tc>
          <w:tcPr>
            <w:tcW w:w="1824" w:type="dxa"/>
            <w:vAlign w:val="top"/>
          </w:tcPr>
          <w:p>
            <w:pPr>
              <w:pStyle w:val="TableText"/>
              <w:ind w:left="228"/>
              <w:spacing w:before="94" w:line="233" w:lineRule="auto"/>
              <w:rPr/>
            </w:pPr>
            <w:r>
              <w:rPr>
                <w:rFonts w:ascii="Times New Roman" w:hAnsi="Times New Roman" w:eastAsia="Times New Roman" w:cs="Times New Roman"/>
                <w:spacing w:val="2"/>
              </w:rPr>
              <w:t>119°45'28.75"</w:t>
            </w:r>
            <w:r>
              <w:rPr>
                <w:spacing w:val="2"/>
              </w:rPr>
              <w:t>东</w:t>
            </w:r>
          </w:p>
        </w:tc>
        <w:tc>
          <w:tcPr>
            <w:tcW w:w="1824" w:type="dxa"/>
            <w:vAlign w:val="top"/>
          </w:tcPr>
          <w:p>
            <w:pPr>
              <w:pStyle w:val="TableText"/>
              <w:ind w:left="261"/>
              <w:spacing w:before="94" w:line="231" w:lineRule="auto"/>
              <w:rPr/>
            </w:pPr>
            <w:r>
              <w:rPr>
                <w:rFonts w:ascii="Times New Roman" w:hAnsi="Times New Roman" w:eastAsia="Times New Roman" w:cs="Times New Roman"/>
                <w:spacing w:val="4"/>
              </w:rPr>
              <w:t>29°50'29.51"</w:t>
            </w:r>
            <w:r>
              <w:rPr>
                <w:spacing w:val="4"/>
              </w:rPr>
              <w:t>北</w:t>
            </w:r>
          </w:p>
        </w:tc>
        <w:tc>
          <w:tcPr>
            <w:tcW w:w="1059" w:type="dxa"/>
            <w:vAlign w:val="top"/>
            <w:vMerge w:val="continue"/>
            <w:tcBorders>
              <w:top w:val="nil"/>
              <w:bottom w:val="nil"/>
            </w:tcBorders>
          </w:tcPr>
          <w:p>
            <w:pPr>
              <w:rPr>
                <w:rFonts w:ascii="Arial"/>
                <w:sz w:val="21"/>
              </w:rPr>
            </w:pPr>
            <w:r/>
          </w:p>
        </w:tc>
      </w:tr>
      <w:tr>
        <w:trPr>
          <w:trHeight w:val="397" w:hRule="atLeast"/>
        </w:trPr>
        <w:tc>
          <w:tcPr>
            <w:tcW w:w="1183" w:type="dxa"/>
            <w:vAlign w:val="top"/>
          </w:tcPr>
          <w:p>
            <w:pPr>
              <w:ind w:left="506"/>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3931" w:type="dxa"/>
            <w:vAlign w:val="top"/>
          </w:tcPr>
          <w:p>
            <w:pPr>
              <w:pStyle w:val="TableText"/>
              <w:ind w:left="1556"/>
              <w:spacing w:before="92" w:line="232" w:lineRule="auto"/>
              <w:rPr/>
            </w:pPr>
            <w:r>
              <w:rPr>
                <w:spacing w:val="6"/>
              </w:rPr>
              <w:t>厂界西侧</w:t>
            </w:r>
          </w:p>
        </w:tc>
        <w:tc>
          <w:tcPr>
            <w:tcW w:w="1824" w:type="dxa"/>
            <w:vAlign w:val="top"/>
          </w:tcPr>
          <w:p>
            <w:pPr>
              <w:pStyle w:val="TableText"/>
              <w:ind w:left="228"/>
              <w:spacing w:before="93" w:line="233" w:lineRule="auto"/>
              <w:rPr/>
            </w:pPr>
            <w:r>
              <w:rPr>
                <w:rFonts w:ascii="Times New Roman" w:hAnsi="Times New Roman" w:eastAsia="Times New Roman" w:cs="Times New Roman"/>
                <w:spacing w:val="2"/>
              </w:rPr>
              <w:t>119°45'32.18"</w:t>
            </w:r>
            <w:r>
              <w:rPr>
                <w:spacing w:val="2"/>
              </w:rPr>
              <w:t>东</w:t>
            </w:r>
          </w:p>
        </w:tc>
        <w:tc>
          <w:tcPr>
            <w:tcW w:w="1824" w:type="dxa"/>
            <w:vAlign w:val="top"/>
          </w:tcPr>
          <w:p>
            <w:pPr>
              <w:pStyle w:val="TableText"/>
              <w:ind w:left="261"/>
              <w:spacing w:before="93" w:line="231" w:lineRule="auto"/>
              <w:rPr/>
            </w:pPr>
            <w:r>
              <w:rPr>
                <w:rFonts w:ascii="Times New Roman" w:hAnsi="Times New Roman" w:eastAsia="Times New Roman" w:cs="Times New Roman"/>
                <w:spacing w:val="4"/>
              </w:rPr>
              <w:t>29°50'34.36"</w:t>
            </w:r>
            <w:r>
              <w:rPr>
                <w:spacing w:val="4"/>
              </w:rPr>
              <w:t>北</w:t>
            </w:r>
          </w:p>
        </w:tc>
        <w:tc>
          <w:tcPr>
            <w:tcW w:w="1059" w:type="dxa"/>
            <w:vAlign w:val="top"/>
            <w:vMerge w:val="continue"/>
            <w:tcBorders>
              <w:top w:val="nil"/>
              <w:bottom w:val="nil"/>
            </w:tcBorders>
          </w:tcPr>
          <w:p>
            <w:pPr>
              <w:rPr>
                <w:rFonts w:ascii="Arial"/>
                <w:sz w:val="21"/>
              </w:rPr>
            </w:pPr>
            <w:r/>
          </w:p>
        </w:tc>
      </w:tr>
      <w:tr>
        <w:trPr>
          <w:trHeight w:val="397" w:hRule="atLeast"/>
        </w:trPr>
        <w:tc>
          <w:tcPr>
            <w:tcW w:w="1183" w:type="dxa"/>
            <w:vAlign w:val="top"/>
          </w:tcPr>
          <w:p>
            <w:pPr>
              <w:ind w:left="506"/>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16</w:t>
            </w:r>
          </w:p>
        </w:tc>
        <w:tc>
          <w:tcPr>
            <w:tcW w:w="3931" w:type="dxa"/>
            <w:vAlign w:val="top"/>
          </w:tcPr>
          <w:p>
            <w:pPr>
              <w:pStyle w:val="TableText"/>
              <w:ind w:left="1450"/>
              <w:spacing w:before="94" w:line="231" w:lineRule="auto"/>
              <w:rPr/>
            </w:pPr>
            <w:r>
              <w:rPr>
                <w:spacing w:val="7"/>
              </w:rPr>
              <w:t>厂界西北侧</w:t>
            </w:r>
          </w:p>
        </w:tc>
        <w:tc>
          <w:tcPr>
            <w:tcW w:w="1824" w:type="dxa"/>
            <w:vAlign w:val="top"/>
          </w:tcPr>
          <w:p>
            <w:pPr>
              <w:pStyle w:val="TableText"/>
              <w:ind w:left="228"/>
              <w:spacing w:before="94" w:line="233" w:lineRule="auto"/>
              <w:rPr/>
            </w:pPr>
            <w:r>
              <w:rPr>
                <w:rFonts w:ascii="Times New Roman" w:hAnsi="Times New Roman" w:eastAsia="Times New Roman" w:cs="Times New Roman"/>
                <w:spacing w:val="2"/>
              </w:rPr>
              <w:t>119°45'29.25"</w:t>
            </w:r>
            <w:r>
              <w:rPr>
                <w:spacing w:val="2"/>
              </w:rPr>
              <w:t>东</w:t>
            </w:r>
          </w:p>
        </w:tc>
        <w:tc>
          <w:tcPr>
            <w:tcW w:w="1824" w:type="dxa"/>
            <w:vAlign w:val="top"/>
          </w:tcPr>
          <w:p>
            <w:pPr>
              <w:pStyle w:val="TableText"/>
              <w:ind w:left="261"/>
              <w:spacing w:before="94" w:line="231" w:lineRule="auto"/>
              <w:rPr/>
            </w:pPr>
            <w:r>
              <w:rPr>
                <w:rFonts w:ascii="Times New Roman" w:hAnsi="Times New Roman" w:eastAsia="Times New Roman" w:cs="Times New Roman"/>
                <w:spacing w:val="4"/>
              </w:rPr>
              <w:t>29°50'38.01"</w:t>
            </w:r>
            <w:r>
              <w:rPr>
                <w:spacing w:val="4"/>
              </w:rPr>
              <w:t>北</w:t>
            </w:r>
          </w:p>
        </w:tc>
        <w:tc>
          <w:tcPr>
            <w:tcW w:w="1059" w:type="dxa"/>
            <w:vAlign w:val="top"/>
            <w:vMerge w:val="continue"/>
            <w:tcBorders>
              <w:top w:val="nil"/>
            </w:tcBorders>
          </w:tcPr>
          <w:p>
            <w:pPr>
              <w:rPr>
                <w:rFonts w:ascii="Arial"/>
                <w:sz w:val="21"/>
              </w:rPr>
            </w:pPr>
            <w:r/>
          </w:p>
        </w:tc>
      </w:tr>
      <w:tr>
        <w:trPr>
          <w:trHeight w:val="5616" w:hRule="atLeast"/>
        </w:trPr>
        <w:tc>
          <w:tcPr>
            <w:tcW w:w="9821" w:type="dxa"/>
            <w:vAlign w:val="top"/>
            <w:gridSpan w:val="5"/>
          </w:tcPr>
          <w:p>
            <w:pPr>
              <w:ind w:firstLine="79"/>
              <w:spacing w:before="48" w:line="5520" w:lineRule="exact"/>
              <w:rPr/>
            </w:pPr>
            <w:r>
              <w:rPr>
                <w:position w:val="-110"/>
              </w:rPr>
              <w:drawing>
                <wp:inline distT="0" distB="0" distL="0" distR="0">
                  <wp:extent cx="6118859" cy="3505200"/>
                  <wp:effectExtent l="0" t="0" r="0" b="0"/>
                  <wp:docPr id="8" name="IM 8"/>
                  <wp:cNvGraphicFramePr/>
                  <a:graphic>
                    <a:graphicData uri="http://schemas.openxmlformats.org/drawingml/2006/picture">
                      <pic:pic>
                        <pic:nvPicPr>
                          <pic:cNvPr id="8" name="IM 8"/>
                          <pic:cNvPicPr/>
                        </pic:nvPicPr>
                        <pic:blipFill>
                          <a:blip r:embed="rId14"/>
                          <a:stretch>
                            <a:fillRect/>
                          </a:stretch>
                        </pic:blipFill>
                        <pic:spPr>
                          <a:xfrm rot="0">
                            <a:off x="0" y="0"/>
                            <a:ext cx="6118859" cy="3505200"/>
                          </a:xfrm>
                          <a:prstGeom prst="rect">
                            <a:avLst/>
                          </a:prstGeom>
                        </pic:spPr>
                      </pic:pic>
                    </a:graphicData>
                  </a:graphic>
                </wp:inline>
              </w:drawing>
            </w:r>
          </w:p>
        </w:tc>
      </w:tr>
    </w:tbl>
    <w:p>
      <w:pPr>
        <w:pStyle w:val="BodyText"/>
        <w:ind w:left="3581"/>
        <w:spacing w:before="113" w:line="223" w:lineRule="auto"/>
        <w:rPr>
          <w:rFonts w:ascii="FangSong" w:hAnsi="FangSong" w:eastAsia="FangSong" w:cs="FangSong"/>
          <w:sz w:val="24"/>
          <w:szCs w:val="24"/>
        </w:rPr>
      </w:pPr>
      <w:r>
        <w:rPr>
          <w:rFonts w:ascii="FangSong" w:hAnsi="FangSong" w:eastAsia="FangSong" w:cs="FangSong"/>
          <w:sz w:val="24"/>
          <w:szCs w:val="24"/>
          <w:b/>
          <w:bCs/>
          <w:spacing w:val="-4"/>
        </w:rPr>
        <w:t>图</w:t>
      </w:r>
      <w:r>
        <w:rPr>
          <w:sz w:val="24"/>
          <w:szCs w:val="24"/>
          <w:b/>
          <w:bCs/>
          <w:spacing w:val="-4"/>
        </w:rPr>
        <w:t>2.1-2    </w:t>
      </w:r>
      <w:r>
        <w:rPr>
          <w:rFonts w:ascii="FangSong" w:hAnsi="FangSong" w:eastAsia="FangSong" w:cs="FangSong"/>
          <w:sz w:val="24"/>
          <w:szCs w:val="24"/>
          <w:b/>
          <w:bCs/>
          <w:spacing w:val="-4"/>
        </w:rPr>
        <w:t>企业用地红线图</w:t>
      </w:r>
    </w:p>
    <w:p>
      <w:pPr>
        <w:spacing w:line="223" w:lineRule="auto"/>
        <w:sectPr>
          <w:headerReference w:type="default" r:id="rId12"/>
          <w:footerReference w:type="default" r:id="rId13"/>
          <w:pgSz w:w="11906" w:h="16839"/>
          <w:pgMar w:top="1139" w:right="1001" w:bottom="1252" w:left="1077" w:header="831" w:footer="1090" w:gutter="0"/>
        </w:sectPr>
        <w:rPr>
          <w:rFonts w:ascii="FangSong" w:hAnsi="FangSong" w:eastAsia="FangSong" w:cs="FangSong"/>
          <w:sz w:val="24"/>
          <w:szCs w:val="24"/>
        </w:rPr>
      </w:pPr>
    </w:p>
    <w:p>
      <w:pPr>
        <w:spacing w:line="378" w:lineRule="auto"/>
        <w:rPr>
          <w:rFonts w:ascii="Arial"/>
          <w:sz w:val="21"/>
        </w:rPr>
      </w:pPr>
      <w:r/>
    </w:p>
    <w:p>
      <w:pPr>
        <w:pStyle w:val="BodyText"/>
        <w:ind w:left="11"/>
        <w:spacing w:before="91" w:line="222" w:lineRule="auto"/>
        <w:outlineLvl w:val="1"/>
        <w:rPr>
          <w:rFonts w:ascii="FangSong" w:hAnsi="FangSong" w:eastAsia="FangSong" w:cs="FangSong"/>
          <w:sz w:val="28"/>
          <w:szCs w:val="28"/>
        </w:rPr>
      </w:pPr>
      <w:bookmarkStart w:name="bookmark7" w:id="10"/>
      <w:bookmarkEnd w:id="10"/>
      <w:r>
        <w:rPr>
          <w:sz w:val="28"/>
          <w:szCs w:val="28"/>
          <w:b/>
          <w:bCs/>
          <w:spacing w:val="-2"/>
        </w:rPr>
        <w:t>2.2  </w:t>
      </w:r>
      <w:r>
        <w:rPr>
          <w:rFonts w:ascii="FangSong" w:hAnsi="FangSong" w:eastAsia="FangSong" w:cs="FangSong"/>
          <w:sz w:val="28"/>
          <w:szCs w:val="28"/>
          <w:b/>
          <w:bCs/>
          <w:spacing w:val="-2"/>
        </w:rPr>
        <w:t>企业用地历史、行业分类及经营范围</w:t>
      </w:r>
    </w:p>
    <w:p>
      <w:pPr>
        <w:pStyle w:val="BodyText"/>
        <w:ind w:left="10"/>
        <w:spacing w:before="229" w:line="224" w:lineRule="auto"/>
        <w:outlineLvl w:val="2"/>
        <w:rPr>
          <w:rFonts w:ascii="FangSong" w:hAnsi="FangSong" w:eastAsia="FangSong" w:cs="FangSong"/>
          <w:sz w:val="24"/>
          <w:szCs w:val="24"/>
        </w:rPr>
      </w:pPr>
      <w:r>
        <w:rPr>
          <w:sz w:val="24"/>
          <w:szCs w:val="24"/>
          <w:b/>
          <w:bCs/>
          <w:spacing w:val="-2"/>
        </w:rPr>
        <w:t>2.2.1  </w:t>
      </w:r>
      <w:r>
        <w:rPr>
          <w:rFonts w:ascii="FangSong" w:hAnsi="FangSong" w:eastAsia="FangSong" w:cs="FangSong"/>
          <w:sz w:val="24"/>
          <w:szCs w:val="24"/>
          <w:b/>
          <w:bCs/>
          <w:spacing w:val="-2"/>
        </w:rPr>
        <w:t>企业用地历史</w:t>
      </w:r>
    </w:p>
    <w:p>
      <w:pPr>
        <w:pStyle w:val="BodyText"/>
        <w:ind w:left="20" w:right="114" w:firstLine="481"/>
        <w:spacing w:before="177" w:line="360" w:lineRule="auto"/>
        <w:jc w:val="both"/>
        <w:rPr>
          <w:rFonts w:ascii="FangSong" w:hAnsi="FangSong" w:eastAsia="FangSong" w:cs="FangSong"/>
          <w:sz w:val="24"/>
          <w:szCs w:val="24"/>
        </w:rPr>
      </w:pPr>
      <w:r>
        <w:rPr>
          <w:rFonts w:ascii="FangSong" w:hAnsi="FangSong" w:eastAsia="FangSong" w:cs="FangSong"/>
          <w:sz w:val="24"/>
          <w:szCs w:val="24"/>
          <w:spacing w:val="-3"/>
        </w:rPr>
        <w:t>浙江环益资源利用股份有限公司用地地块历史影像资料最早可追溯到</w:t>
      </w:r>
      <w:r>
        <w:rPr>
          <w:sz w:val="24"/>
          <w:szCs w:val="24"/>
          <w:spacing w:val="-3"/>
        </w:rPr>
        <w:t>80</w:t>
      </w:r>
      <w:r>
        <w:rPr>
          <w:rFonts w:ascii="FangSong" w:hAnsi="FangSong" w:eastAsia="FangSong" w:cs="FangSong"/>
          <w:sz w:val="24"/>
          <w:szCs w:val="24"/>
          <w:spacing w:val="-3"/>
        </w:rPr>
        <w:t>年代，地块内</w:t>
      </w:r>
      <w:r>
        <w:rPr>
          <w:sz w:val="24"/>
          <w:szCs w:val="24"/>
          <w:spacing w:val="-3"/>
        </w:rPr>
        <w:t>2002</w:t>
      </w:r>
      <w:r>
        <w:rPr>
          <w:sz w:val="24"/>
          <w:szCs w:val="24"/>
          <w:spacing w:val="13"/>
        </w:rPr>
        <w:t xml:space="preserve"> </w:t>
      </w:r>
      <w:r>
        <w:rPr>
          <w:rFonts w:ascii="FangSong" w:hAnsi="FangSong" w:eastAsia="FangSong" w:cs="FangSong"/>
          <w:sz w:val="24"/>
          <w:szCs w:val="24"/>
          <w:spacing w:val="-2"/>
        </w:rPr>
        <w:t>年以前为荒地，</w:t>
      </w:r>
      <w:r>
        <w:rPr>
          <w:sz w:val="24"/>
          <w:szCs w:val="24"/>
          <w:spacing w:val="-2"/>
        </w:rPr>
        <w:t>2002</w:t>
      </w:r>
      <w:r>
        <w:rPr>
          <w:rFonts w:ascii="FangSong" w:hAnsi="FangSong" w:eastAsia="FangSong" w:cs="FangSong"/>
          <w:sz w:val="24"/>
          <w:szCs w:val="24"/>
          <w:spacing w:val="-2"/>
        </w:rPr>
        <w:t>年至</w:t>
      </w:r>
      <w:r>
        <w:rPr>
          <w:sz w:val="24"/>
          <w:szCs w:val="24"/>
          <w:spacing w:val="-2"/>
        </w:rPr>
        <w:t>2007</w:t>
      </w:r>
      <w:r>
        <w:rPr>
          <w:rFonts w:ascii="FangSong" w:hAnsi="FangSong" w:eastAsia="FangSong" w:cs="FangSong"/>
          <w:sz w:val="24"/>
          <w:szCs w:val="24"/>
          <w:spacing w:val="-2"/>
        </w:rPr>
        <w:t>年为杭州金星烟花有限公司生</w:t>
      </w:r>
      <w:r>
        <w:rPr>
          <w:rFonts w:ascii="FangSong" w:hAnsi="FangSong" w:eastAsia="FangSong" w:cs="FangSong"/>
          <w:sz w:val="24"/>
          <w:szCs w:val="24"/>
          <w:spacing w:val="-3"/>
        </w:rPr>
        <w:t>产用地，</w:t>
      </w:r>
      <w:r>
        <w:rPr>
          <w:sz w:val="24"/>
          <w:szCs w:val="24"/>
          <w:spacing w:val="-3"/>
        </w:rPr>
        <w:t>2007</w:t>
      </w:r>
      <w:r>
        <w:rPr>
          <w:rFonts w:ascii="FangSong" w:hAnsi="FangSong" w:eastAsia="FangSong" w:cs="FangSong"/>
          <w:sz w:val="24"/>
          <w:szCs w:val="24"/>
          <w:spacing w:val="-3"/>
        </w:rPr>
        <w:t>年浙江环益资源利用</w:t>
      </w:r>
      <w:r>
        <w:rPr>
          <w:rFonts w:ascii="FangSong" w:hAnsi="FangSong" w:eastAsia="FangSong" w:cs="FangSong"/>
          <w:sz w:val="24"/>
          <w:szCs w:val="24"/>
        </w:rPr>
        <w:t xml:space="preserve"> </w:t>
      </w:r>
      <w:r>
        <w:rPr>
          <w:rFonts w:ascii="FangSong" w:hAnsi="FangSong" w:eastAsia="FangSong" w:cs="FangSong"/>
          <w:sz w:val="24"/>
          <w:szCs w:val="24"/>
          <w:spacing w:val="-1"/>
        </w:rPr>
        <w:t>股份有限公司开始建厂，即浙江环益资源利用股份有限公司生产用地。</w:t>
      </w:r>
    </w:p>
    <w:p>
      <w:pPr>
        <w:pStyle w:val="BodyText"/>
        <w:ind w:left="3020"/>
        <w:spacing w:line="222"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2"/>
        </w:rPr>
        <w:t xml:space="preserve"> </w:t>
      </w:r>
      <w:r>
        <w:rPr>
          <w:sz w:val="24"/>
          <w:szCs w:val="24"/>
          <w:b/>
          <w:bCs/>
          <w:spacing w:val="-2"/>
        </w:rPr>
        <w:t>2.2-1    </w:t>
      </w:r>
      <w:r>
        <w:rPr>
          <w:rFonts w:ascii="FangSong" w:hAnsi="FangSong" w:eastAsia="FangSong" w:cs="FangSong"/>
          <w:sz w:val="24"/>
          <w:szCs w:val="24"/>
          <w:b/>
          <w:bCs/>
          <w:spacing w:val="-2"/>
        </w:rPr>
        <w:t>地块内各个时期用地情况</w:t>
      </w:r>
    </w:p>
    <w:p>
      <w:pPr>
        <w:spacing w:line="86" w:lineRule="exact"/>
        <w:rPr/>
      </w:pPr>
      <w:r/>
    </w:p>
    <w:tbl>
      <w:tblPr>
        <w:tblStyle w:val="TableNormal"/>
        <w:tblW w:w="97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06"/>
        <w:gridCol w:w="1746"/>
        <w:gridCol w:w="3424"/>
        <w:gridCol w:w="3790"/>
      </w:tblGrid>
      <w:tr>
        <w:trPr>
          <w:trHeight w:val="430" w:hRule="atLeast"/>
        </w:trPr>
        <w:tc>
          <w:tcPr>
            <w:tcW w:w="806" w:type="dxa"/>
            <w:vAlign w:val="top"/>
          </w:tcPr>
          <w:p>
            <w:pPr>
              <w:pStyle w:val="TableText"/>
              <w:ind w:left="214"/>
              <w:spacing w:before="108" w:line="232" w:lineRule="auto"/>
              <w:rPr/>
            </w:pPr>
            <w:r>
              <w:rPr>
                <w:b/>
                <w:bCs/>
                <w:spacing w:val="-5"/>
              </w:rPr>
              <w:t>范围</w:t>
            </w:r>
          </w:p>
        </w:tc>
        <w:tc>
          <w:tcPr>
            <w:tcW w:w="1746" w:type="dxa"/>
            <w:vAlign w:val="top"/>
          </w:tcPr>
          <w:p>
            <w:pPr>
              <w:pStyle w:val="TableText"/>
              <w:ind w:left="686"/>
              <w:spacing w:before="108" w:line="232" w:lineRule="auto"/>
              <w:rPr/>
            </w:pPr>
            <w:r>
              <w:rPr>
                <w:b/>
                <w:bCs/>
                <w:spacing w:val="-7"/>
              </w:rPr>
              <w:t>时间</w:t>
            </w:r>
          </w:p>
        </w:tc>
        <w:tc>
          <w:tcPr>
            <w:tcW w:w="3424" w:type="dxa"/>
            <w:vAlign w:val="top"/>
          </w:tcPr>
          <w:p>
            <w:pPr>
              <w:pStyle w:val="TableText"/>
              <w:ind w:left="1301"/>
              <w:spacing w:before="108" w:line="232" w:lineRule="auto"/>
              <w:rPr/>
            </w:pPr>
            <w:r>
              <w:rPr>
                <w:b/>
                <w:bCs/>
                <w:spacing w:val="5"/>
              </w:rPr>
              <w:t>用地方式</w:t>
            </w:r>
          </w:p>
        </w:tc>
        <w:tc>
          <w:tcPr>
            <w:tcW w:w="3790" w:type="dxa"/>
            <w:vAlign w:val="top"/>
          </w:tcPr>
          <w:p>
            <w:pPr>
              <w:pStyle w:val="TableText"/>
              <w:ind w:left="1490"/>
              <w:spacing w:before="109" w:line="232" w:lineRule="auto"/>
              <w:rPr/>
            </w:pPr>
            <w:r>
              <w:rPr>
                <w:b/>
                <w:bCs/>
                <w:spacing w:val="3"/>
              </w:rPr>
              <w:t>主要产品</w:t>
            </w:r>
          </w:p>
        </w:tc>
      </w:tr>
      <w:tr>
        <w:trPr>
          <w:trHeight w:val="423" w:hRule="atLeast"/>
        </w:trPr>
        <w:tc>
          <w:tcPr>
            <w:tcW w:w="806" w:type="dxa"/>
            <w:vAlign w:val="top"/>
            <w:vMerge w:val="restart"/>
            <w:tcBorders>
              <w:bottom w:val="nil"/>
            </w:tcBorders>
          </w:tcPr>
          <w:p>
            <w:pPr>
              <w:rPr>
                <w:rFonts w:ascii="Arial"/>
                <w:sz w:val="21"/>
              </w:rPr>
            </w:pPr>
            <w:r/>
          </w:p>
          <w:p>
            <w:pPr>
              <w:rPr>
                <w:rFonts w:ascii="Arial"/>
                <w:sz w:val="21"/>
              </w:rPr>
            </w:pPr>
            <w:r/>
          </w:p>
          <w:p>
            <w:pPr>
              <w:rPr>
                <w:rFonts w:ascii="Arial"/>
                <w:sz w:val="21"/>
              </w:rPr>
            </w:pPr>
            <w:r/>
          </w:p>
          <w:p>
            <w:pPr>
              <w:pStyle w:val="TableText"/>
              <w:ind w:left="100"/>
              <w:spacing w:before="65" w:line="231" w:lineRule="auto"/>
              <w:rPr/>
            </w:pPr>
            <w:r>
              <w:rPr>
                <w:spacing w:val="4"/>
              </w:rPr>
              <w:t>地块内</w:t>
            </w:r>
          </w:p>
        </w:tc>
        <w:tc>
          <w:tcPr>
            <w:tcW w:w="1746" w:type="dxa"/>
            <w:vAlign w:val="top"/>
          </w:tcPr>
          <w:p>
            <w:pPr>
              <w:pStyle w:val="TableText"/>
              <w:ind w:left="347"/>
              <w:spacing w:before="105" w:line="230" w:lineRule="auto"/>
              <w:rPr/>
            </w:pPr>
            <w:r>
              <w:rPr>
                <w:rFonts w:ascii="Times New Roman" w:hAnsi="Times New Roman" w:eastAsia="Times New Roman" w:cs="Times New Roman"/>
                <w:spacing w:val="6"/>
              </w:rPr>
              <w:t>2002</w:t>
            </w:r>
            <w:r>
              <w:rPr>
                <w:spacing w:val="6"/>
              </w:rPr>
              <w:t>年以前</w:t>
            </w:r>
          </w:p>
        </w:tc>
        <w:tc>
          <w:tcPr>
            <w:tcW w:w="3424" w:type="dxa"/>
            <w:vAlign w:val="top"/>
          </w:tcPr>
          <w:p>
            <w:pPr>
              <w:pStyle w:val="TableText"/>
              <w:ind w:left="1517"/>
              <w:spacing w:before="106" w:line="232" w:lineRule="auto"/>
              <w:rPr/>
            </w:pPr>
            <w:r>
              <w:rPr>
                <w:spacing w:val="-1"/>
              </w:rPr>
              <w:t>荒地</w:t>
            </w:r>
          </w:p>
        </w:tc>
        <w:tc>
          <w:tcPr>
            <w:tcW w:w="3790" w:type="dxa"/>
            <w:vAlign w:val="top"/>
          </w:tcPr>
          <w:p>
            <w:pPr>
              <w:ind w:left="1862"/>
              <w:spacing w:before="13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423" w:hRule="atLeast"/>
        </w:trPr>
        <w:tc>
          <w:tcPr>
            <w:tcW w:w="806" w:type="dxa"/>
            <w:vAlign w:val="top"/>
            <w:vMerge w:val="continue"/>
            <w:tcBorders>
              <w:top w:val="nil"/>
              <w:bottom w:val="nil"/>
            </w:tcBorders>
          </w:tcPr>
          <w:p>
            <w:pPr>
              <w:rPr>
                <w:rFonts w:ascii="Arial"/>
                <w:sz w:val="21"/>
              </w:rPr>
            </w:pPr>
            <w:r/>
          </w:p>
        </w:tc>
        <w:tc>
          <w:tcPr>
            <w:tcW w:w="1746" w:type="dxa"/>
            <w:vAlign w:val="top"/>
          </w:tcPr>
          <w:p>
            <w:pPr>
              <w:pStyle w:val="TableText"/>
              <w:ind w:left="138"/>
              <w:spacing w:before="107" w:line="231" w:lineRule="auto"/>
              <w:rPr/>
            </w:pPr>
            <w:r>
              <w:rPr>
                <w:rFonts w:ascii="Times New Roman" w:hAnsi="Times New Roman" w:eastAsia="Times New Roman" w:cs="Times New Roman"/>
                <w:spacing w:val="5"/>
              </w:rPr>
              <w:t>2002</w:t>
            </w:r>
            <w:r>
              <w:rPr>
                <w:spacing w:val="5"/>
              </w:rPr>
              <w:t>年—</w:t>
            </w:r>
            <w:r>
              <w:rPr>
                <w:rFonts w:ascii="Times New Roman" w:hAnsi="Times New Roman" w:eastAsia="Times New Roman" w:cs="Times New Roman"/>
                <w:spacing w:val="5"/>
              </w:rPr>
              <w:t>2007</w:t>
            </w:r>
            <w:r>
              <w:rPr>
                <w:spacing w:val="5"/>
              </w:rPr>
              <w:t>年</w:t>
            </w:r>
          </w:p>
        </w:tc>
        <w:tc>
          <w:tcPr>
            <w:tcW w:w="3424" w:type="dxa"/>
            <w:vAlign w:val="top"/>
          </w:tcPr>
          <w:p>
            <w:pPr>
              <w:pStyle w:val="TableText"/>
              <w:ind w:left="252"/>
              <w:spacing w:before="107" w:line="229" w:lineRule="auto"/>
              <w:rPr/>
            </w:pPr>
            <w:r>
              <w:rPr>
                <w:spacing w:val="8"/>
              </w:rPr>
              <w:t>杭州金星烟花有限公司生产用地</w:t>
            </w:r>
          </w:p>
        </w:tc>
        <w:tc>
          <w:tcPr>
            <w:tcW w:w="3790" w:type="dxa"/>
            <w:vAlign w:val="top"/>
          </w:tcPr>
          <w:p>
            <w:pPr>
              <w:pStyle w:val="TableText"/>
              <w:ind w:left="1695"/>
              <w:spacing w:before="107" w:line="229" w:lineRule="auto"/>
              <w:rPr/>
            </w:pPr>
            <w:r>
              <w:rPr>
                <w:spacing w:val="2"/>
              </w:rPr>
              <w:t>烟花</w:t>
            </w:r>
          </w:p>
        </w:tc>
      </w:tr>
      <w:tr>
        <w:trPr>
          <w:trHeight w:val="937" w:hRule="atLeast"/>
        </w:trPr>
        <w:tc>
          <w:tcPr>
            <w:tcW w:w="806" w:type="dxa"/>
            <w:vAlign w:val="top"/>
            <w:vMerge w:val="continue"/>
            <w:tcBorders>
              <w:top w:val="nil"/>
            </w:tcBorders>
          </w:tcPr>
          <w:p>
            <w:pPr>
              <w:rPr>
                <w:rFonts w:ascii="Arial"/>
                <w:sz w:val="21"/>
              </w:rPr>
            </w:pPr>
            <w:r/>
          </w:p>
        </w:tc>
        <w:tc>
          <w:tcPr>
            <w:tcW w:w="1746" w:type="dxa"/>
            <w:vAlign w:val="top"/>
          </w:tcPr>
          <w:p>
            <w:pPr>
              <w:spacing w:line="296" w:lineRule="auto"/>
              <w:rPr>
                <w:rFonts w:ascii="Arial"/>
                <w:sz w:val="21"/>
              </w:rPr>
            </w:pPr>
            <w:r/>
          </w:p>
          <w:p>
            <w:pPr>
              <w:pStyle w:val="TableText"/>
              <w:ind w:left="347"/>
              <w:spacing w:before="65" w:line="231" w:lineRule="auto"/>
              <w:rPr/>
            </w:pPr>
            <w:r>
              <w:rPr>
                <w:rFonts w:ascii="Times New Roman" w:hAnsi="Times New Roman" w:eastAsia="Times New Roman" w:cs="Times New Roman"/>
                <w:spacing w:val="6"/>
              </w:rPr>
              <w:t>2007</w:t>
            </w:r>
            <w:r>
              <w:rPr>
                <w:spacing w:val="6"/>
              </w:rPr>
              <w:t>年至今</w:t>
            </w:r>
          </w:p>
        </w:tc>
        <w:tc>
          <w:tcPr>
            <w:tcW w:w="3424" w:type="dxa"/>
            <w:vAlign w:val="top"/>
          </w:tcPr>
          <w:p>
            <w:pPr>
              <w:pStyle w:val="TableText"/>
              <w:ind w:left="45"/>
              <w:spacing w:before="207" w:line="231" w:lineRule="auto"/>
              <w:rPr/>
            </w:pPr>
            <w:r>
              <w:rPr>
                <w:spacing w:val="8"/>
              </w:rPr>
              <w:t>浙江环益资源利用股份有限公司生产</w:t>
            </w:r>
          </w:p>
          <w:p>
            <w:pPr>
              <w:pStyle w:val="TableText"/>
              <w:ind w:left="1512"/>
              <w:spacing w:before="62" w:line="232" w:lineRule="auto"/>
              <w:rPr/>
            </w:pPr>
            <w:r>
              <w:rPr>
                <w:spacing w:val="2"/>
              </w:rPr>
              <w:t>用地</w:t>
            </w:r>
          </w:p>
        </w:tc>
        <w:tc>
          <w:tcPr>
            <w:tcW w:w="3790" w:type="dxa"/>
            <w:vAlign w:val="top"/>
          </w:tcPr>
          <w:p>
            <w:pPr>
              <w:pStyle w:val="TableText"/>
              <w:spacing w:before="51" w:line="229" w:lineRule="auto"/>
              <w:jc w:val="right"/>
              <w:rPr/>
            </w:pPr>
            <w:r>
              <w:rPr>
                <w:spacing w:val="-2"/>
              </w:rPr>
              <w:t>有色金属废弃物资源综合利用，产出黑铜、</w:t>
            </w:r>
          </w:p>
          <w:p>
            <w:pPr>
              <w:pStyle w:val="TableText"/>
              <w:spacing w:before="63" w:line="231" w:lineRule="auto"/>
              <w:jc w:val="right"/>
              <w:rPr/>
            </w:pPr>
            <w:r>
              <w:rPr>
                <w:spacing w:val="9"/>
              </w:rPr>
              <w:t>冰铜、阳极铜、铸造磨球、镍铁合金、副</w:t>
            </w:r>
          </w:p>
          <w:p>
            <w:pPr>
              <w:pStyle w:val="TableText"/>
              <w:ind w:left="752"/>
              <w:spacing w:before="61" w:line="232" w:lineRule="auto"/>
              <w:rPr/>
            </w:pPr>
            <w:r>
              <w:rPr>
                <w:spacing w:val="7"/>
              </w:rPr>
              <w:t>产七水硫酸镁（工业级）</w:t>
            </w:r>
          </w:p>
        </w:tc>
      </w:tr>
      <w:tr>
        <w:trPr>
          <w:trHeight w:val="944" w:hRule="atLeast"/>
        </w:trPr>
        <w:tc>
          <w:tcPr>
            <w:tcW w:w="9766" w:type="dxa"/>
            <w:vAlign w:val="top"/>
            <w:gridSpan w:val="4"/>
          </w:tcPr>
          <w:p>
            <w:pPr>
              <w:pStyle w:val="TableText"/>
              <w:ind w:left="20" w:firstLine="3"/>
              <w:spacing w:before="56" w:line="270" w:lineRule="auto"/>
              <w:jc w:val="both"/>
              <w:rPr/>
            </w:pPr>
            <w:r>
              <w:rPr>
                <w:spacing w:val="8"/>
              </w:rPr>
              <w:t>注：杭州金星烟花有限公司生产用地占现地块中的一小部分（即现在的员工宿舍及办公楼区域</w:t>
            </w:r>
            <w:r>
              <w:rPr>
                <w:spacing w:val="18"/>
              </w:rPr>
              <w:t>），</w:t>
            </w:r>
            <w:r>
              <w:rPr>
                <w:spacing w:val="8"/>
              </w:rPr>
              <w:t>主要产</w:t>
            </w:r>
            <w:r>
              <w:rPr/>
              <w:t xml:space="preserve">  </w:t>
            </w:r>
            <w:r>
              <w:rPr>
                <w:spacing w:val="7"/>
              </w:rPr>
              <w:t>品为烟花制造。因该公司关闭较早，相关的文件资料已无从获取，经参考同时期烟花生产企业的资料后知：</w:t>
            </w:r>
            <w:r>
              <w:rPr>
                <w:spacing w:val="10"/>
              </w:rPr>
              <w:t xml:space="preserve"> </w:t>
            </w:r>
            <w:r>
              <w:rPr>
                <w:spacing w:val="8"/>
              </w:rPr>
              <w:t>涉及的特征污染物为硝酸钾、高氯酸钾、硫</w:t>
            </w:r>
            <w:r>
              <w:rPr>
                <w:spacing w:val="7"/>
              </w:rPr>
              <w:t>磺、铝粉。</w:t>
            </w:r>
          </w:p>
        </w:tc>
      </w:tr>
    </w:tbl>
    <w:p>
      <w:pPr>
        <w:pStyle w:val="BodyText"/>
        <w:ind w:left="1512"/>
        <w:spacing w:before="115" w:line="222" w:lineRule="auto"/>
        <w:rPr>
          <w:rFonts w:ascii="FangSong" w:hAnsi="FangSong" w:eastAsia="FangSong" w:cs="FangSong"/>
          <w:sz w:val="24"/>
          <w:szCs w:val="24"/>
        </w:rPr>
      </w:pPr>
      <w:r>
        <w:rPr>
          <w:rFonts w:ascii="FangSong" w:hAnsi="FangSong" w:eastAsia="FangSong" w:cs="FangSong"/>
          <w:sz w:val="24"/>
          <w:szCs w:val="24"/>
          <w:b/>
          <w:bCs/>
          <w:spacing w:val="-2"/>
        </w:rPr>
        <w:t>表</w:t>
      </w:r>
      <w:r>
        <w:rPr>
          <w:rFonts w:ascii="FangSong" w:hAnsi="FangSong" w:eastAsia="FangSong" w:cs="FangSong"/>
          <w:sz w:val="24"/>
          <w:szCs w:val="24"/>
          <w:spacing w:val="-2"/>
        </w:rPr>
        <w:t xml:space="preserve"> </w:t>
      </w:r>
      <w:r>
        <w:rPr>
          <w:sz w:val="24"/>
          <w:szCs w:val="24"/>
          <w:b/>
          <w:bCs/>
          <w:spacing w:val="-2"/>
        </w:rPr>
        <w:t>2.2-2  </w:t>
      </w:r>
      <w:r>
        <w:rPr>
          <w:rFonts w:ascii="FangSong" w:hAnsi="FangSong" w:eastAsia="FangSong" w:cs="FangSong"/>
          <w:sz w:val="24"/>
          <w:szCs w:val="24"/>
          <w:b/>
          <w:bCs/>
          <w:spacing w:val="-2"/>
        </w:rPr>
        <w:t>浙江环益资源利用股份有限公司用地范围内历史影像图</w:t>
      </w:r>
    </w:p>
    <w:p>
      <w:pPr>
        <w:spacing w:line="84" w:lineRule="exact"/>
        <w:rPr/>
      </w:pPr>
      <w:r/>
    </w:p>
    <w:tbl>
      <w:tblPr>
        <w:tblStyle w:val="TableNormal"/>
        <w:tblW w:w="9855" w:type="dxa"/>
        <w:tblInd w:w="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07"/>
        <w:gridCol w:w="6712"/>
        <w:gridCol w:w="1836"/>
      </w:tblGrid>
      <w:tr>
        <w:trPr>
          <w:trHeight w:val="455" w:hRule="atLeast"/>
        </w:trPr>
        <w:tc>
          <w:tcPr>
            <w:tcW w:w="1307" w:type="dxa"/>
            <w:vAlign w:val="top"/>
          </w:tcPr>
          <w:p>
            <w:pPr>
              <w:pStyle w:val="TableText"/>
              <w:ind w:left="468"/>
              <w:spacing w:before="121" w:line="232" w:lineRule="auto"/>
              <w:rPr/>
            </w:pPr>
            <w:r>
              <w:rPr>
                <w:b/>
                <w:bCs/>
                <w:spacing w:val="-7"/>
              </w:rPr>
              <w:t>时间</w:t>
            </w:r>
          </w:p>
        </w:tc>
        <w:tc>
          <w:tcPr>
            <w:tcW w:w="6712" w:type="dxa"/>
            <w:vAlign w:val="top"/>
          </w:tcPr>
          <w:p>
            <w:pPr>
              <w:pStyle w:val="TableText"/>
              <w:ind w:left="2841"/>
              <w:spacing w:before="121" w:line="230" w:lineRule="auto"/>
              <w:rPr/>
            </w:pPr>
            <w:r>
              <w:rPr>
                <w:b/>
                <w:bCs/>
                <w:spacing w:val="5"/>
              </w:rPr>
              <w:t>历史影像图</w:t>
            </w:r>
          </w:p>
        </w:tc>
        <w:tc>
          <w:tcPr>
            <w:tcW w:w="1836" w:type="dxa"/>
            <w:vAlign w:val="top"/>
          </w:tcPr>
          <w:p>
            <w:pPr>
              <w:pStyle w:val="TableText"/>
              <w:ind w:left="720"/>
              <w:spacing w:before="121" w:line="233" w:lineRule="auto"/>
              <w:rPr/>
            </w:pPr>
            <w:r>
              <w:rPr>
                <w:b/>
                <w:bCs/>
              </w:rPr>
              <w:t>备注</w:t>
            </w:r>
          </w:p>
        </w:tc>
      </w:tr>
      <w:tr>
        <w:trPr>
          <w:trHeight w:val="4052" w:hRule="atLeast"/>
        </w:trPr>
        <w:tc>
          <w:tcPr>
            <w:tcW w:w="1307"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358"/>
              <w:spacing w:before="65" w:line="231" w:lineRule="auto"/>
              <w:rPr/>
            </w:pPr>
            <w:r>
              <w:rPr>
                <w:rFonts w:ascii="Times New Roman" w:hAnsi="Times New Roman" w:eastAsia="Times New Roman" w:cs="Times New Roman"/>
              </w:rPr>
              <w:t>1985</w:t>
            </w:r>
            <w:r>
              <w:rPr/>
              <w:t>年</w:t>
            </w:r>
          </w:p>
        </w:tc>
        <w:tc>
          <w:tcPr>
            <w:tcW w:w="6712" w:type="dxa"/>
            <w:vAlign w:val="top"/>
          </w:tcPr>
          <w:p>
            <w:pPr>
              <w:spacing w:before="106" w:line="3833" w:lineRule="exact"/>
              <w:rPr/>
            </w:pPr>
            <w:r>
              <w:rPr>
                <w:position w:val="-76"/>
              </w:rPr>
              <w:drawing>
                <wp:inline distT="0" distB="0" distL="0" distR="0">
                  <wp:extent cx="4249673" cy="2433828"/>
                  <wp:effectExtent l="0" t="0" r="0" b="0"/>
                  <wp:docPr id="10" name="IM 10"/>
                  <wp:cNvGraphicFramePr/>
                  <a:graphic>
                    <a:graphicData uri="http://schemas.openxmlformats.org/drawingml/2006/picture">
                      <pic:pic>
                        <pic:nvPicPr>
                          <pic:cNvPr id="10" name="IM 10"/>
                          <pic:cNvPicPr/>
                        </pic:nvPicPr>
                        <pic:blipFill>
                          <a:blip r:embed="rId17"/>
                          <a:stretch>
                            <a:fillRect/>
                          </a:stretch>
                        </pic:blipFill>
                        <pic:spPr>
                          <a:xfrm rot="0">
                            <a:off x="0" y="0"/>
                            <a:ext cx="4249673" cy="2433828"/>
                          </a:xfrm>
                          <a:prstGeom prst="rect">
                            <a:avLst/>
                          </a:prstGeom>
                        </pic:spPr>
                      </pic:pic>
                    </a:graphicData>
                  </a:graphic>
                </wp:inline>
              </w:drawing>
            </w:r>
          </w:p>
        </w:tc>
        <w:tc>
          <w:tcPr>
            <w:tcW w:w="1836" w:type="dxa"/>
            <w:vAlign w:val="top"/>
          </w:tcPr>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724"/>
              <w:spacing w:before="65" w:line="232" w:lineRule="auto"/>
              <w:rPr/>
            </w:pPr>
            <w:r>
              <w:rPr>
                <w:spacing w:val="-1"/>
              </w:rPr>
              <w:t>荒地</w:t>
            </w:r>
          </w:p>
        </w:tc>
      </w:tr>
    </w:tbl>
    <w:p>
      <w:pPr>
        <w:rPr>
          <w:rFonts w:ascii="Arial"/>
          <w:sz w:val="21"/>
        </w:rPr>
      </w:pPr>
      <w:r/>
    </w:p>
    <w:p>
      <w:pPr>
        <w:sectPr>
          <w:headerReference w:type="default" r:id="rId15"/>
          <w:footerReference w:type="default" r:id="rId16"/>
          <w:pgSz w:w="11906" w:h="16839"/>
          <w:pgMar w:top="1139" w:right="965" w:bottom="1249" w:left="1075" w:header="831" w:footer="1090" w:gutter="0"/>
        </w:sectPr>
        <w:rPr>
          <w:rFonts w:ascii="Arial" w:hAnsi="Arial" w:eastAsia="Arial" w:cs="Arial"/>
          <w:sz w:val="21"/>
          <w:szCs w:val="21"/>
        </w:rPr>
      </w:pPr>
    </w:p>
    <w:p>
      <w:pPr>
        <w:spacing w:before="58"/>
        <w:rPr/>
      </w:pPr>
      <w:r/>
    </w:p>
    <w:tbl>
      <w:tblPr>
        <w:tblStyle w:val="TableNormal"/>
        <w:tblW w:w="98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07"/>
        <w:gridCol w:w="6712"/>
        <w:gridCol w:w="1836"/>
      </w:tblGrid>
      <w:tr>
        <w:trPr>
          <w:trHeight w:val="456" w:hRule="atLeast"/>
        </w:trPr>
        <w:tc>
          <w:tcPr>
            <w:tcW w:w="1307" w:type="dxa"/>
            <w:vAlign w:val="top"/>
          </w:tcPr>
          <w:p>
            <w:pPr>
              <w:pStyle w:val="TableText"/>
              <w:ind w:left="468"/>
              <w:spacing w:before="120" w:line="232" w:lineRule="auto"/>
              <w:rPr/>
            </w:pPr>
            <w:r>
              <w:rPr>
                <w:b/>
                <w:bCs/>
                <w:spacing w:val="-7"/>
              </w:rPr>
              <w:t>时间</w:t>
            </w:r>
          </w:p>
        </w:tc>
        <w:tc>
          <w:tcPr>
            <w:tcW w:w="6712" w:type="dxa"/>
            <w:vAlign w:val="top"/>
          </w:tcPr>
          <w:p>
            <w:pPr>
              <w:pStyle w:val="TableText"/>
              <w:ind w:left="2841"/>
              <w:spacing w:before="121" w:line="230" w:lineRule="auto"/>
              <w:rPr/>
            </w:pPr>
            <w:r>
              <w:rPr>
                <w:b/>
                <w:bCs/>
                <w:spacing w:val="5"/>
              </w:rPr>
              <w:t>历史影像图</w:t>
            </w:r>
          </w:p>
        </w:tc>
        <w:tc>
          <w:tcPr>
            <w:tcW w:w="1836" w:type="dxa"/>
            <w:vAlign w:val="top"/>
          </w:tcPr>
          <w:p>
            <w:pPr>
              <w:pStyle w:val="TableText"/>
              <w:ind w:left="720"/>
              <w:spacing w:before="121" w:line="233" w:lineRule="auto"/>
              <w:rPr/>
            </w:pPr>
            <w:r>
              <w:rPr>
                <w:b/>
                <w:bCs/>
              </w:rPr>
              <w:t>备注</w:t>
            </w:r>
          </w:p>
        </w:tc>
      </w:tr>
      <w:tr>
        <w:trPr>
          <w:trHeight w:val="4054" w:hRule="atLeast"/>
        </w:trPr>
        <w:tc>
          <w:tcPr>
            <w:tcW w:w="1307"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338"/>
              <w:spacing w:before="65" w:line="231" w:lineRule="auto"/>
              <w:rPr/>
            </w:pPr>
            <w:r>
              <w:rPr>
                <w:rFonts w:ascii="Times New Roman" w:hAnsi="Times New Roman" w:eastAsia="Times New Roman" w:cs="Times New Roman"/>
                <w:spacing w:val="4"/>
              </w:rPr>
              <w:t>2004</w:t>
            </w:r>
            <w:r>
              <w:rPr>
                <w:spacing w:val="4"/>
              </w:rPr>
              <w:t>年</w:t>
            </w:r>
          </w:p>
        </w:tc>
        <w:tc>
          <w:tcPr>
            <w:tcW w:w="6712" w:type="dxa"/>
            <w:vAlign w:val="top"/>
          </w:tcPr>
          <w:p>
            <w:pPr>
              <w:spacing w:before="105" w:line="3833" w:lineRule="exact"/>
              <w:rPr/>
            </w:pPr>
            <w:r>
              <w:rPr>
                <w:position w:val="-76"/>
              </w:rPr>
              <w:drawing>
                <wp:inline distT="0" distB="0" distL="0" distR="0">
                  <wp:extent cx="4249673" cy="2433828"/>
                  <wp:effectExtent l="0" t="0" r="0" b="0"/>
                  <wp:docPr id="12" name="IM 12"/>
                  <wp:cNvGraphicFramePr/>
                  <a:graphic>
                    <a:graphicData uri="http://schemas.openxmlformats.org/drawingml/2006/picture">
                      <pic:pic>
                        <pic:nvPicPr>
                          <pic:cNvPr id="12" name="IM 12"/>
                          <pic:cNvPicPr/>
                        </pic:nvPicPr>
                        <pic:blipFill>
                          <a:blip r:embed="rId20"/>
                          <a:stretch>
                            <a:fillRect/>
                          </a:stretch>
                        </pic:blipFill>
                        <pic:spPr>
                          <a:xfrm rot="0">
                            <a:off x="0" y="0"/>
                            <a:ext cx="4249673" cy="2433828"/>
                          </a:xfrm>
                          <a:prstGeom prst="rect">
                            <a:avLst/>
                          </a:prstGeom>
                        </pic:spPr>
                      </pic:pic>
                    </a:graphicData>
                  </a:graphic>
                </wp:inline>
              </w:drawing>
            </w:r>
          </w:p>
        </w:tc>
        <w:tc>
          <w:tcPr>
            <w:tcW w:w="1836" w:type="dxa"/>
            <w:vAlign w:val="top"/>
          </w:tcPr>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pStyle w:val="TableText"/>
              <w:ind w:left="89"/>
              <w:spacing w:before="65" w:line="229" w:lineRule="auto"/>
              <w:rPr/>
            </w:pPr>
            <w:r>
              <w:rPr>
                <w:spacing w:val="8"/>
              </w:rPr>
              <w:t>杭州金星烟花有限</w:t>
            </w:r>
          </w:p>
          <w:p>
            <w:pPr>
              <w:pStyle w:val="TableText"/>
              <w:spacing w:before="64" w:line="228" w:lineRule="auto"/>
              <w:jc w:val="right"/>
              <w:rPr/>
            </w:pPr>
            <w:r>
              <w:rPr>
                <w:spacing w:val="1"/>
              </w:rPr>
              <w:t>公司生产用地（现在</w:t>
            </w:r>
          </w:p>
          <w:p>
            <w:pPr>
              <w:pStyle w:val="TableText"/>
              <w:ind w:left="102"/>
              <w:spacing w:before="64" w:line="231" w:lineRule="auto"/>
              <w:rPr/>
            </w:pPr>
            <w:r>
              <w:rPr>
                <w:spacing w:val="6"/>
              </w:rPr>
              <w:t>的员工宿舍及办公</w:t>
            </w:r>
          </w:p>
          <w:p>
            <w:pPr>
              <w:pStyle w:val="TableText"/>
              <w:ind w:left="509"/>
              <w:spacing w:before="61" w:line="231" w:lineRule="auto"/>
              <w:rPr/>
            </w:pPr>
            <w:r>
              <w:rPr>
                <w:spacing w:val="3"/>
              </w:rPr>
              <w:t>楼区域）</w:t>
            </w:r>
          </w:p>
        </w:tc>
      </w:tr>
      <w:tr>
        <w:trPr>
          <w:trHeight w:val="4054" w:hRule="atLeast"/>
        </w:trPr>
        <w:tc>
          <w:tcPr>
            <w:tcW w:w="1307" w:type="dxa"/>
            <w:vAlign w:val="top"/>
          </w:tcPr>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82"/>
              <w:spacing w:before="65" w:line="231" w:lineRule="auto"/>
              <w:rPr/>
            </w:pPr>
            <w:r>
              <w:rPr>
                <w:rFonts w:ascii="Times New Roman" w:hAnsi="Times New Roman" w:eastAsia="Times New Roman" w:cs="Times New Roman"/>
                <w:spacing w:val="5"/>
              </w:rPr>
              <w:t>2011</w:t>
            </w:r>
            <w:r>
              <w:rPr>
                <w:spacing w:val="5"/>
              </w:rPr>
              <w:t>年</w:t>
            </w:r>
            <w:r>
              <w:rPr>
                <w:rFonts w:ascii="Times New Roman" w:hAnsi="Times New Roman" w:eastAsia="Times New Roman" w:cs="Times New Roman"/>
                <w:spacing w:val="5"/>
              </w:rPr>
              <w:t>5</w:t>
            </w:r>
            <w:r>
              <w:rPr>
                <w:spacing w:val="5"/>
              </w:rPr>
              <w:t>月</w:t>
            </w:r>
          </w:p>
        </w:tc>
        <w:tc>
          <w:tcPr>
            <w:tcW w:w="6712" w:type="dxa"/>
            <w:vAlign w:val="top"/>
          </w:tcPr>
          <w:p>
            <w:pPr>
              <w:spacing w:before="107" w:line="3832" w:lineRule="exact"/>
              <w:rPr/>
            </w:pPr>
            <w:r>
              <w:rPr>
                <w:position w:val="-76"/>
              </w:rPr>
              <w:drawing>
                <wp:inline distT="0" distB="0" distL="0" distR="0">
                  <wp:extent cx="4249673" cy="2433827"/>
                  <wp:effectExtent l="0" t="0" r="0" b="0"/>
                  <wp:docPr id="14" name="IM 14"/>
                  <wp:cNvGraphicFramePr/>
                  <a:graphic>
                    <a:graphicData uri="http://schemas.openxmlformats.org/drawingml/2006/picture">
                      <pic:pic>
                        <pic:nvPicPr>
                          <pic:cNvPr id="14" name="IM 14"/>
                          <pic:cNvPicPr/>
                        </pic:nvPicPr>
                        <pic:blipFill>
                          <a:blip r:embed="rId21"/>
                          <a:stretch>
                            <a:fillRect/>
                          </a:stretch>
                        </pic:blipFill>
                        <pic:spPr>
                          <a:xfrm rot="0">
                            <a:off x="0" y="0"/>
                            <a:ext cx="4249673" cy="2433827"/>
                          </a:xfrm>
                          <a:prstGeom prst="rect">
                            <a:avLst/>
                          </a:prstGeom>
                        </pic:spPr>
                      </pic:pic>
                    </a:graphicData>
                  </a:graphic>
                </wp:inline>
              </w:drawing>
            </w:r>
          </w:p>
        </w:tc>
        <w:tc>
          <w:tcPr>
            <w:tcW w:w="1836" w:type="dxa"/>
            <w:vAlign w:val="top"/>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pStyle w:val="TableText"/>
              <w:ind w:left="15" w:firstLine="76"/>
              <w:spacing w:before="65" w:line="288" w:lineRule="auto"/>
              <w:jc w:val="both"/>
              <w:rPr/>
            </w:pPr>
            <w:r>
              <w:rPr>
                <w:spacing w:val="7"/>
              </w:rPr>
              <w:t>浙江环益资源利用</w:t>
            </w:r>
            <w:r>
              <w:rPr>
                <w:spacing w:val="5"/>
              </w:rPr>
              <w:t xml:space="preserve"> </w:t>
            </w:r>
            <w:r>
              <w:rPr>
                <w:spacing w:val="17"/>
              </w:rPr>
              <w:t>股份有限公司生产</w:t>
            </w:r>
            <w:r>
              <w:rPr>
                <w:spacing w:val="1"/>
              </w:rPr>
              <w:t xml:space="preserve"> </w:t>
            </w:r>
            <w:r>
              <w:rPr>
                <w:spacing w:val="1"/>
              </w:rPr>
              <w:t>用地（东侧和南侧土</w:t>
            </w:r>
            <w:r>
              <w:rPr>
                <w:spacing w:val="5"/>
              </w:rPr>
              <w:t xml:space="preserve"> </w:t>
            </w:r>
            <w:r>
              <w:rPr>
                <w:spacing w:val="16"/>
              </w:rPr>
              <w:t>地尚未开发利用）</w:t>
            </w:r>
          </w:p>
        </w:tc>
      </w:tr>
      <w:tr>
        <w:trPr>
          <w:trHeight w:val="4055" w:hRule="atLeast"/>
        </w:trPr>
        <w:tc>
          <w:tcPr>
            <w:tcW w:w="1307"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82"/>
              <w:spacing w:before="65" w:line="231" w:lineRule="auto"/>
              <w:rPr/>
            </w:pPr>
            <w:r>
              <w:rPr>
                <w:rFonts w:ascii="Times New Roman" w:hAnsi="Times New Roman" w:eastAsia="Times New Roman" w:cs="Times New Roman"/>
                <w:spacing w:val="5"/>
              </w:rPr>
              <w:t>2013</w:t>
            </w:r>
            <w:r>
              <w:rPr>
                <w:spacing w:val="5"/>
              </w:rPr>
              <w:t>年</w:t>
            </w:r>
            <w:r>
              <w:rPr>
                <w:rFonts w:ascii="Times New Roman" w:hAnsi="Times New Roman" w:eastAsia="Times New Roman" w:cs="Times New Roman"/>
                <w:spacing w:val="5"/>
              </w:rPr>
              <w:t>3</w:t>
            </w:r>
            <w:r>
              <w:rPr>
                <w:spacing w:val="5"/>
              </w:rPr>
              <w:t>月</w:t>
            </w:r>
          </w:p>
        </w:tc>
        <w:tc>
          <w:tcPr>
            <w:tcW w:w="6712" w:type="dxa"/>
            <w:vAlign w:val="top"/>
          </w:tcPr>
          <w:p>
            <w:pPr>
              <w:spacing w:before="111" w:line="3833" w:lineRule="exact"/>
              <w:rPr/>
            </w:pPr>
            <w:r>
              <w:rPr>
                <w:position w:val="-76"/>
              </w:rPr>
              <w:drawing>
                <wp:inline distT="0" distB="0" distL="0" distR="0">
                  <wp:extent cx="4249673" cy="2433828"/>
                  <wp:effectExtent l="0" t="0" r="0" b="0"/>
                  <wp:docPr id="16" name="IM 16"/>
                  <wp:cNvGraphicFramePr/>
                  <a:graphic>
                    <a:graphicData uri="http://schemas.openxmlformats.org/drawingml/2006/picture">
                      <pic:pic>
                        <pic:nvPicPr>
                          <pic:cNvPr id="16" name="IM 16"/>
                          <pic:cNvPicPr/>
                        </pic:nvPicPr>
                        <pic:blipFill>
                          <a:blip r:embed="rId22"/>
                          <a:stretch>
                            <a:fillRect/>
                          </a:stretch>
                        </pic:blipFill>
                        <pic:spPr>
                          <a:xfrm rot="0">
                            <a:off x="0" y="0"/>
                            <a:ext cx="4249673" cy="2433828"/>
                          </a:xfrm>
                          <a:prstGeom prst="rect">
                            <a:avLst/>
                          </a:prstGeom>
                        </pic:spPr>
                      </pic:pic>
                    </a:graphicData>
                  </a:graphic>
                </wp:inline>
              </w:drawing>
            </w:r>
          </w:p>
        </w:tc>
        <w:tc>
          <w:tcPr>
            <w:tcW w:w="1836" w:type="dxa"/>
            <w:vAlign w:val="top"/>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91"/>
              <w:spacing w:before="65" w:line="231" w:lineRule="auto"/>
              <w:rPr/>
            </w:pPr>
            <w:r>
              <w:rPr>
                <w:spacing w:val="7"/>
              </w:rPr>
              <w:t>浙江环益资源利用</w:t>
            </w:r>
          </w:p>
          <w:p>
            <w:pPr>
              <w:pStyle w:val="TableText"/>
              <w:ind w:left="90"/>
              <w:spacing w:before="61" w:line="231" w:lineRule="auto"/>
              <w:rPr/>
            </w:pPr>
            <w:r>
              <w:rPr>
                <w:spacing w:val="8"/>
              </w:rPr>
              <w:t>股份有限公司生产</w:t>
            </w:r>
          </w:p>
          <w:p>
            <w:pPr>
              <w:pStyle w:val="TableText"/>
              <w:spacing w:before="61" w:line="231" w:lineRule="auto"/>
              <w:jc w:val="right"/>
              <w:rPr/>
            </w:pPr>
            <w:r>
              <w:rPr>
                <w:spacing w:val="1"/>
              </w:rPr>
              <w:t>用地（南侧土地尚未</w:t>
            </w:r>
          </w:p>
          <w:p>
            <w:pPr>
              <w:pStyle w:val="TableText"/>
              <w:ind w:left="510"/>
              <w:spacing w:before="62" w:line="231" w:lineRule="auto"/>
              <w:rPr/>
            </w:pPr>
            <w:r>
              <w:rPr>
                <w:spacing w:val="5"/>
              </w:rPr>
              <w:t>开发利用</w:t>
            </w:r>
          </w:p>
        </w:tc>
      </w:tr>
    </w:tbl>
    <w:p>
      <w:pPr>
        <w:rPr>
          <w:rFonts w:ascii="Arial"/>
          <w:sz w:val="21"/>
        </w:rPr>
      </w:pPr>
      <w:r/>
    </w:p>
    <w:p>
      <w:pPr>
        <w:sectPr>
          <w:headerReference w:type="default" r:id="rId18"/>
          <w:footerReference w:type="default" r:id="rId19"/>
          <w:pgSz w:w="11906" w:h="16839"/>
          <w:pgMar w:top="1139" w:right="965" w:bottom="1252" w:left="1079" w:header="831" w:footer="1090" w:gutter="0"/>
        </w:sectPr>
        <w:rPr>
          <w:rFonts w:ascii="Arial" w:hAnsi="Arial" w:eastAsia="Arial" w:cs="Arial"/>
          <w:sz w:val="21"/>
          <w:szCs w:val="21"/>
        </w:rPr>
      </w:pPr>
    </w:p>
    <w:p>
      <w:pPr>
        <w:spacing w:before="58"/>
        <w:rPr/>
      </w:pPr>
      <w:r/>
    </w:p>
    <w:tbl>
      <w:tblPr>
        <w:tblStyle w:val="TableNormal"/>
        <w:tblW w:w="98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07"/>
        <w:gridCol w:w="6712"/>
        <w:gridCol w:w="1836"/>
      </w:tblGrid>
      <w:tr>
        <w:trPr>
          <w:trHeight w:val="456" w:hRule="atLeast"/>
        </w:trPr>
        <w:tc>
          <w:tcPr>
            <w:tcW w:w="1307" w:type="dxa"/>
            <w:vAlign w:val="top"/>
          </w:tcPr>
          <w:p>
            <w:pPr>
              <w:pStyle w:val="TableText"/>
              <w:ind w:left="468"/>
              <w:spacing w:before="120" w:line="232" w:lineRule="auto"/>
              <w:rPr/>
            </w:pPr>
            <w:r>
              <w:rPr>
                <w:b/>
                <w:bCs/>
                <w:spacing w:val="-7"/>
              </w:rPr>
              <w:t>时间</w:t>
            </w:r>
          </w:p>
        </w:tc>
        <w:tc>
          <w:tcPr>
            <w:tcW w:w="6712" w:type="dxa"/>
            <w:vAlign w:val="top"/>
          </w:tcPr>
          <w:p>
            <w:pPr>
              <w:pStyle w:val="TableText"/>
              <w:ind w:left="2841"/>
              <w:spacing w:before="121" w:line="230" w:lineRule="auto"/>
              <w:rPr/>
            </w:pPr>
            <w:r>
              <w:rPr>
                <w:b/>
                <w:bCs/>
                <w:spacing w:val="5"/>
              </w:rPr>
              <w:t>历史影像图</w:t>
            </w:r>
          </w:p>
        </w:tc>
        <w:tc>
          <w:tcPr>
            <w:tcW w:w="1836" w:type="dxa"/>
            <w:vAlign w:val="top"/>
          </w:tcPr>
          <w:p>
            <w:pPr>
              <w:pStyle w:val="TableText"/>
              <w:ind w:left="720"/>
              <w:spacing w:before="121" w:line="233" w:lineRule="auto"/>
              <w:rPr/>
            </w:pPr>
            <w:r>
              <w:rPr>
                <w:b/>
                <w:bCs/>
              </w:rPr>
              <w:t>备注</w:t>
            </w:r>
          </w:p>
        </w:tc>
      </w:tr>
      <w:tr>
        <w:trPr>
          <w:trHeight w:val="4054" w:hRule="atLeast"/>
        </w:trPr>
        <w:tc>
          <w:tcPr>
            <w:tcW w:w="1307"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29"/>
              <w:spacing w:before="65" w:line="231" w:lineRule="auto"/>
              <w:rPr/>
            </w:pPr>
            <w:r>
              <w:rPr>
                <w:rFonts w:ascii="Times New Roman" w:hAnsi="Times New Roman" w:eastAsia="Times New Roman" w:cs="Times New Roman"/>
                <w:spacing w:val="5"/>
              </w:rPr>
              <w:t>2015</w:t>
            </w:r>
            <w:r>
              <w:rPr>
                <w:spacing w:val="5"/>
              </w:rPr>
              <w:t>年</w:t>
            </w:r>
            <w:r>
              <w:rPr>
                <w:rFonts w:ascii="Times New Roman" w:hAnsi="Times New Roman" w:eastAsia="Times New Roman" w:cs="Times New Roman"/>
                <w:spacing w:val="5"/>
              </w:rPr>
              <w:t>10</w:t>
            </w:r>
            <w:r>
              <w:rPr>
                <w:spacing w:val="5"/>
              </w:rPr>
              <w:t>月</w:t>
            </w:r>
          </w:p>
        </w:tc>
        <w:tc>
          <w:tcPr>
            <w:tcW w:w="6712" w:type="dxa"/>
            <w:vAlign w:val="top"/>
          </w:tcPr>
          <w:p>
            <w:pPr>
              <w:spacing w:before="105" w:line="3833" w:lineRule="exact"/>
              <w:rPr/>
            </w:pPr>
            <w:r>
              <w:rPr>
                <w:position w:val="-76"/>
              </w:rPr>
              <w:drawing>
                <wp:inline distT="0" distB="0" distL="0" distR="0">
                  <wp:extent cx="4249673" cy="2433828"/>
                  <wp:effectExtent l="0" t="0" r="0" b="0"/>
                  <wp:docPr id="18" name="IM 18"/>
                  <wp:cNvGraphicFramePr/>
                  <a:graphic>
                    <a:graphicData uri="http://schemas.openxmlformats.org/drawingml/2006/picture">
                      <pic:pic>
                        <pic:nvPicPr>
                          <pic:cNvPr id="18" name="IM 18"/>
                          <pic:cNvPicPr/>
                        </pic:nvPicPr>
                        <pic:blipFill>
                          <a:blip r:embed="rId24"/>
                          <a:stretch>
                            <a:fillRect/>
                          </a:stretch>
                        </pic:blipFill>
                        <pic:spPr>
                          <a:xfrm rot="0">
                            <a:off x="0" y="0"/>
                            <a:ext cx="4249673" cy="2433828"/>
                          </a:xfrm>
                          <a:prstGeom prst="rect">
                            <a:avLst/>
                          </a:prstGeom>
                        </pic:spPr>
                      </pic:pic>
                    </a:graphicData>
                  </a:graphic>
                </wp:inline>
              </w:drawing>
            </w:r>
          </w:p>
        </w:tc>
        <w:tc>
          <w:tcPr>
            <w:tcW w:w="1836" w:type="dxa"/>
            <w:vAlign w:val="top"/>
          </w:tcPr>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pStyle w:val="TableText"/>
              <w:ind w:left="91"/>
              <w:spacing w:before="65" w:line="231" w:lineRule="auto"/>
              <w:rPr/>
            </w:pPr>
            <w:r>
              <w:rPr>
                <w:spacing w:val="7"/>
              </w:rPr>
              <w:t>浙江环益资源利用</w:t>
            </w:r>
          </w:p>
          <w:p>
            <w:pPr>
              <w:pStyle w:val="TableText"/>
              <w:ind w:left="90"/>
              <w:spacing w:before="61" w:line="231" w:lineRule="auto"/>
              <w:rPr/>
            </w:pPr>
            <w:r>
              <w:rPr>
                <w:spacing w:val="8"/>
              </w:rPr>
              <w:t>股份有限公司生产</w:t>
            </w:r>
          </w:p>
          <w:p>
            <w:pPr>
              <w:pStyle w:val="TableText"/>
              <w:spacing w:before="61" w:line="231" w:lineRule="auto"/>
              <w:jc w:val="right"/>
              <w:rPr/>
            </w:pPr>
            <w:r>
              <w:rPr>
                <w:spacing w:val="1"/>
              </w:rPr>
              <w:t>用地（南侧土地开始</w:t>
            </w:r>
          </w:p>
          <w:p>
            <w:pPr>
              <w:pStyle w:val="TableText"/>
              <w:ind w:left="299"/>
              <w:spacing w:before="61" w:line="231" w:lineRule="auto"/>
              <w:rPr/>
            </w:pPr>
            <w:r>
              <w:rPr>
                <w:spacing w:val="7"/>
              </w:rPr>
              <w:t>部分开发利用</w:t>
            </w:r>
          </w:p>
        </w:tc>
      </w:tr>
      <w:tr>
        <w:trPr>
          <w:trHeight w:val="4054" w:hRule="atLeast"/>
        </w:trPr>
        <w:tc>
          <w:tcPr>
            <w:tcW w:w="1307" w:type="dxa"/>
            <w:vAlign w:val="top"/>
          </w:tcPr>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82"/>
              <w:spacing w:before="65" w:line="231" w:lineRule="auto"/>
              <w:rPr/>
            </w:pPr>
            <w:r>
              <w:rPr>
                <w:rFonts w:ascii="Times New Roman" w:hAnsi="Times New Roman" w:eastAsia="Times New Roman" w:cs="Times New Roman"/>
                <w:spacing w:val="5"/>
              </w:rPr>
              <w:t>2019</w:t>
            </w:r>
            <w:r>
              <w:rPr>
                <w:spacing w:val="5"/>
              </w:rPr>
              <w:t>年</w:t>
            </w:r>
            <w:r>
              <w:rPr>
                <w:rFonts w:ascii="Times New Roman" w:hAnsi="Times New Roman" w:eastAsia="Times New Roman" w:cs="Times New Roman"/>
                <w:spacing w:val="5"/>
              </w:rPr>
              <w:t>9</w:t>
            </w:r>
            <w:r>
              <w:rPr>
                <w:spacing w:val="5"/>
              </w:rPr>
              <w:t>月</w:t>
            </w:r>
          </w:p>
        </w:tc>
        <w:tc>
          <w:tcPr>
            <w:tcW w:w="6712" w:type="dxa"/>
            <w:vAlign w:val="top"/>
          </w:tcPr>
          <w:p>
            <w:pPr>
              <w:spacing w:before="107" w:line="3832" w:lineRule="exact"/>
              <w:rPr/>
            </w:pPr>
            <w:r>
              <w:rPr>
                <w:position w:val="-76"/>
              </w:rPr>
              <w:drawing>
                <wp:inline distT="0" distB="0" distL="0" distR="0">
                  <wp:extent cx="4249673" cy="2433827"/>
                  <wp:effectExtent l="0" t="0" r="0" b="0"/>
                  <wp:docPr id="20" name="IM 20"/>
                  <wp:cNvGraphicFramePr/>
                  <a:graphic>
                    <a:graphicData uri="http://schemas.openxmlformats.org/drawingml/2006/picture">
                      <pic:pic>
                        <pic:nvPicPr>
                          <pic:cNvPr id="20" name="IM 20"/>
                          <pic:cNvPicPr/>
                        </pic:nvPicPr>
                        <pic:blipFill>
                          <a:blip r:embed="rId25"/>
                          <a:stretch>
                            <a:fillRect/>
                          </a:stretch>
                        </pic:blipFill>
                        <pic:spPr>
                          <a:xfrm rot="0">
                            <a:off x="0" y="0"/>
                            <a:ext cx="4249673" cy="2433827"/>
                          </a:xfrm>
                          <a:prstGeom prst="rect">
                            <a:avLst/>
                          </a:prstGeom>
                        </pic:spPr>
                      </pic:pic>
                    </a:graphicData>
                  </a:graphic>
                </wp:inline>
              </w:drawing>
            </w:r>
          </w:p>
        </w:tc>
        <w:tc>
          <w:tcPr>
            <w:tcW w:w="1836"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91"/>
              <w:spacing w:before="65" w:line="231" w:lineRule="auto"/>
              <w:rPr/>
            </w:pPr>
            <w:r>
              <w:rPr>
                <w:spacing w:val="7"/>
              </w:rPr>
              <w:t>浙江环益资源利用</w:t>
            </w:r>
          </w:p>
          <w:p>
            <w:pPr>
              <w:pStyle w:val="TableText"/>
              <w:ind w:left="90"/>
              <w:spacing w:before="61" w:line="231" w:lineRule="auto"/>
              <w:rPr/>
            </w:pPr>
            <w:r>
              <w:rPr>
                <w:spacing w:val="8"/>
              </w:rPr>
              <w:t>股份有限公司生产</w:t>
            </w:r>
          </w:p>
          <w:p>
            <w:pPr>
              <w:pStyle w:val="TableText"/>
              <w:ind w:left="718"/>
              <w:spacing w:before="62" w:line="232" w:lineRule="auto"/>
              <w:rPr/>
            </w:pPr>
            <w:r>
              <w:rPr>
                <w:spacing w:val="2"/>
              </w:rPr>
              <w:t>用地</w:t>
            </w:r>
          </w:p>
        </w:tc>
      </w:tr>
      <w:tr>
        <w:trPr>
          <w:trHeight w:val="4057" w:hRule="atLeast"/>
        </w:trPr>
        <w:tc>
          <w:tcPr>
            <w:tcW w:w="1307"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82"/>
              <w:spacing w:before="65" w:line="231" w:lineRule="auto"/>
              <w:rPr/>
            </w:pPr>
            <w:r>
              <w:rPr>
                <w:rFonts w:ascii="Times New Roman" w:hAnsi="Times New Roman" w:eastAsia="Times New Roman" w:cs="Times New Roman"/>
                <w:spacing w:val="5"/>
              </w:rPr>
              <w:t>2022</w:t>
            </w:r>
            <w:r>
              <w:rPr>
                <w:spacing w:val="5"/>
              </w:rPr>
              <w:t>年</w:t>
            </w:r>
            <w:r>
              <w:rPr>
                <w:rFonts w:ascii="Times New Roman" w:hAnsi="Times New Roman" w:eastAsia="Times New Roman" w:cs="Times New Roman"/>
                <w:spacing w:val="5"/>
              </w:rPr>
              <w:t>3</w:t>
            </w:r>
            <w:r>
              <w:rPr>
                <w:spacing w:val="5"/>
              </w:rPr>
              <w:t>月</w:t>
            </w:r>
          </w:p>
        </w:tc>
        <w:tc>
          <w:tcPr>
            <w:tcW w:w="6712" w:type="dxa"/>
            <w:vAlign w:val="top"/>
          </w:tcPr>
          <w:p>
            <w:pPr>
              <w:spacing w:before="111" w:line="3833" w:lineRule="exact"/>
              <w:rPr/>
            </w:pPr>
            <w:r>
              <w:rPr>
                <w:position w:val="-76"/>
              </w:rPr>
              <w:drawing>
                <wp:inline distT="0" distB="0" distL="0" distR="0">
                  <wp:extent cx="4249673" cy="2433828"/>
                  <wp:effectExtent l="0" t="0" r="0" b="0"/>
                  <wp:docPr id="22" name="IM 22"/>
                  <wp:cNvGraphicFramePr/>
                  <a:graphic>
                    <a:graphicData uri="http://schemas.openxmlformats.org/drawingml/2006/picture">
                      <pic:pic>
                        <pic:nvPicPr>
                          <pic:cNvPr id="22" name="IM 22"/>
                          <pic:cNvPicPr/>
                        </pic:nvPicPr>
                        <pic:blipFill>
                          <a:blip r:embed="rId26"/>
                          <a:stretch>
                            <a:fillRect/>
                          </a:stretch>
                        </pic:blipFill>
                        <pic:spPr>
                          <a:xfrm rot="0">
                            <a:off x="0" y="0"/>
                            <a:ext cx="4249673" cy="2433828"/>
                          </a:xfrm>
                          <a:prstGeom prst="rect">
                            <a:avLst/>
                          </a:prstGeom>
                        </pic:spPr>
                      </pic:pic>
                    </a:graphicData>
                  </a:graphic>
                </wp:inline>
              </w:drawing>
            </w:r>
          </w:p>
        </w:tc>
        <w:tc>
          <w:tcPr>
            <w:tcW w:w="1836"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pStyle w:val="TableText"/>
              <w:ind w:left="91"/>
              <w:spacing w:before="65" w:line="231" w:lineRule="auto"/>
              <w:rPr/>
            </w:pPr>
            <w:r>
              <w:rPr>
                <w:spacing w:val="7"/>
              </w:rPr>
              <w:t>浙江环益资源利用</w:t>
            </w:r>
          </w:p>
          <w:p>
            <w:pPr>
              <w:pStyle w:val="TableText"/>
              <w:ind w:left="90"/>
              <w:spacing w:before="61" w:line="231" w:lineRule="auto"/>
              <w:rPr/>
            </w:pPr>
            <w:r>
              <w:rPr>
                <w:spacing w:val="8"/>
              </w:rPr>
              <w:t>股份有限公司用地</w:t>
            </w:r>
          </w:p>
          <w:p>
            <w:pPr>
              <w:pStyle w:val="TableText"/>
              <w:ind w:left="718"/>
              <w:spacing w:before="61" w:line="233" w:lineRule="auto"/>
              <w:rPr/>
            </w:pPr>
            <w:r>
              <w:rPr>
                <w:spacing w:val="2"/>
              </w:rPr>
              <w:t>现状</w:t>
            </w:r>
          </w:p>
        </w:tc>
      </w:tr>
    </w:tbl>
    <w:p>
      <w:pPr>
        <w:pStyle w:val="BodyText"/>
        <w:ind w:left="6"/>
        <w:spacing w:before="115" w:line="221" w:lineRule="auto"/>
        <w:outlineLvl w:val="2"/>
        <w:rPr>
          <w:rFonts w:ascii="FangSong" w:hAnsi="FangSong" w:eastAsia="FangSong" w:cs="FangSong"/>
          <w:sz w:val="24"/>
          <w:szCs w:val="24"/>
        </w:rPr>
      </w:pPr>
      <w:r>
        <w:rPr>
          <w:sz w:val="24"/>
          <w:szCs w:val="24"/>
          <w:b/>
          <w:bCs/>
          <w:spacing w:val="-2"/>
        </w:rPr>
        <w:t>2.2.2  </w:t>
      </w:r>
      <w:r>
        <w:rPr>
          <w:rFonts w:ascii="FangSong" w:hAnsi="FangSong" w:eastAsia="FangSong" w:cs="FangSong"/>
          <w:sz w:val="24"/>
          <w:szCs w:val="24"/>
          <w:b/>
          <w:bCs/>
          <w:spacing w:val="-2"/>
        </w:rPr>
        <w:t>行业分类及经营范围</w:t>
      </w:r>
    </w:p>
    <w:p>
      <w:pPr>
        <w:pStyle w:val="BodyText"/>
        <w:spacing w:before="180" w:line="221" w:lineRule="auto"/>
        <w:jc w:val="right"/>
        <w:rPr>
          <w:rFonts w:ascii="FangSong" w:hAnsi="FangSong" w:eastAsia="FangSong" w:cs="FangSong"/>
          <w:sz w:val="24"/>
          <w:szCs w:val="24"/>
        </w:rPr>
      </w:pPr>
      <w:r>
        <w:rPr>
          <w:rFonts w:ascii="FangSong" w:hAnsi="FangSong" w:eastAsia="FangSong" w:cs="FangSong"/>
          <w:sz w:val="24"/>
          <w:szCs w:val="24"/>
          <w:spacing w:val="-5"/>
        </w:rPr>
        <w:t>根据现场踏勘收集的《浙江环益资源利用有限公司一期工程（年处理</w:t>
      </w:r>
      <w:r>
        <w:rPr>
          <w:sz w:val="24"/>
          <w:szCs w:val="24"/>
          <w:spacing w:val="-5"/>
        </w:rPr>
        <w:t>19.6</w:t>
      </w:r>
      <w:r>
        <w:rPr>
          <w:rFonts w:ascii="FangSong" w:hAnsi="FangSong" w:eastAsia="FangSong" w:cs="FangSong"/>
          <w:sz w:val="24"/>
          <w:szCs w:val="24"/>
          <w:spacing w:val="-5"/>
        </w:rPr>
        <w:t>万吨含金属废物）</w:t>
      </w:r>
    </w:p>
    <w:p>
      <w:pPr>
        <w:spacing w:line="221" w:lineRule="auto"/>
        <w:sectPr>
          <w:footerReference w:type="default" r:id="rId23"/>
          <w:pgSz w:w="11906" w:h="16839"/>
          <w:pgMar w:top="1139" w:right="965" w:bottom="1249" w:left="1079" w:header="831" w:footer="1090" w:gutter="0"/>
        </w:sectPr>
        <w:rPr>
          <w:rFonts w:ascii="FangSong" w:hAnsi="FangSong" w:eastAsia="FangSong" w:cs="FangSong"/>
          <w:sz w:val="24"/>
          <w:szCs w:val="24"/>
        </w:rPr>
      </w:pPr>
    </w:p>
    <w:p>
      <w:pPr>
        <w:spacing w:line="334" w:lineRule="auto"/>
        <w:rPr>
          <w:rFonts w:ascii="Arial"/>
          <w:sz w:val="21"/>
        </w:rPr>
      </w:pPr>
      <w:r/>
    </w:p>
    <w:p>
      <w:pPr>
        <w:pStyle w:val="BodyText"/>
        <w:ind w:left="15" w:right="136"/>
        <w:spacing w:before="78" w:line="360" w:lineRule="auto"/>
        <w:rPr>
          <w:rFonts w:ascii="FangSong" w:hAnsi="FangSong" w:eastAsia="FangSong" w:cs="FangSong"/>
          <w:sz w:val="24"/>
          <w:szCs w:val="24"/>
        </w:rPr>
      </w:pPr>
      <w:r>
        <w:rPr>
          <w:rFonts w:ascii="FangSong" w:hAnsi="FangSong" w:eastAsia="FangSong" w:cs="FangSong"/>
          <w:sz w:val="24"/>
          <w:szCs w:val="24"/>
          <w:spacing w:val="-6"/>
        </w:rPr>
        <w:t>技改项目环境影响报告书》，按《建设项目环境影响评价</w:t>
      </w:r>
      <w:r>
        <w:rPr>
          <w:rFonts w:ascii="FangSong" w:hAnsi="FangSong" w:eastAsia="FangSong" w:cs="FangSong"/>
          <w:sz w:val="24"/>
          <w:szCs w:val="24"/>
          <w:spacing w:val="-7"/>
        </w:rPr>
        <w:t>分类管理名录》，项目属于“三十四、</w:t>
      </w:r>
      <w:r>
        <w:rPr>
          <w:rFonts w:ascii="FangSong" w:hAnsi="FangSong" w:eastAsia="FangSong" w:cs="FangSong"/>
          <w:sz w:val="24"/>
          <w:szCs w:val="24"/>
        </w:rPr>
        <w:t xml:space="preserve"> </w:t>
      </w:r>
      <w:r>
        <w:rPr>
          <w:rFonts w:ascii="FangSong" w:hAnsi="FangSong" w:eastAsia="FangSong" w:cs="FangSong"/>
          <w:sz w:val="24"/>
          <w:szCs w:val="24"/>
          <w:spacing w:val="-4"/>
        </w:rPr>
        <w:t>环境治理业，</w:t>
      </w:r>
      <w:r>
        <w:rPr>
          <w:sz w:val="24"/>
          <w:szCs w:val="24"/>
          <w:spacing w:val="-4"/>
        </w:rPr>
        <w:t>100</w:t>
      </w:r>
      <w:r>
        <w:rPr>
          <w:rFonts w:ascii="FangSong" w:hAnsi="FangSong" w:eastAsia="FangSong" w:cs="FangSong"/>
          <w:sz w:val="24"/>
          <w:szCs w:val="24"/>
          <w:spacing w:val="-4"/>
        </w:rPr>
        <w:t>危险废物（含医疗废物）利用及处置</w:t>
      </w:r>
      <w:r>
        <w:rPr>
          <w:rFonts w:ascii="FangSong" w:hAnsi="FangSong" w:eastAsia="FangSong" w:cs="FangSong"/>
          <w:sz w:val="24"/>
          <w:szCs w:val="24"/>
          <w:spacing w:val="-88"/>
        </w:rPr>
        <w:t xml:space="preserve"> </w:t>
      </w:r>
      <w:r>
        <w:rPr>
          <w:rFonts w:ascii="FangSong" w:hAnsi="FangSong" w:eastAsia="FangSong" w:cs="FangSong"/>
          <w:sz w:val="24"/>
          <w:szCs w:val="24"/>
          <w:spacing w:val="-4"/>
        </w:rPr>
        <w:t>”，项目属于危险废物</w:t>
      </w:r>
      <w:r>
        <w:rPr>
          <w:rFonts w:ascii="FangSong" w:hAnsi="FangSong" w:eastAsia="FangSong" w:cs="FangSong"/>
          <w:sz w:val="24"/>
          <w:szCs w:val="24"/>
          <w:spacing w:val="-5"/>
        </w:rPr>
        <w:t>资源化利用项目。</w:t>
      </w:r>
    </w:p>
    <w:p>
      <w:pPr>
        <w:pStyle w:val="BodyText"/>
        <w:ind w:left="6"/>
        <w:spacing w:before="57" w:line="223" w:lineRule="auto"/>
        <w:outlineLvl w:val="1"/>
        <w:rPr>
          <w:rFonts w:ascii="FangSong" w:hAnsi="FangSong" w:eastAsia="FangSong" w:cs="FangSong"/>
          <w:sz w:val="28"/>
          <w:szCs w:val="28"/>
        </w:rPr>
      </w:pPr>
      <w:bookmarkStart w:name="bookmark8" w:id="11"/>
      <w:bookmarkEnd w:id="11"/>
      <w:r>
        <w:rPr>
          <w:sz w:val="28"/>
          <w:szCs w:val="28"/>
          <w:b/>
          <w:bCs/>
          <w:spacing w:val="-2"/>
        </w:rPr>
        <w:t>2.3  </w:t>
      </w:r>
      <w:r>
        <w:rPr>
          <w:rFonts w:ascii="FangSong" w:hAnsi="FangSong" w:eastAsia="FangSong" w:cs="FangSong"/>
          <w:sz w:val="28"/>
          <w:szCs w:val="28"/>
          <w:b/>
          <w:bCs/>
          <w:spacing w:val="-2"/>
        </w:rPr>
        <w:t>企业用地已有的环境调查与监测情况</w:t>
      </w:r>
    </w:p>
    <w:p>
      <w:pPr>
        <w:pStyle w:val="BodyText"/>
        <w:ind w:left="496"/>
        <w:spacing w:before="227" w:line="221" w:lineRule="auto"/>
        <w:rPr>
          <w:rFonts w:ascii="FangSong" w:hAnsi="FangSong" w:eastAsia="FangSong" w:cs="FangSong"/>
          <w:sz w:val="24"/>
          <w:szCs w:val="24"/>
        </w:rPr>
      </w:pPr>
      <w:r>
        <w:rPr>
          <w:rFonts w:ascii="FangSong" w:hAnsi="FangSong" w:eastAsia="FangSong" w:cs="FangSong"/>
          <w:sz w:val="24"/>
          <w:szCs w:val="24"/>
          <w:spacing w:val="-1"/>
        </w:rPr>
        <w:t>根据自行监测方案，企业于</w:t>
      </w:r>
      <w:r>
        <w:rPr>
          <w:sz w:val="24"/>
          <w:szCs w:val="24"/>
          <w:spacing w:val="-1"/>
        </w:rPr>
        <w:t>2024</w:t>
      </w:r>
      <w:r>
        <w:rPr>
          <w:rFonts w:ascii="FangSong" w:hAnsi="FangSong" w:eastAsia="FangSong" w:cs="FangSong"/>
          <w:sz w:val="24"/>
          <w:szCs w:val="24"/>
          <w:spacing w:val="-1"/>
        </w:rPr>
        <w:t>年委托第三方开展土壤和地下水自行监测。</w:t>
      </w:r>
    </w:p>
    <w:p>
      <w:pPr>
        <w:pStyle w:val="BodyText"/>
        <w:ind w:left="15" w:right="218" w:firstLine="481"/>
        <w:spacing w:before="180" w:line="353" w:lineRule="auto"/>
        <w:rPr>
          <w:rFonts w:ascii="FangSong" w:hAnsi="FangSong" w:eastAsia="FangSong" w:cs="FangSong"/>
          <w:sz w:val="24"/>
          <w:szCs w:val="24"/>
        </w:rPr>
      </w:pPr>
      <w:r>
        <w:rPr>
          <w:rFonts w:ascii="FangSong" w:hAnsi="FangSong" w:eastAsia="FangSong" w:cs="FangSong"/>
          <w:sz w:val="24"/>
          <w:szCs w:val="24"/>
          <w:spacing w:val="2"/>
        </w:rPr>
        <w:t>地块内土壤共布设</w:t>
      </w:r>
      <w:r>
        <w:rPr>
          <w:sz w:val="24"/>
          <w:szCs w:val="24"/>
          <w:spacing w:val="2"/>
        </w:rPr>
        <w:t>14</w:t>
      </w:r>
      <w:r>
        <w:rPr>
          <w:rFonts w:ascii="FangSong" w:hAnsi="FangSong" w:eastAsia="FangSong" w:cs="FangSong"/>
          <w:sz w:val="24"/>
          <w:szCs w:val="24"/>
          <w:spacing w:val="2"/>
        </w:rPr>
        <w:t>个土壤点位，采集</w:t>
      </w:r>
      <w:r>
        <w:rPr>
          <w:sz w:val="24"/>
          <w:szCs w:val="24"/>
          <w:spacing w:val="2"/>
        </w:rPr>
        <w:t>14</w:t>
      </w:r>
      <w:r>
        <w:rPr>
          <w:rFonts w:ascii="FangSong" w:hAnsi="FangSong" w:eastAsia="FangSong" w:cs="FangSong"/>
          <w:sz w:val="24"/>
          <w:szCs w:val="24"/>
          <w:spacing w:val="2"/>
        </w:rPr>
        <w:t>个土壤表层样品。土壤自行监测结果</w:t>
      </w:r>
      <w:r>
        <w:rPr>
          <w:rFonts w:ascii="FangSong" w:hAnsi="FangSong" w:eastAsia="FangSong" w:cs="FangSong"/>
          <w:sz w:val="24"/>
          <w:szCs w:val="24"/>
          <w:spacing w:val="1"/>
        </w:rPr>
        <w:t>表明，</w:t>
      </w:r>
      <w:r>
        <w:rPr>
          <w:sz w:val="24"/>
          <w:szCs w:val="24"/>
        </w:rPr>
        <w:t>pH </w:t>
      </w:r>
      <w:r>
        <w:rPr>
          <w:rFonts w:ascii="FangSong" w:hAnsi="FangSong" w:eastAsia="FangSong" w:cs="FangSong"/>
          <w:sz w:val="24"/>
          <w:szCs w:val="24"/>
        </w:rPr>
        <w:t>值检测范围在</w:t>
      </w:r>
      <w:r>
        <w:rPr>
          <w:sz w:val="24"/>
          <w:szCs w:val="24"/>
        </w:rPr>
        <w:t>4.85</w:t>
      </w:r>
      <w:r>
        <w:rPr>
          <w:rFonts w:ascii="FangSong" w:hAnsi="FangSong" w:eastAsia="FangSong" w:cs="FangSong"/>
          <w:sz w:val="24"/>
          <w:szCs w:val="24"/>
        </w:rPr>
        <w:t>～</w:t>
      </w:r>
      <w:r>
        <w:rPr>
          <w:sz w:val="24"/>
          <w:szCs w:val="24"/>
        </w:rPr>
        <w:t>8.71</w:t>
      </w:r>
      <w:r>
        <w:rPr>
          <w:rFonts w:ascii="FangSong" w:hAnsi="FangSong" w:eastAsia="FangSong" w:cs="FangSong"/>
          <w:sz w:val="24"/>
          <w:szCs w:val="24"/>
        </w:rPr>
        <w:t>之间，土壤样品中的检测因子除砷、镉、六价铬、铜、铅、汞、镍、</w:t>
      </w:r>
    </w:p>
    <w:p>
      <w:pPr>
        <w:pStyle w:val="BodyText"/>
        <w:ind w:left="16" w:firstLine="9"/>
        <w:spacing w:before="18" w:line="360" w:lineRule="auto"/>
        <w:rPr>
          <w:rFonts w:ascii="FangSong" w:hAnsi="FangSong" w:eastAsia="FangSong" w:cs="FangSong"/>
          <w:sz w:val="24"/>
          <w:szCs w:val="24"/>
        </w:rPr>
      </w:pPr>
      <w:r>
        <w:rPr>
          <w:rFonts w:ascii="FangSong" w:hAnsi="FangSong" w:eastAsia="FangSong" w:cs="FangSong"/>
          <w:sz w:val="24"/>
          <w:szCs w:val="24"/>
          <w:spacing w:val="-3"/>
        </w:rPr>
        <w:t>总铬、锌、氟化物、石油烃（</w:t>
      </w:r>
      <w:r>
        <w:rPr>
          <w:sz w:val="24"/>
          <w:szCs w:val="24"/>
          <w:spacing w:val="-3"/>
        </w:rPr>
        <w:t>C</w:t>
      </w:r>
      <w:r>
        <w:rPr>
          <w:sz w:val="15"/>
          <w:szCs w:val="15"/>
          <w:spacing w:val="-3"/>
        </w:rPr>
        <w:t>10</w:t>
      </w:r>
      <w:r>
        <w:rPr>
          <w:sz w:val="24"/>
          <w:szCs w:val="24"/>
          <w:spacing w:val="-3"/>
        </w:rPr>
        <w:t>-C</w:t>
      </w:r>
      <w:r>
        <w:rPr>
          <w:sz w:val="15"/>
          <w:szCs w:val="15"/>
          <w:spacing w:val="-3"/>
          <w:position w:val="-1"/>
        </w:rPr>
        <w:t>40 </w:t>
      </w:r>
      <w:r>
        <w:rPr>
          <w:rFonts w:ascii="FangSong" w:hAnsi="FangSong" w:eastAsia="FangSong" w:cs="FangSong"/>
          <w:sz w:val="24"/>
          <w:szCs w:val="24"/>
          <w:spacing w:val="-3"/>
        </w:rPr>
        <w:t>）、二噁英外（部分点位检出氯仿、二氯甲烷、苯并［</w:t>
      </w:r>
      <w:r>
        <w:rPr>
          <w:sz w:val="24"/>
          <w:szCs w:val="24"/>
          <w:spacing w:val="-3"/>
        </w:rPr>
        <w:t>a</w:t>
      </w:r>
      <w:r>
        <w:rPr>
          <w:rFonts w:ascii="FangSong" w:hAnsi="FangSong" w:eastAsia="FangSong" w:cs="FangSong"/>
          <w:sz w:val="24"/>
          <w:szCs w:val="24"/>
          <w:spacing w:val="-3"/>
        </w:rPr>
        <w:t>］</w:t>
      </w:r>
      <w:r>
        <w:rPr>
          <w:rFonts w:ascii="FangSong" w:hAnsi="FangSong" w:eastAsia="FangSong" w:cs="FangSong"/>
          <w:sz w:val="24"/>
          <w:szCs w:val="24"/>
          <w:spacing w:val="7"/>
        </w:rPr>
        <w:t xml:space="preserve">  </w:t>
      </w:r>
      <w:r>
        <w:rPr>
          <w:rFonts w:ascii="FangSong" w:hAnsi="FangSong" w:eastAsia="FangSong" w:cs="FangSong"/>
          <w:sz w:val="24"/>
          <w:szCs w:val="24"/>
          <w:spacing w:val="-1"/>
        </w:rPr>
        <w:t>蒽、苯并［</w:t>
      </w:r>
      <w:r>
        <w:rPr>
          <w:sz w:val="24"/>
          <w:szCs w:val="24"/>
          <w:spacing w:val="-1"/>
        </w:rPr>
        <w:t>a</w:t>
      </w:r>
      <w:r>
        <w:rPr>
          <w:rFonts w:ascii="FangSong" w:hAnsi="FangSong" w:eastAsia="FangSong" w:cs="FangSong"/>
          <w:sz w:val="24"/>
          <w:szCs w:val="24"/>
          <w:spacing w:val="-1"/>
        </w:rPr>
        <w:t>］芘、苯并［</w:t>
      </w:r>
      <w:r>
        <w:rPr>
          <w:sz w:val="24"/>
          <w:szCs w:val="24"/>
          <w:spacing w:val="-1"/>
        </w:rPr>
        <w:t>b</w:t>
      </w:r>
      <w:r>
        <w:rPr>
          <w:rFonts w:ascii="FangSong" w:hAnsi="FangSong" w:eastAsia="FangSong" w:cs="FangSong"/>
          <w:sz w:val="24"/>
          <w:szCs w:val="24"/>
          <w:spacing w:val="-1"/>
        </w:rPr>
        <w:t>］荧蒽、苯并［</w:t>
      </w:r>
      <w:r>
        <w:rPr>
          <w:sz w:val="24"/>
          <w:szCs w:val="24"/>
          <w:spacing w:val="-1"/>
        </w:rPr>
        <w:t>k</w:t>
      </w:r>
      <w:r>
        <w:rPr>
          <w:rFonts w:ascii="FangSong" w:hAnsi="FangSong" w:eastAsia="FangSong" w:cs="FangSong"/>
          <w:sz w:val="24"/>
          <w:szCs w:val="24"/>
          <w:spacing w:val="-1"/>
        </w:rPr>
        <w:t>］荧蒽、䓛、茚并［</w:t>
      </w:r>
      <w:r>
        <w:rPr>
          <w:sz w:val="24"/>
          <w:szCs w:val="24"/>
          <w:spacing w:val="-2"/>
        </w:rPr>
        <w:t>1,2,3-cd</w:t>
      </w:r>
      <w:r>
        <w:rPr>
          <w:rFonts w:ascii="FangSong" w:hAnsi="FangSong" w:eastAsia="FangSong" w:cs="FangSong"/>
          <w:sz w:val="24"/>
          <w:szCs w:val="24"/>
          <w:spacing w:val="-2"/>
        </w:rPr>
        <w:t>］芘</w:t>
      </w:r>
      <w:r>
        <w:rPr>
          <w:rFonts w:ascii="FangSong" w:hAnsi="FangSong" w:eastAsia="FangSong" w:cs="FangSong"/>
          <w:sz w:val="24"/>
          <w:szCs w:val="24"/>
          <w:spacing w:val="7"/>
        </w:rPr>
        <w:t>），</w:t>
      </w:r>
      <w:r>
        <w:rPr>
          <w:rFonts w:ascii="FangSong" w:hAnsi="FangSong" w:eastAsia="FangSong" w:cs="FangSong"/>
          <w:sz w:val="24"/>
          <w:szCs w:val="24"/>
          <w:spacing w:val="-2"/>
        </w:rPr>
        <w:t>其他因子均</w:t>
      </w:r>
      <w:r>
        <w:rPr>
          <w:rFonts w:ascii="FangSong" w:hAnsi="FangSong" w:eastAsia="FangSong" w:cs="FangSong"/>
          <w:sz w:val="24"/>
          <w:szCs w:val="24"/>
        </w:rPr>
        <w:t xml:space="preserve">  </w:t>
      </w:r>
      <w:r>
        <w:rPr>
          <w:rFonts w:ascii="FangSong" w:hAnsi="FangSong" w:eastAsia="FangSong" w:cs="FangSong"/>
          <w:sz w:val="24"/>
          <w:szCs w:val="24"/>
          <w:spacing w:val="-9"/>
        </w:rPr>
        <w:t>未检出，污染物检出浓度低于《土壤环境质量建设用地土壤污染风险管控标准》（</w:t>
      </w:r>
      <w:r>
        <w:rPr>
          <w:sz w:val="24"/>
          <w:szCs w:val="24"/>
          <w:spacing w:val="-9"/>
        </w:rPr>
        <w:t>GB36600-2018</w:t>
      </w:r>
      <w:r>
        <w:rPr>
          <w:rFonts w:ascii="FangSong" w:hAnsi="FangSong" w:eastAsia="FangSong" w:cs="FangSong"/>
          <w:sz w:val="24"/>
          <w:szCs w:val="24"/>
          <w:spacing w:val="-9"/>
        </w:rPr>
        <w:t>）</w:t>
      </w:r>
      <w:r>
        <w:rPr>
          <w:rFonts w:ascii="FangSong" w:hAnsi="FangSong" w:eastAsia="FangSong" w:cs="FangSong"/>
          <w:sz w:val="24"/>
          <w:szCs w:val="24"/>
          <w:spacing w:val="15"/>
        </w:rPr>
        <w:t xml:space="preserve"> </w:t>
      </w:r>
      <w:r>
        <w:rPr>
          <w:rFonts w:ascii="FangSong" w:hAnsi="FangSong" w:eastAsia="FangSong" w:cs="FangSong"/>
          <w:sz w:val="24"/>
          <w:szCs w:val="24"/>
          <w:spacing w:val="-3"/>
        </w:rPr>
        <w:t>第二类用地筛选值，其中其中总铬、锌、氟化物污染物检出浓度低于浙江省地方标准《建设用</w:t>
      </w:r>
      <w:r>
        <w:rPr>
          <w:rFonts w:ascii="FangSong" w:hAnsi="FangSong" w:eastAsia="FangSong" w:cs="FangSong"/>
          <w:sz w:val="24"/>
          <w:szCs w:val="24"/>
          <w:spacing w:val="5"/>
        </w:rPr>
        <w:t xml:space="preserve">  </w:t>
      </w:r>
      <w:r>
        <w:rPr>
          <w:rFonts w:ascii="FangSong" w:hAnsi="FangSong" w:eastAsia="FangSong" w:cs="FangSong"/>
          <w:sz w:val="24"/>
          <w:szCs w:val="24"/>
        </w:rPr>
        <w:t>地土壤污染风险评估技术导则》（</w:t>
      </w:r>
      <w:r>
        <w:rPr>
          <w:sz w:val="24"/>
          <w:szCs w:val="24"/>
        </w:rPr>
        <w:t>DB 33/T 892-202</w:t>
      </w:r>
      <w:r>
        <w:rPr>
          <w:sz w:val="24"/>
          <w:szCs w:val="24"/>
          <w:spacing w:val="-1"/>
        </w:rPr>
        <w:t>2</w:t>
      </w:r>
      <w:r>
        <w:rPr>
          <w:rFonts w:ascii="FangSong" w:hAnsi="FangSong" w:eastAsia="FangSong" w:cs="FangSong"/>
          <w:sz w:val="24"/>
          <w:szCs w:val="24"/>
          <w:spacing w:val="-1"/>
        </w:rPr>
        <w:t>）非敏感用地筛选值，该地区土壤质量总</w:t>
      </w:r>
      <w:r>
        <w:rPr>
          <w:rFonts w:ascii="FangSong" w:hAnsi="FangSong" w:eastAsia="FangSong" w:cs="FangSong"/>
          <w:sz w:val="24"/>
          <w:szCs w:val="24"/>
        </w:rPr>
        <w:t xml:space="preserve">  </w:t>
      </w:r>
      <w:r>
        <w:rPr>
          <w:rFonts w:ascii="FangSong" w:hAnsi="FangSong" w:eastAsia="FangSong" w:cs="FangSong"/>
          <w:sz w:val="24"/>
          <w:szCs w:val="24"/>
          <w:spacing w:val="-2"/>
        </w:rPr>
        <w:t>体较好，尚未受到污染。</w:t>
      </w:r>
    </w:p>
    <w:p>
      <w:pPr>
        <w:pStyle w:val="BodyText"/>
        <w:ind w:left="15" w:right="142" w:firstLine="481"/>
        <w:spacing w:before="1" w:line="360" w:lineRule="auto"/>
        <w:jc w:val="both"/>
        <w:rPr>
          <w:rFonts w:ascii="FangSong" w:hAnsi="FangSong" w:eastAsia="FangSong" w:cs="FangSong"/>
          <w:sz w:val="24"/>
          <w:szCs w:val="24"/>
        </w:rPr>
      </w:pPr>
      <w:r>
        <w:rPr>
          <w:rFonts w:ascii="FangSong" w:hAnsi="FangSong" w:eastAsia="FangSong" w:cs="FangSong"/>
          <w:sz w:val="24"/>
          <w:szCs w:val="24"/>
        </w:rPr>
        <w:t>地块内地下水共布设</w:t>
      </w:r>
      <w:r>
        <w:rPr>
          <w:sz w:val="24"/>
          <w:szCs w:val="24"/>
        </w:rPr>
        <w:t>9</w:t>
      </w:r>
      <w:r>
        <w:rPr>
          <w:rFonts w:ascii="FangSong" w:hAnsi="FangSong" w:eastAsia="FangSong" w:cs="FangSong"/>
          <w:sz w:val="24"/>
          <w:szCs w:val="24"/>
        </w:rPr>
        <w:t>个地下水点位（其中对照</w:t>
      </w:r>
      <w:r>
        <w:rPr>
          <w:rFonts w:ascii="FangSong" w:hAnsi="FangSong" w:eastAsia="FangSong" w:cs="FangSong"/>
          <w:sz w:val="24"/>
          <w:szCs w:val="24"/>
          <w:spacing w:val="-1"/>
        </w:rPr>
        <w:t>点</w:t>
      </w:r>
      <w:r>
        <w:rPr>
          <w:sz w:val="24"/>
          <w:szCs w:val="24"/>
          <w:spacing w:val="-1"/>
        </w:rPr>
        <w:t>1</w:t>
      </w:r>
      <w:r>
        <w:rPr>
          <w:rFonts w:ascii="FangSong" w:hAnsi="FangSong" w:eastAsia="FangSong" w:cs="FangSong"/>
          <w:sz w:val="24"/>
          <w:szCs w:val="24"/>
          <w:spacing w:val="-1"/>
        </w:rPr>
        <w:t>个</w:t>
      </w:r>
      <w:r>
        <w:rPr>
          <w:rFonts w:ascii="FangSong" w:hAnsi="FangSong" w:eastAsia="FangSong" w:cs="FangSong"/>
          <w:sz w:val="24"/>
          <w:szCs w:val="24"/>
          <w:spacing w:val="12"/>
        </w:rPr>
        <w:t>），</w:t>
      </w:r>
      <w:r>
        <w:rPr>
          <w:rFonts w:ascii="FangSong" w:hAnsi="FangSong" w:eastAsia="FangSong" w:cs="FangSong"/>
          <w:sz w:val="24"/>
          <w:szCs w:val="24"/>
          <w:spacing w:val="-1"/>
        </w:rPr>
        <w:t>监测期间只有</w:t>
      </w:r>
      <w:r>
        <w:rPr>
          <w:sz w:val="24"/>
          <w:szCs w:val="24"/>
          <w:spacing w:val="-1"/>
        </w:rPr>
        <w:t>3</w:t>
      </w:r>
      <w:r>
        <w:rPr>
          <w:rFonts w:ascii="FangSong" w:hAnsi="FangSong" w:eastAsia="FangSong" w:cs="FangSong"/>
          <w:sz w:val="24"/>
          <w:szCs w:val="24"/>
          <w:spacing w:val="-1"/>
        </w:rPr>
        <w:t>个点位能采集地</w:t>
      </w:r>
      <w:r>
        <w:rPr>
          <w:rFonts w:ascii="FangSong" w:hAnsi="FangSong" w:eastAsia="FangSong" w:cs="FangSong"/>
          <w:sz w:val="24"/>
          <w:szCs w:val="24"/>
          <w:spacing w:val="1"/>
        </w:rPr>
        <w:t xml:space="preserve"> </w:t>
      </w:r>
      <w:r>
        <w:rPr>
          <w:rFonts w:ascii="FangSong" w:hAnsi="FangSong" w:eastAsia="FangSong" w:cs="FangSong"/>
          <w:sz w:val="24"/>
          <w:szCs w:val="24"/>
          <w:spacing w:val="-6"/>
        </w:rPr>
        <w:t>下水，其余点位无地下水。地下水自行监测结</w:t>
      </w:r>
      <w:r>
        <w:rPr>
          <w:rFonts w:ascii="FangSong" w:hAnsi="FangSong" w:eastAsia="FangSong" w:cs="FangSong"/>
          <w:sz w:val="24"/>
          <w:szCs w:val="24"/>
          <w:spacing w:val="-7"/>
        </w:rPr>
        <w:t>果表明，样品中的检测因子中色度、肉眼可见物、</w:t>
      </w:r>
      <w:r>
        <w:rPr>
          <w:rFonts w:ascii="FangSong" w:hAnsi="FangSong" w:eastAsia="FangSong" w:cs="FangSong"/>
          <w:sz w:val="24"/>
          <w:szCs w:val="24"/>
        </w:rPr>
        <w:t xml:space="preserve"> </w:t>
      </w:r>
      <w:r>
        <w:rPr>
          <w:rFonts w:ascii="FangSong" w:hAnsi="FangSong" w:eastAsia="FangSong" w:cs="FangSong"/>
          <w:sz w:val="24"/>
          <w:szCs w:val="24"/>
          <w:spacing w:val="3"/>
        </w:rPr>
        <w:t>挥发酚、阴离子表面活性剂、硫化物、氰化物</w:t>
      </w:r>
      <w:r>
        <w:rPr>
          <w:rFonts w:ascii="FangSong" w:hAnsi="FangSong" w:eastAsia="FangSong" w:cs="FangSong"/>
          <w:sz w:val="24"/>
          <w:szCs w:val="24"/>
          <w:spacing w:val="2"/>
        </w:rPr>
        <w:t>、碘化物、六价铬、总铬、铍、总磷、苯并</w:t>
      </w:r>
      <w:r>
        <w:rPr>
          <w:sz w:val="24"/>
          <w:szCs w:val="24"/>
          <w:spacing w:val="2"/>
        </w:rPr>
        <w:t>[a]</w:t>
      </w:r>
      <w:r>
        <w:rPr>
          <w:sz w:val="24"/>
          <w:szCs w:val="24"/>
        </w:rPr>
        <w:t xml:space="preserve">  </w:t>
      </w:r>
      <w:r>
        <w:rPr>
          <w:rFonts w:ascii="FangSong" w:hAnsi="FangSong" w:eastAsia="FangSong" w:cs="FangSong"/>
          <w:sz w:val="24"/>
          <w:szCs w:val="24"/>
          <w:spacing w:val="1"/>
        </w:rPr>
        <w:t>芘、四氯化碳、氯仿、苯、</w:t>
      </w:r>
      <w:r>
        <w:rPr>
          <w:rFonts w:ascii="FangSong" w:hAnsi="FangSong" w:eastAsia="FangSong" w:cs="FangSong"/>
          <w:sz w:val="24"/>
          <w:szCs w:val="24"/>
          <w:spacing w:val="-70"/>
        </w:rPr>
        <w:t xml:space="preserve"> </w:t>
      </w:r>
      <w:r>
        <w:rPr>
          <w:rFonts w:ascii="FangSong" w:hAnsi="FangSong" w:eastAsia="FangSong" w:cs="FangSong"/>
          <w:sz w:val="24"/>
          <w:szCs w:val="24"/>
          <w:spacing w:val="1"/>
        </w:rPr>
        <w:t>甲苯、烷基汞等均未检出外，</w:t>
      </w:r>
      <w:r>
        <w:rPr>
          <w:sz w:val="24"/>
          <w:szCs w:val="24"/>
        </w:rPr>
        <w:t>pH</w:t>
      </w:r>
      <w:r>
        <w:rPr>
          <w:rFonts w:ascii="FangSong" w:hAnsi="FangSong" w:eastAsia="FangSong" w:cs="FangSong"/>
          <w:sz w:val="24"/>
          <w:szCs w:val="24"/>
          <w:spacing w:val="1"/>
        </w:rPr>
        <w:t>值</w:t>
      </w:r>
      <w:r>
        <w:rPr>
          <w:rFonts w:ascii="FangSong" w:hAnsi="FangSong" w:eastAsia="FangSong" w:cs="FangSong"/>
          <w:sz w:val="24"/>
          <w:szCs w:val="24"/>
        </w:rPr>
        <w:t>、臭和味、总硬度、溶解性总</w:t>
      </w:r>
      <w:r>
        <w:rPr>
          <w:rFonts w:ascii="FangSong" w:hAnsi="FangSong" w:eastAsia="FangSong" w:cs="FangSong"/>
          <w:sz w:val="24"/>
          <w:szCs w:val="24"/>
        </w:rPr>
        <w:t xml:space="preserve"> </w:t>
      </w:r>
      <w:r>
        <w:rPr>
          <w:rFonts w:ascii="FangSong" w:hAnsi="FangSong" w:eastAsia="FangSong" w:cs="FangSong"/>
          <w:sz w:val="24"/>
          <w:szCs w:val="24"/>
          <w:spacing w:val="-3"/>
        </w:rPr>
        <w:t>固体、硫酸盐、氯化物、铁、锰、锌、铝、高锰酸盐指数、氨氮、硝酸盐氮、亚硝酸盐氮、氟</w:t>
      </w:r>
      <w:r>
        <w:rPr>
          <w:rFonts w:ascii="FangSong" w:hAnsi="FangSong" w:eastAsia="FangSong" w:cs="FangSong"/>
          <w:sz w:val="24"/>
          <w:szCs w:val="24"/>
          <w:spacing w:val="13"/>
        </w:rPr>
        <w:t xml:space="preserve"> </w:t>
      </w:r>
      <w:r>
        <w:rPr>
          <w:rFonts w:ascii="FangSong" w:hAnsi="FangSong" w:eastAsia="FangSong" w:cs="FangSong"/>
          <w:sz w:val="24"/>
          <w:szCs w:val="24"/>
          <w:spacing w:val="-3"/>
        </w:rPr>
        <w:t>化物、汞、砷、硒、镉、铅、镍、钡、钠、可萃取性石油烃（</w:t>
      </w:r>
      <w:r>
        <w:rPr>
          <w:sz w:val="24"/>
          <w:szCs w:val="24"/>
          <w:spacing w:val="-3"/>
        </w:rPr>
        <w:t>C</w:t>
      </w:r>
      <w:r>
        <w:rPr>
          <w:sz w:val="15"/>
          <w:szCs w:val="15"/>
          <w:spacing w:val="-3"/>
        </w:rPr>
        <w:t>10</w:t>
      </w:r>
      <w:r>
        <w:rPr>
          <w:sz w:val="24"/>
          <w:szCs w:val="24"/>
          <w:spacing w:val="-3"/>
        </w:rPr>
        <w:t>-C</w:t>
      </w:r>
      <w:r>
        <w:rPr>
          <w:sz w:val="15"/>
          <w:szCs w:val="15"/>
          <w:spacing w:val="-3"/>
          <w:position w:val="-1"/>
        </w:rPr>
        <w:t>40 </w:t>
      </w:r>
      <w:r>
        <w:rPr>
          <w:rFonts w:ascii="FangSong" w:hAnsi="FangSong" w:eastAsia="FangSong" w:cs="FangSong"/>
          <w:sz w:val="24"/>
          <w:szCs w:val="24"/>
          <w:spacing w:val="-3"/>
        </w:rPr>
        <w:t>）等检测指标有检出，满</w:t>
      </w:r>
      <w:r>
        <w:rPr>
          <w:rFonts w:ascii="FangSong" w:hAnsi="FangSong" w:eastAsia="FangSong" w:cs="FangSong"/>
          <w:sz w:val="24"/>
          <w:szCs w:val="24"/>
          <w:spacing w:val="10"/>
        </w:rPr>
        <w:t xml:space="preserve"> </w:t>
      </w:r>
      <w:r>
        <w:rPr>
          <w:rFonts w:ascii="FangSong" w:hAnsi="FangSong" w:eastAsia="FangSong" w:cs="FangSong"/>
          <w:sz w:val="24"/>
          <w:szCs w:val="24"/>
          <w:spacing w:val="1"/>
        </w:rPr>
        <w:t>足《地下水质量标准》（</w:t>
      </w:r>
      <w:r>
        <w:rPr>
          <w:sz w:val="24"/>
          <w:szCs w:val="24"/>
        </w:rPr>
        <w:t>GB</w:t>
      </w:r>
      <w:r>
        <w:rPr>
          <w:sz w:val="24"/>
          <w:szCs w:val="24"/>
          <w:spacing w:val="1"/>
        </w:rPr>
        <w:t>/T14848-2017</w:t>
      </w:r>
      <w:r>
        <w:rPr>
          <w:rFonts w:ascii="FangSong" w:hAnsi="FangSong" w:eastAsia="FangSong" w:cs="FangSong"/>
          <w:sz w:val="24"/>
          <w:szCs w:val="24"/>
          <w:spacing w:val="1"/>
        </w:rPr>
        <w:t>）</w:t>
      </w:r>
      <w:r>
        <w:rPr>
          <w:rFonts w:ascii="FangSong" w:hAnsi="FangSong" w:eastAsia="FangSong" w:cs="FangSong"/>
          <w:sz w:val="24"/>
          <w:szCs w:val="24"/>
          <w:spacing w:val="-62"/>
        </w:rPr>
        <w:t xml:space="preserve"> </w:t>
      </w:r>
      <w:r>
        <w:rPr>
          <w:rFonts w:ascii="FangSong" w:hAnsi="FangSong" w:eastAsia="FangSong" w:cs="FangSong"/>
          <w:sz w:val="24"/>
          <w:szCs w:val="24"/>
          <w:spacing w:val="1"/>
        </w:rPr>
        <w:t>中的Ⅳ类标准，现状地下水质量总体较好。土壤</w:t>
      </w:r>
      <w:r>
        <w:rPr>
          <w:rFonts w:ascii="FangSong" w:hAnsi="FangSong" w:eastAsia="FangSong" w:cs="FangSong"/>
          <w:sz w:val="24"/>
          <w:szCs w:val="24"/>
        </w:rPr>
        <w:t xml:space="preserve"> </w:t>
      </w:r>
      <w:r>
        <w:rPr>
          <w:rFonts w:ascii="FangSong" w:hAnsi="FangSong" w:eastAsia="FangSong" w:cs="FangSong"/>
          <w:sz w:val="24"/>
          <w:szCs w:val="24"/>
        </w:rPr>
        <w:t>和地下水监测点位见图</w:t>
      </w:r>
      <w:r>
        <w:rPr>
          <w:sz w:val="24"/>
          <w:szCs w:val="24"/>
        </w:rPr>
        <w:t>2.3-1</w:t>
      </w:r>
      <w:r>
        <w:rPr>
          <w:sz w:val="24"/>
          <w:szCs w:val="24"/>
          <w:spacing w:val="-8"/>
        </w:rPr>
        <w:t xml:space="preserve"> </w:t>
      </w:r>
      <w:r>
        <w:rPr>
          <w:rFonts w:ascii="FangSong" w:hAnsi="FangSong" w:eastAsia="FangSong" w:cs="FangSong"/>
          <w:sz w:val="24"/>
          <w:szCs w:val="24"/>
        </w:rPr>
        <w:t>，土壤环境质量监测结果见表</w:t>
      </w:r>
      <w:r>
        <w:rPr>
          <w:sz w:val="24"/>
          <w:szCs w:val="24"/>
        </w:rPr>
        <w:t>2.3-1</w:t>
      </w:r>
      <w:r>
        <w:rPr>
          <w:sz w:val="24"/>
          <w:szCs w:val="24"/>
          <w:spacing w:val="-25"/>
        </w:rPr>
        <w:t xml:space="preserve"> </w:t>
      </w:r>
      <w:r>
        <w:rPr>
          <w:rFonts w:ascii="FangSong" w:hAnsi="FangSong" w:eastAsia="FangSong" w:cs="FangSong"/>
          <w:sz w:val="24"/>
          <w:szCs w:val="24"/>
        </w:rPr>
        <w:t>，地下水环境质量监测结果见</w:t>
      </w:r>
      <w:r>
        <w:rPr>
          <w:rFonts w:ascii="FangSong" w:hAnsi="FangSong" w:eastAsia="FangSong" w:cs="FangSong"/>
          <w:sz w:val="24"/>
          <w:szCs w:val="24"/>
        </w:rPr>
        <w:t xml:space="preserve"> </w:t>
      </w:r>
      <w:r>
        <w:rPr>
          <w:rFonts w:ascii="FangSong" w:hAnsi="FangSong" w:eastAsia="FangSong" w:cs="FangSong"/>
          <w:sz w:val="24"/>
          <w:szCs w:val="24"/>
          <w:spacing w:val="-3"/>
        </w:rPr>
        <w:t>表</w:t>
      </w:r>
      <w:r>
        <w:rPr>
          <w:sz w:val="24"/>
          <w:szCs w:val="24"/>
          <w:spacing w:val="-3"/>
        </w:rPr>
        <w:t>2.3-2</w:t>
      </w:r>
      <w:r>
        <w:rPr>
          <w:rFonts w:ascii="FangSong" w:hAnsi="FangSong" w:eastAsia="FangSong" w:cs="FangSong"/>
          <w:sz w:val="24"/>
          <w:szCs w:val="24"/>
          <w:spacing w:val="-3"/>
        </w:rPr>
        <w:t>。</w:t>
      </w:r>
    </w:p>
    <w:p>
      <w:pPr>
        <w:spacing w:line="360" w:lineRule="auto"/>
        <w:sectPr>
          <w:headerReference w:type="default" r:id="rId27"/>
          <w:footerReference w:type="default" r:id="rId28"/>
          <w:pgSz w:w="11906" w:h="16839"/>
          <w:pgMar w:top="1139" w:right="860" w:bottom="1252" w:left="1080" w:header="831" w:footer="1090" w:gutter="0"/>
        </w:sectPr>
        <w:rPr>
          <w:rFonts w:ascii="FangSong" w:hAnsi="FangSong" w:eastAsia="FangSong" w:cs="FangSong"/>
          <w:sz w:val="24"/>
          <w:szCs w:val="24"/>
        </w:rPr>
      </w:pPr>
    </w:p>
    <w:p>
      <w:pPr>
        <w:spacing w:line="298" w:lineRule="auto"/>
        <w:rPr>
          <w:rFonts w:ascii="Arial"/>
          <w:sz w:val="21"/>
        </w:rPr>
      </w:pPr>
      <w:r/>
    </w:p>
    <w:p>
      <w:pPr>
        <w:spacing w:line="11292" w:lineRule="exact"/>
        <w:rPr/>
      </w:pPr>
      <w:r>
        <w:rPr>
          <w:position w:val="-225"/>
        </w:rPr>
        <w:drawing>
          <wp:inline distT="0" distB="0" distL="0" distR="0">
            <wp:extent cx="6187440" cy="7170419"/>
            <wp:effectExtent l="0" t="0" r="0" b="0"/>
            <wp:docPr id="24" name="IM 24"/>
            <wp:cNvGraphicFramePr/>
            <a:graphic>
              <a:graphicData uri="http://schemas.openxmlformats.org/drawingml/2006/picture">
                <pic:pic>
                  <pic:nvPicPr>
                    <pic:cNvPr id="24" name="IM 24"/>
                    <pic:cNvPicPr/>
                  </pic:nvPicPr>
                  <pic:blipFill>
                    <a:blip r:embed="rId31"/>
                    <a:stretch>
                      <a:fillRect/>
                    </a:stretch>
                  </pic:blipFill>
                  <pic:spPr>
                    <a:xfrm rot="0">
                      <a:off x="0" y="0"/>
                      <a:ext cx="6187440" cy="7170419"/>
                    </a:xfrm>
                    <a:prstGeom prst="rect">
                      <a:avLst/>
                    </a:prstGeom>
                  </pic:spPr>
                </pic:pic>
              </a:graphicData>
            </a:graphic>
          </wp:inline>
        </w:drawing>
      </w:r>
    </w:p>
    <w:p>
      <w:pPr>
        <w:pStyle w:val="BodyText"/>
        <w:ind w:left="3156"/>
        <w:spacing w:before="133" w:line="220" w:lineRule="auto"/>
        <w:rPr>
          <w:rFonts w:ascii="FangSong" w:hAnsi="FangSong" w:eastAsia="FangSong" w:cs="FangSong"/>
          <w:sz w:val="24"/>
          <w:szCs w:val="24"/>
        </w:rPr>
      </w:pPr>
      <w:r>
        <w:rPr>
          <w:rFonts w:ascii="FangSong" w:hAnsi="FangSong" w:eastAsia="FangSong" w:cs="FangSong"/>
          <w:sz w:val="24"/>
          <w:szCs w:val="24"/>
          <w:b/>
          <w:bCs/>
          <w:spacing w:val="-4"/>
        </w:rPr>
        <w:t>图</w:t>
      </w:r>
      <w:r>
        <w:rPr>
          <w:sz w:val="24"/>
          <w:szCs w:val="24"/>
          <w:b/>
          <w:bCs/>
          <w:spacing w:val="-4"/>
        </w:rPr>
        <w:t>2.3-1  </w:t>
      </w:r>
      <w:r>
        <w:rPr>
          <w:rFonts w:ascii="FangSong" w:hAnsi="FangSong" w:eastAsia="FangSong" w:cs="FangSong"/>
          <w:sz w:val="24"/>
          <w:szCs w:val="24"/>
          <w:b/>
          <w:bCs/>
          <w:spacing w:val="-4"/>
        </w:rPr>
        <w:t>土壤和地下水监测布点图</w:t>
      </w:r>
    </w:p>
    <w:p>
      <w:pPr>
        <w:spacing w:line="220" w:lineRule="auto"/>
        <w:sectPr>
          <w:headerReference w:type="default" r:id="rId29"/>
          <w:footerReference w:type="default" r:id="rId30"/>
          <w:pgSz w:w="11906" w:h="16839"/>
          <w:pgMar w:top="1139" w:right="1080" w:bottom="1252" w:left="1080" w:header="831" w:footer="1090" w:gutter="0"/>
        </w:sectPr>
        <w:rPr>
          <w:rFonts w:ascii="FangSong" w:hAnsi="FangSong" w:eastAsia="FangSong" w:cs="FangSong"/>
          <w:sz w:val="24"/>
          <w:szCs w:val="24"/>
        </w:rPr>
      </w:pPr>
    </w:p>
    <w:p>
      <w:pPr>
        <w:spacing w:line="447" w:lineRule="auto"/>
        <w:rPr>
          <w:rFonts w:ascii="Arial"/>
          <w:sz w:val="21"/>
        </w:rPr>
      </w:pPr>
      <w:r/>
    </w:p>
    <w:p>
      <w:pPr>
        <w:pStyle w:val="BodyText"/>
        <w:ind w:left="4863"/>
        <w:spacing w:before="78" w:line="212" w:lineRule="auto"/>
        <w:rPr>
          <w:rFonts w:ascii="FangSong" w:hAnsi="FangSong" w:eastAsia="FangSong" w:cs="FangSong"/>
          <w:sz w:val="24"/>
          <w:szCs w:val="24"/>
        </w:rPr>
      </w:pPr>
      <w:r>
        <w:rPr>
          <w:rFonts w:ascii="FangSong" w:hAnsi="FangSong" w:eastAsia="FangSong" w:cs="FangSong"/>
          <w:sz w:val="24"/>
          <w:szCs w:val="24"/>
          <w:b/>
          <w:bCs/>
          <w:spacing w:val="-1"/>
        </w:rPr>
        <w:t>表</w:t>
      </w:r>
      <w:r>
        <w:rPr>
          <w:sz w:val="24"/>
          <w:szCs w:val="24"/>
          <w:b/>
          <w:bCs/>
          <w:spacing w:val="-1"/>
        </w:rPr>
        <w:t>2.3-1 2024</w:t>
      </w:r>
      <w:r>
        <w:rPr>
          <w:rFonts w:ascii="FangSong" w:hAnsi="FangSong" w:eastAsia="FangSong" w:cs="FangSong"/>
          <w:sz w:val="24"/>
          <w:szCs w:val="24"/>
          <w:b/>
          <w:bCs/>
          <w:spacing w:val="-1"/>
        </w:rPr>
        <w:t>年度土壤环境质量监测结果（有检出）</w:t>
      </w:r>
      <w:r>
        <w:rPr>
          <w:rFonts w:ascii="FangSong" w:hAnsi="FangSong" w:eastAsia="FangSong" w:cs="FangSong"/>
          <w:sz w:val="24"/>
          <w:szCs w:val="24"/>
          <w:spacing w:val="-1"/>
        </w:rPr>
        <w:t xml:space="preserve">          </w:t>
      </w:r>
      <w:r>
        <w:rPr>
          <w:rFonts w:ascii="FangSong" w:hAnsi="FangSong" w:eastAsia="FangSong" w:cs="FangSong"/>
          <w:sz w:val="24"/>
          <w:szCs w:val="24"/>
          <w:b/>
          <w:bCs/>
          <w:spacing w:val="-1"/>
        </w:rPr>
        <w:t>单位：</w:t>
      </w:r>
      <w:r>
        <w:rPr>
          <w:sz w:val="24"/>
          <w:szCs w:val="24"/>
          <w:b/>
          <w:bCs/>
          <w:spacing w:val="-1"/>
        </w:rPr>
        <w:t>mg</w:t>
      </w:r>
      <w:r>
        <w:rPr>
          <w:sz w:val="24"/>
          <w:szCs w:val="24"/>
          <w:b/>
          <w:bCs/>
          <w:spacing w:val="-2"/>
        </w:rPr>
        <w:t>/kg</w:t>
      </w:r>
      <w:r>
        <w:rPr>
          <w:rFonts w:ascii="FangSong" w:hAnsi="FangSong" w:eastAsia="FangSong" w:cs="FangSong"/>
          <w:sz w:val="24"/>
          <w:szCs w:val="24"/>
          <w:b/>
          <w:bCs/>
          <w:spacing w:val="-2"/>
        </w:rPr>
        <w:t>（</w:t>
      </w:r>
      <w:r>
        <w:rPr>
          <w:sz w:val="24"/>
          <w:szCs w:val="24"/>
          <w:b/>
          <w:bCs/>
          <w:spacing w:val="-2"/>
        </w:rPr>
        <w:t>pH</w:t>
      </w:r>
      <w:r>
        <w:rPr>
          <w:rFonts w:ascii="FangSong" w:hAnsi="FangSong" w:eastAsia="FangSong" w:cs="FangSong"/>
          <w:sz w:val="24"/>
          <w:szCs w:val="24"/>
          <w:b/>
          <w:bCs/>
          <w:spacing w:val="-2"/>
        </w:rPr>
        <w:t>值：无量纲）</w:t>
      </w:r>
    </w:p>
    <w:p>
      <w:pPr>
        <w:spacing w:line="78" w:lineRule="exact"/>
        <w:rPr/>
      </w:pPr>
      <w:r/>
    </w:p>
    <w:tbl>
      <w:tblPr>
        <w:tblStyle w:val="TableNormal"/>
        <w:tblW w:w="1484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68"/>
        <w:gridCol w:w="1480"/>
        <w:gridCol w:w="1180"/>
        <w:gridCol w:w="1008"/>
        <w:gridCol w:w="1009"/>
        <w:gridCol w:w="1009"/>
        <w:gridCol w:w="1009"/>
        <w:gridCol w:w="1008"/>
        <w:gridCol w:w="1009"/>
        <w:gridCol w:w="1009"/>
        <w:gridCol w:w="1009"/>
        <w:gridCol w:w="1009"/>
        <w:gridCol w:w="1009"/>
        <w:gridCol w:w="1025"/>
      </w:tblGrid>
      <w:tr>
        <w:trPr>
          <w:trHeight w:val="406" w:hRule="atLeast"/>
        </w:trPr>
        <w:tc>
          <w:tcPr>
            <w:tcW w:w="1068" w:type="dxa"/>
            <w:vAlign w:val="top"/>
          </w:tcPr>
          <w:p>
            <w:pPr>
              <w:pStyle w:val="TableText"/>
              <w:ind w:left="123"/>
              <w:spacing w:before="96" w:line="232" w:lineRule="auto"/>
              <w:rPr/>
            </w:pPr>
            <w:r>
              <w:rPr>
                <w:b/>
                <w:bCs/>
                <w:spacing w:val="5"/>
              </w:rPr>
              <w:t>测点编号</w:t>
            </w:r>
          </w:p>
        </w:tc>
        <w:tc>
          <w:tcPr>
            <w:tcW w:w="1480" w:type="dxa"/>
            <w:vAlign w:val="top"/>
          </w:tcPr>
          <w:p>
            <w:pPr>
              <w:pStyle w:val="TableText"/>
              <w:ind w:right="13"/>
              <w:spacing w:before="97" w:line="228" w:lineRule="auto"/>
              <w:jc w:val="right"/>
              <w:rPr/>
            </w:pPr>
            <w:r>
              <w:rPr>
                <w:b/>
                <w:bCs/>
                <w:spacing w:val="-6"/>
              </w:rPr>
              <w:t>采样深度（</w:t>
            </w:r>
            <w:r>
              <w:rPr>
                <w:rFonts w:ascii="Times New Roman" w:hAnsi="Times New Roman" w:eastAsia="Times New Roman" w:cs="Times New Roman"/>
                <w:b/>
                <w:bCs/>
                <w:spacing w:val="-6"/>
              </w:rPr>
              <w:t>m</w:t>
            </w:r>
            <w:r>
              <w:rPr>
                <w:b/>
                <w:bCs/>
                <w:spacing w:val="-6"/>
              </w:rPr>
              <w:t>）</w:t>
            </w:r>
          </w:p>
        </w:tc>
        <w:tc>
          <w:tcPr>
            <w:tcW w:w="1180" w:type="dxa"/>
            <w:vAlign w:val="top"/>
          </w:tcPr>
          <w:p>
            <w:pPr>
              <w:pStyle w:val="TableText"/>
              <w:ind w:left="180"/>
              <w:spacing w:before="97" w:line="228" w:lineRule="auto"/>
              <w:rPr/>
            </w:pPr>
            <w:r>
              <w:rPr>
                <w:b/>
                <w:bCs/>
                <w:spacing w:val="4"/>
              </w:rPr>
              <w:t>样品性状</w:t>
            </w:r>
          </w:p>
        </w:tc>
        <w:tc>
          <w:tcPr>
            <w:tcW w:w="1008" w:type="dxa"/>
            <w:vAlign w:val="top"/>
          </w:tcPr>
          <w:p>
            <w:pPr>
              <w:pStyle w:val="TableText"/>
              <w:ind w:left="259"/>
              <w:spacing w:before="97" w:line="221" w:lineRule="auto"/>
              <w:rPr/>
            </w:pPr>
            <w:r>
              <w:rPr>
                <w:rFonts w:ascii="Times New Roman" w:hAnsi="Times New Roman" w:eastAsia="Times New Roman" w:cs="Times New Roman"/>
                <w:b/>
                <w:bCs/>
              </w:rPr>
              <w:t>pH</w:t>
            </w:r>
            <w:r>
              <w:rPr>
                <w:b/>
                <w:bCs/>
                <w:spacing w:val="16"/>
              </w:rPr>
              <w:t>值</w:t>
            </w:r>
          </w:p>
        </w:tc>
        <w:tc>
          <w:tcPr>
            <w:tcW w:w="1009" w:type="dxa"/>
            <w:vAlign w:val="top"/>
          </w:tcPr>
          <w:p>
            <w:pPr>
              <w:pStyle w:val="TableText"/>
              <w:ind w:left="314"/>
              <w:spacing w:before="96" w:line="229" w:lineRule="auto"/>
              <w:rPr/>
            </w:pPr>
            <w:r>
              <w:rPr>
                <w:b/>
                <w:bCs/>
                <w:spacing w:val="-4"/>
              </w:rPr>
              <w:t>总砷</w:t>
            </w:r>
          </w:p>
        </w:tc>
        <w:tc>
          <w:tcPr>
            <w:tcW w:w="1009" w:type="dxa"/>
            <w:vAlign w:val="top"/>
          </w:tcPr>
          <w:p>
            <w:pPr>
              <w:pStyle w:val="TableText"/>
              <w:ind w:left="413"/>
              <w:spacing w:before="97" w:line="232" w:lineRule="auto"/>
              <w:rPr/>
            </w:pPr>
            <w:r>
              <w:rPr>
                <w:b/>
                <w:bCs/>
                <w:spacing w:val="-3"/>
              </w:rPr>
              <w:t>镉</w:t>
            </w:r>
          </w:p>
        </w:tc>
        <w:tc>
          <w:tcPr>
            <w:tcW w:w="1009" w:type="dxa"/>
            <w:vAlign w:val="top"/>
          </w:tcPr>
          <w:p>
            <w:pPr>
              <w:pStyle w:val="TableText"/>
              <w:ind w:left="202"/>
              <w:spacing w:before="97" w:line="230" w:lineRule="auto"/>
              <w:rPr/>
            </w:pPr>
            <w:r>
              <w:rPr>
                <w:b/>
                <w:bCs/>
                <w:spacing w:val="3"/>
              </w:rPr>
              <w:t>六价铬</w:t>
            </w:r>
          </w:p>
        </w:tc>
        <w:tc>
          <w:tcPr>
            <w:tcW w:w="1008" w:type="dxa"/>
            <w:vAlign w:val="top"/>
          </w:tcPr>
          <w:p>
            <w:pPr>
              <w:pStyle w:val="TableText"/>
              <w:ind w:left="412"/>
              <w:spacing w:before="96" w:line="232" w:lineRule="auto"/>
              <w:rPr/>
            </w:pPr>
            <w:r>
              <w:rPr>
                <w:b/>
                <w:bCs/>
                <w:spacing w:val="-3"/>
              </w:rPr>
              <w:t>铜</w:t>
            </w:r>
          </w:p>
        </w:tc>
        <w:tc>
          <w:tcPr>
            <w:tcW w:w="1009" w:type="dxa"/>
            <w:vAlign w:val="top"/>
          </w:tcPr>
          <w:p>
            <w:pPr>
              <w:pStyle w:val="TableText"/>
              <w:ind w:left="412"/>
              <w:spacing w:before="97" w:line="231" w:lineRule="auto"/>
              <w:rPr/>
            </w:pPr>
            <w:r>
              <w:rPr>
                <w:b/>
                <w:bCs/>
                <w:spacing w:val="-3"/>
              </w:rPr>
              <w:t>铅</w:t>
            </w:r>
          </w:p>
        </w:tc>
        <w:tc>
          <w:tcPr>
            <w:tcW w:w="1009" w:type="dxa"/>
            <w:vAlign w:val="top"/>
          </w:tcPr>
          <w:p>
            <w:pPr>
              <w:pStyle w:val="TableText"/>
              <w:ind w:left="315"/>
              <w:spacing w:before="97" w:line="232" w:lineRule="auto"/>
              <w:rPr/>
            </w:pPr>
            <w:r>
              <w:rPr>
                <w:b/>
                <w:bCs/>
                <w:spacing w:val="-4"/>
              </w:rPr>
              <w:t>总汞</w:t>
            </w:r>
          </w:p>
        </w:tc>
        <w:tc>
          <w:tcPr>
            <w:tcW w:w="1009" w:type="dxa"/>
            <w:vAlign w:val="top"/>
          </w:tcPr>
          <w:p>
            <w:pPr>
              <w:pStyle w:val="TableText"/>
              <w:ind w:left="415"/>
              <w:spacing w:before="97" w:line="231" w:lineRule="auto"/>
              <w:rPr/>
            </w:pPr>
            <w:r>
              <w:rPr>
                <w:b/>
                <w:bCs/>
                <w:spacing w:val="-3"/>
              </w:rPr>
              <w:t>镍</w:t>
            </w:r>
          </w:p>
        </w:tc>
        <w:tc>
          <w:tcPr>
            <w:tcW w:w="1009" w:type="dxa"/>
            <w:vAlign w:val="top"/>
          </w:tcPr>
          <w:p>
            <w:pPr>
              <w:pStyle w:val="TableText"/>
              <w:ind w:left="412"/>
              <w:spacing w:before="97" w:line="231" w:lineRule="auto"/>
              <w:rPr/>
            </w:pPr>
            <w:r>
              <w:rPr>
                <w:b/>
                <w:bCs/>
                <w:spacing w:val="-3"/>
              </w:rPr>
              <w:t>锌</w:t>
            </w:r>
          </w:p>
        </w:tc>
        <w:tc>
          <w:tcPr>
            <w:tcW w:w="1009" w:type="dxa"/>
            <w:vAlign w:val="top"/>
          </w:tcPr>
          <w:p>
            <w:pPr>
              <w:pStyle w:val="TableText"/>
              <w:ind w:left="412"/>
              <w:spacing w:before="97" w:line="230" w:lineRule="auto"/>
              <w:rPr/>
            </w:pPr>
            <w:r>
              <w:rPr>
                <w:b/>
                <w:bCs/>
                <w:spacing w:val="-3"/>
              </w:rPr>
              <w:t>铬</w:t>
            </w:r>
          </w:p>
        </w:tc>
        <w:tc>
          <w:tcPr>
            <w:tcW w:w="1025" w:type="dxa"/>
            <w:vAlign w:val="top"/>
          </w:tcPr>
          <w:p>
            <w:pPr>
              <w:pStyle w:val="TableText"/>
              <w:ind w:left="212"/>
              <w:spacing w:before="97" w:line="229" w:lineRule="auto"/>
              <w:rPr/>
            </w:pPr>
            <w:r>
              <w:rPr>
                <w:b/>
                <w:bCs/>
                <w:spacing w:val="1"/>
              </w:rPr>
              <w:t>氟化物</w:t>
            </w:r>
          </w:p>
        </w:tc>
      </w:tr>
      <w:tr>
        <w:trPr>
          <w:trHeight w:val="402" w:hRule="atLeast"/>
        </w:trPr>
        <w:tc>
          <w:tcPr>
            <w:tcW w:w="1068" w:type="dxa"/>
            <w:vAlign w:val="top"/>
          </w:tcPr>
          <w:p>
            <w:pPr>
              <w:ind w:left="339"/>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AT</w:t>
            </w:r>
            <w:r>
              <w:rPr>
                <w:rFonts w:ascii="Times New Roman" w:hAnsi="Times New Roman" w:eastAsia="Times New Roman" w:cs="Times New Roman"/>
                <w:sz w:val="20"/>
                <w:szCs w:val="20"/>
                <w:spacing w:val="14"/>
              </w:rPr>
              <w:t>1</w:t>
            </w:r>
          </w:p>
        </w:tc>
        <w:tc>
          <w:tcPr>
            <w:tcW w:w="1480" w:type="dxa"/>
            <w:vAlign w:val="top"/>
          </w:tcPr>
          <w:p>
            <w:pPr>
              <w:ind w:left="504"/>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180" w:type="dxa"/>
            <w:vAlign w:val="top"/>
          </w:tcPr>
          <w:p>
            <w:pPr>
              <w:pStyle w:val="TableText"/>
              <w:ind w:left="391"/>
              <w:spacing w:before="94" w:line="232" w:lineRule="auto"/>
              <w:rPr/>
            </w:pPr>
            <w:r>
              <w:rPr>
                <w:spacing w:val="2"/>
              </w:rPr>
              <w:t>黄色</w:t>
            </w:r>
          </w:p>
        </w:tc>
        <w:tc>
          <w:tcPr>
            <w:tcW w:w="1008" w:type="dxa"/>
            <w:vAlign w:val="top"/>
          </w:tcPr>
          <w:p>
            <w:pPr>
              <w:ind w:left="325"/>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7.84</w:t>
            </w:r>
          </w:p>
        </w:tc>
        <w:tc>
          <w:tcPr>
            <w:tcW w:w="1009" w:type="dxa"/>
            <w:vAlign w:val="top"/>
          </w:tcPr>
          <w:p>
            <w:pPr>
              <w:ind w:left="342"/>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11.2</w:t>
            </w:r>
          </w:p>
        </w:tc>
        <w:tc>
          <w:tcPr>
            <w:tcW w:w="1009" w:type="dxa"/>
            <w:vAlign w:val="top"/>
          </w:tcPr>
          <w:p>
            <w:pPr>
              <w:ind w:left="344"/>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1.28</w:t>
            </w:r>
          </w:p>
        </w:tc>
        <w:tc>
          <w:tcPr>
            <w:tcW w:w="1009" w:type="dxa"/>
            <w:vAlign w:val="top"/>
          </w:tcPr>
          <w:p>
            <w:pPr>
              <w:ind w:left="317"/>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&lt;0.5</w:t>
            </w:r>
          </w:p>
        </w:tc>
        <w:tc>
          <w:tcPr>
            <w:tcW w:w="1008" w:type="dxa"/>
            <w:vAlign w:val="top"/>
          </w:tcPr>
          <w:p>
            <w:pPr>
              <w:ind w:left="370"/>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118</w:t>
            </w:r>
          </w:p>
        </w:tc>
        <w:tc>
          <w:tcPr>
            <w:tcW w:w="1009" w:type="dxa"/>
            <w:vAlign w:val="top"/>
          </w:tcPr>
          <w:p>
            <w:pPr>
              <w:ind w:left="402"/>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w:t>
            </w:r>
          </w:p>
        </w:tc>
        <w:tc>
          <w:tcPr>
            <w:tcW w:w="1009" w:type="dxa"/>
            <w:vAlign w:val="top"/>
          </w:tcPr>
          <w:p>
            <w:pPr>
              <w:ind w:left="276"/>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0.171</w:t>
            </w:r>
          </w:p>
        </w:tc>
        <w:tc>
          <w:tcPr>
            <w:tcW w:w="1009" w:type="dxa"/>
            <w:vAlign w:val="top"/>
          </w:tcPr>
          <w:p>
            <w:pPr>
              <w:ind w:left="371"/>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128</w:t>
            </w:r>
          </w:p>
        </w:tc>
        <w:tc>
          <w:tcPr>
            <w:tcW w:w="1009" w:type="dxa"/>
            <w:vAlign w:val="top"/>
          </w:tcPr>
          <w:p>
            <w:pPr>
              <w:ind w:left="370"/>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132</w:t>
            </w:r>
          </w:p>
        </w:tc>
        <w:tc>
          <w:tcPr>
            <w:tcW w:w="1009" w:type="dxa"/>
            <w:vAlign w:val="top"/>
          </w:tcPr>
          <w:p>
            <w:pPr>
              <w:ind w:left="405"/>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91</w:t>
            </w:r>
          </w:p>
        </w:tc>
        <w:tc>
          <w:tcPr>
            <w:tcW w:w="1025" w:type="dxa"/>
            <w:vAlign w:val="top"/>
          </w:tcPr>
          <w:p>
            <w:pPr>
              <w:ind w:left="363"/>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540</w:t>
            </w:r>
          </w:p>
        </w:tc>
      </w:tr>
      <w:tr>
        <w:trPr>
          <w:trHeight w:val="402" w:hRule="atLeast"/>
        </w:trPr>
        <w:tc>
          <w:tcPr>
            <w:tcW w:w="1068" w:type="dxa"/>
            <w:vAlign w:val="top"/>
          </w:tcPr>
          <w:p>
            <w:pPr>
              <w:ind w:left="339"/>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AT</w:t>
            </w:r>
            <w:r>
              <w:rPr>
                <w:rFonts w:ascii="Times New Roman" w:hAnsi="Times New Roman" w:eastAsia="Times New Roman" w:cs="Times New Roman"/>
                <w:sz w:val="20"/>
                <w:szCs w:val="20"/>
                <w:spacing w:val="14"/>
              </w:rPr>
              <w:t>2</w:t>
            </w:r>
          </w:p>
        </w:tc>
        <w:tc>
          <w:tcPr>
            <w:tcW w:w="1480" w:type="dxa"/>
            <w:vAlign w:val="top"/>
          </w:tcPr>
          <w:p>
            <w:pPr>
              <w:ind w:left="504"/>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180" w:type="dxa"/>
            <w:vAlign w:val="top"/>
          </w:tcPr>
          <w:p>
            <w:pPr>
              <w:pStyle w:val="TableText"/>
              <w:ind w:left="391"/>
              <w:spacing w:before="95" w:line="232" w:lineRule="auto"/>
              <w:rPr/>
            </w:pPr>
            <w:r>
              <w:rPr>
                <w:spacing w:val="2"/>
              </w:rPr>
              <w:t>黄色</w:t>
            </w:r>
          </w:p>
        </w:tc>
        <w:tc>
          <w:tcPr>
            <w:tcW w:w="1008" w:type="dxa"/>
            <w:vAlign w:val="top"/>
          </w:tcPr>
          <w:p>
            <w:pPr>
              <w:ind w:left="328"/>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5.48</w:t>
            </w:r>
          </w:p>
        </w:tc>
        <w:tc>
          <w:tcPr>
            <w:tcW w:w="1009" w:type="dxa"/>
            <w:vAlign w:val="top"/>
          </w:tcPr>
          <w:p>
            <w:pPr>
              <w:ind w:left="327"/>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6.34</w:t>
            </w:r>
          </w:p>
        </w:tc>
        <w:tc>
          <w:tcPr>
            <w:tcW w:w="1009" w:type="dxa"/>
            <w:vAlign w:val="top"/>
          </w:tcPr>
          <w:p>
            <w:pPr>
              <w:ind w:left="379"/>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c>
          <w:tcPr>
            <w:tcW w:w="1009" w:type="dxa"/>
            <w:vAlign w:val="top"/>
          </w:tcPr>
          <w:p>
            <w:pPr>
              <w:ind w:left="317"/>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&lt;0.5</w:t>
            </w:r>
          </w:p>
        </w:tc>
        <w:tc>
          <w:tcPr>
            <w:tcW w:w="1008" w:type="dxa"/>
            <w:vAlign w:val="top"/>
          </w:tcPr>
          <w:p>
            <w:pPr>
              <w:ind w:left="406"/>
              <w:spacing w:before="13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009" w:type="dxa"/>
            <w:vAlign w:val="top"/>
          </w:tcPr>
          <w:p>
            <w:pPr>
              <w:ind w:left="407"/>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1009" w:type="dxa"/>
            <w:vAlign w:val="top"/>
          </w:tcPr>
          <w:p>
            <w:pPr>
              <w:ind w:left="276"/>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0.103</w:t>
            </w:r>
          </w:p>
        </w:tc>
        <w:tc>
          <w:tcPr>
            <w:tcW w:w="1009" w:type="dxa"/>
            <w:vAlign w:val="top"/>
          </w:tcPr>
          <w:p>
            <w:pPr>
              <w:ind w:left="408"/>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1009" w:type="dxa"/>
            <w:vAlign w:val="top"/>
          </w:tcPr>
          <w:p>
            <w:pPr>
              <w:ind w:left="370"/>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102</w:t>
            </w:r>
          </w:p>
        </w:tc>
        <w:tc>
          <w:tcPr>
            <w:tcW w:w="1009" w:type="dxa"/>
            <w:vAlign w:val="top"/>
          </w:tcPr>
          <w:p>
            <w:pPr>
              <w:ind w:left="405"/>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c>
          <w:tcPr>
            <w:tcW w:w="1025" w:type="dxa"/>
            <w:vAlign w:val="top"/>
          </w:tcPr>
          <w:p>
            <w:pPr>
              <w:ind w:left="363"/>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554</w:t>
            </w:r>
          </w:p>
        </w:tc>
      </w:tr>
      <w:tr>
        <w:trPr>
          <w:trHeight w:val="401" w:hRule="atLeast"/>
        </w:trPr>
        <w:tc>
          <w:tcPr>
            <w:tcW w:w="1068" w:type="dxa"/>
            <w:vAlign w:val="top"/>
          </w:tcPr>
          <w:p>
            <w:pPr>
              <w:ind w:left="348"/>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BT</w:t>
            </w:r>
            <w:r>
              <w:rPr>
                <w:rFonts w:ascii="Times New Roman" w:hAnsi="Times New Roman" w:eastAsia="Times New Roman" w:cs="Times New Roman"/>
                <w:sz w:val="20"/>
                <w:szCs w:val="20"/>
                <w:spacing w:val="11"/>
              </w:rPr>
              <w:t>2</w:t>
            </w:r>
          </w:p>
        </w:tc>
        <w:tc>
          <w:tcPr>
            <w:tcW w:w="1480" w:type="dxa"/>
            <w:vAlign w:val="top"/>
          </w:tcPr>
          <w:p>
            <w:pPr>
              <w:ind w:left="504"/>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180" w:type="dxa"/>
            <w:vAlign w:val="top"/>
          </w:tcPr>
          <w:p>
            <w:pPr>
              <w:pStyle w:val="TableText"/>
              <w:ind w:left="289"/>
              <w:spacing w:before="94" w:line="232" w:lineRule="auto"/>
              <w:rPr/>
            </w:pPr>
            <w:r>
              <w:rPr>
                <w:spacing w:val="3"/>
              </w:rPr>
              <w:t>浅黄色</w:t>
            </w:r>
          </w:p>
        </w:tc>
        <w:tc>
          <w:tcPr>
            <w:tcW w:w="1008" w:type="dxa"/>
            <w:vAlign w:val="top"/>
          </w:tcPr>
          <w:p>
            <w:pPr>
              <w:ind w:left="325"/>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7.79</w:t>
            </w:r>
          </w:p>
        </w:tc>
        <w:tc>
          <w:tcPr>
            <w:tcW w:w="1009" w:type="dxa"/>
            <w:vAlign w:val="top"/>
          </w:tcPr>
          <w:p>
            <w:pPr>
              <w:ind w:left="342"/>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12.3</w:t>
            </w:r>
          </w:p>
        </w:tc>
        <w:tc>
          <w:tcPr>
            <w:tcW w:w="1009" w:type="dxa"/>
            <w:vAlign w:val="top"/>
          </w:tcPr>
          <w:p>
            <w:pPr>
              <w:ind w:left="327"/>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7.51</w:t>
            </w:r>
          </w:p>
        </w:tc>
        <w:tc>
          <w:tcPr>
            <w:tcW w:w="1009" w:type="dxa"/>
            <w:vAlign w:val="top"/>
          </w:tcPr>
          <w:p>
            <w:pPr>
              <w:ind w:left="378"/>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0.9</w:t>
            </w:r>
          </w:p>
        </w:tc>
        <w:tc>
          <w:tcPr>
            <w:tcW w:w="1008" w:type="dxa"/>
            <w:vAlign w:val="top"/>
          </w:tcPr>
          <w:p>
            <w:pPr>
              <w:ind w:left="354"/>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305</w:t>
            </w:r>
          </w:p>
        </w:tc>
        <w:tc>
          <w:tcPr>
            <w:tcW w:w="1009" w:type="dxa"/>
            <w:vAlign w:val="top"/>
          </w:tcPr>
          <w:p>
            <w:pPr>
              <w:ind w:left="407"/>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99</w:t>
            </w:r>
          </w:p>
        </w:tc>
        <w:tc>
          <w:tcPr>
            <w:tcW w:w="1009" w:type="dxa"/>
            <w:vAlign w:val="top"/>
          </w:tcPr>
          <w:p>
            <w:pPr>
              <w:ind w:left="276"/>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0.184</w:t>
            </w:r>
          </w:p>
        </w:tc>
        <w:tc>
          <w:tcPr>
            <w:tcW w:w="1009" w:type="dxa"/>
            <w:vAlign w:val="top"/>
          </w:tcPr>
          <w:p>
            <w:pPr>
              <w:ind w:left="351"/>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270</w:t>
            </w:r>
          </w:p>
        </w:tc>
        <w:tc>
          <w:tcPr>
            <w:tcW w:w="1009" w:type="dxa"/>
            <w:vAlign w:val="top"/>
          </w:tcPr>
          <w:p>
            <w:pPr>
              <w:ind w:left="355"/>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503</w:t>
            </w:r>
          </w:p>
        </w:tc>
        <w:tc>
          <w:tcPr>
            <w:tcW w:w="1009" w:type="dxa"/>
            <w:vAlign w:val="top"/>
          </w:tcPr>
          <w:p>
            <w:pPr>
              <w:ind w:left="371"/>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159</w:t>
            </w:r>
          </w:p>
        </w:tc>
        <w:tc>
          <w:tcPr>
            <w:tcW w:w="1025" w:type="dxa"/>
            <w:vAlign w:val="top"/>
          </w:tcPr>
          <w:p>
            <w:pPr>
              <w:ind w:left="362"/>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613</w:t>
            </w:r>
          </w:p>
        </w:tc>
      </w:tr>
      <w:tr>
        <w:trPr>
          <w:trHeight w:val="402" w:hRule="atLeast"/>
        </w:trPr>
        <w:tc>
          <w:tcPr>
            <w:tcW w:w="1068" w:type="dxa"/>
            <w:vAlign w:val="top"/>
          </w:tcPr>
          <w:p>
            <w:pPr>
              <w:ind w:left="352"/>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CT</w:t>
            </w:r>
            <w:r>
              <w:rPr>
                <w:rFonts w:ascii="Times New Roman" w:hAnsi="Times New Roman" w:eastAsia="Times New Roman" w:cs="Times New Roman"/>
                <w:sz w:val="20"/>
                <w:szCs w:val="20"/>
                <w:spacing w:val="7"/>
              </w:rPr>
              <w:t>1</w:t>
            </w:r>
          </w:p>
        </w:tc>
        <w:tc>
          <w:tcPr>
            <w:tcW w:w="1480" w:type="dxa"/>
            <w:vAlign w:val="top"/>
          </w:tcPr>
          <w:p>
            <w:pPr>
              <w:ind w:left="504"/>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180" w:type="dxa"/>
            <w:vAlign w:val="top"/>
          </w:tcPr>
          <w:p>
            <w:pPr>
              <w:pStyle w:val="TableText"/>
              <w:ind w:left="289"/>
              <w:spacing w:before="96" w:line="232" w:lineRule="auto"/>
              <w:rPr/>
            </w:pPr>
            <w:r>
              <w:rPr>
                <w:spacing w:val="3"/>
              </w:rPr>
              <w:t>浅黄色</w:t>
            </w:r>
          </w:p>
        </w:tc>
        <w:tc>
          <w:tcPr>
            <w:tcW w:w="1008" w:type="dxa"/>
            <w:vAlign w:val="top"/>
          </w:tcPr>
          <w:p>
            <w:pPr>
              <w:ind w:left="327"/>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6.42</w:t>
            </w:r>
          </w:p>
        </w:tc>
        <w:tc>
          <w:tcPr>
            <w:tcW w:w="1009" w:type="dxa"/>
            <w:vAlign w:val="top"/>
          </w:tcPr>
          <w:p>
            <w:pPr>
              <w:ind w:left="321"/>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4.98</w:t>
            </w:r>
          </w:p>
        </w:tc>
        <w:tc>
          <w:tcPr>
            <w:tcW w:w="1009" w:type="dxa"/>
            <w:vAlign w:val="top"/>
          </w:tcPr>
          <w:p>
            <w:pPr>
              <w:ind w:left="323"/>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2.47</w:t>
            </w:r>
          </w:p>
        </w:tc>
        <w:tc>
          <w:tcPr>
            <w:tcW w:w="1009" w:type="dxa"/>
            <w:vAlign w:val="top"/>
          </w:tcPr>
          <w:p>
            <w:pPr>
              <w:ind w:left="317"/>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&lt;0.5</w:t>
            </w:r>
          </w:p>
        </w:tc>
        <w:tc>
          <w:tcPr>
            <w:tcW w:w="1008" w:type="dxa"/>
            <w:vAlign w:val="top"/>
          </w:tcPr>
          <w:p>
            <w:pPr>
              <w:ind w:left="350"/>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200</w:t>
            </w:r>
          </w:p>
        </w:tc>
        <w:tc>
          <w:tcPr>
            <w:tcW w:w="1009" w:type="dxa"/>
            <w:vAlign w:val="top"/>
          </w:tcPr>
          <w:p>
            <w:pPr>
              <w:ind w:left="406"/>
              <w:spacing w:before="13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009" w:type="dxa"/>
            <w:vAlign w:val="top"/>
          </w:tcPr>
          <w:p>
            <w:pPr>
              <w:ind w:left="276"/>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0.137</w:t>
            </w:r>
          </w:p>
        </w:tc>
        <w:tc>
          <w:tcPr>
            <w:tcW w:w="1009" w:type="dxa"/>
            <w:vAlign w:val="top"/>
          </w:tcPr>
          <w:p>
            <w:pPr>
              <w:ind w:left="371"/>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133</w:t>
            </w:r>
          </w:p>
        </w:tc>
        <w:tc>
          <w:tcPr>
            <w:tcW w:w="1009" w:type="dxa"/>
            <w:vAlign w:val="top"/>
          </w:tcPr>
          <w:p>
            <w:pPr>
              <w:ind w:left="354"/>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381</w:t>
            </w:r>
          </w:p>
        </w:tc>
        <w:tc>
          <w:tcPr>
            <w:tcW w:w="1009" w:type="dxa"/>
            <w:vAlign w:val="top"/>
          </w:tcPr>
          <w:p>
            <w:pPr>
              <w:ind w:left="405"/>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1025" w:type="dxa"/>
            <w:vAlign w:val="top"/>
          </w:tcPr>
          <w:p>
            <w:pPr>
              <w:ind w:left="363"/>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545</w:t>
            </w:r>
          </w:p>
        </w:tc>
      </w:tr>
      <w:tr>
        <w:trPr>
          <w:trHeight w:val="401" w:hRule="atLeast"/>
        </w:trPr>
        <w:tc>
          <w:tcPr>
            <w:tcW w:w="1068" w:type="dxa"/>
            <w:vAlign w:val="top"/>
          </w:tcPr>
          <w:p>
            <w:pPr>
              <w:ind w:left="341"/>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DT</w:t>
            </w:r>
            <w:r>
              <w:rPr>
                <w:rFonts w:ascii="Times New Roman" w:hAnsi="Times New Roman" w:eastAsia="Times New Roman" w:cs="Times New Roman"/>
                <w:sz w:val="20"/>
                <w:szCs w:val="20"/>
                <w:spacing w:val="12"/>
              </w:rPr>
              <w:t>2</w:t>
            </w:r>
          </w:p>
        </w:tc>
        <w:tc>
          <w:tcPr>
            <w:tcW w:w="1480" w:type="dxa"/>
            <w:vAlign w:val="top"/>
          </w:tcPr>
          <w:p>
            <w:pPr>
              <w:ind w:left="504"/>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180" w:type="dxa"/>
            <w:vAlign w:val="top"/>
          </w:tcPr>
          <w:p>
            <w:pPr>
              <w:pStyle w:val="TableText"/>
              <w:ind w:left="391"/>
              <w:spacing w:before="94" w:line="232" w:lineRule="auto"/>
              <w:rPr/>
            </w:pPr>
            <w:r>
              <w:rPr>
                <w:spacing w:val="2"/>
              </w:rPr>
              <w:t>黄色</w:t>
            </w:r>
          </w:p>
        </w:tc>
        <w:tc>
          <w:tcPr>
            <w:tcW w:w="1008" w:type="dxa"/>
            <w:vAlign w:val="top"/>
          </w:tcPr>
          <w:p>
            <w:pPr>
              <w:ind w:left="330"/>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8.19</w:t>
            </w:r>
          </w:p>
        </w:tc>
        <w:tc>
          <w:tcPr>
            <w:tcW w:w="1009" w:type="dxa"/>
            <w:vAlign w:val="top"/>
          </w:tcPr>
          <w:p>
            <w:pPr>
              <w:ind w:left="322"/>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27.4</w:t>
            </w:r>
          </w:p>
        </w:tc>
        <w:tc>
          <w:tcPr>
            <w:tcW w:w="1009" w:type="dxa"/>
            <w:vAlign w:val="top"/>
          </w:tcPr>
          <w:p>
            <w:pPr>
              <w:ind w:left="344"/>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17.3</w:t>
            </w:r>
          </w:p>
        </w:tc>
        <w:tc>
          <w:tcPr>
            <w:tcW w:w="1009" w:type="dxa"/>
            <w:vAlign w:val="top"/>
          </w:tcPr>
          <w:p>
            <w:pPr>
              <w:ind w:left="375"/>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2.6</w:t>
            </w:r>
          </w:p>
        </w:tc>
        <w:tc>
          <w:tcPr>
            <w:tcW w:w="1008" w:type="dxa"/>
            <w:vAlign w:val="top"/>
          </w:tcPr>
          <w:p>
            <w:pPr>
              <w:ind w:left="145"/>
              <w:spacing w:before="113" w:line="213"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1"/>
              </w:rPr>
              <w:t>1.58×10</w:t>
            </w:r>
            <w:r>
              <w:rPr>
                <w:rFonts w:ascii="Times New Roman" w:hAnsi="Times New Roman" w:eastAsia="Times New Roman" w:cs="Times New Roman"/>
                <w:sz w:val="13"/>
                <w:szCs w:val="13"/>
                <w:spacing w:val="1"/>
                <w:position w:val="6"/>
              </w:rPr>
              <w:t>3</w:t>
            </w:r>
          </w:p>
        </w:tc>
        <w:tc>
          <w:tcPr>
            <w:tcW w:w="1009" w:type="dxa"/>
            <w:vAlign w:val="top"/>
          </w:tcPr>
          <w:p>
            <w:pPr>
              <w:ind w:left="350"/>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221</w:t>
            </w:r>
          </w:p>
        </w:tc>
        <w:tc>
          <w:tcPr>
            <w:tcW w:w="1009" w:type="dxa"/>
            <w:vAlign w:val="top"/>
          </w:tcPr>
          <w:p>
            <w:pPr>
              <w:ind w:left="276"/>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0.281</w:t>
            </w:r>
          </w:p>
        </w:tc>
        <w:tc>
          <w:tcPr>
            <w:tcW w:w="1009" w:type="dxa"/>
            <w:vAlign w:val="top"/>
          </w:tcPr>
          <w:p>
            <w:pPr>
              <w:ind w:left="355"/>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656</w:t>
            </w:r>
          </w:p>
        </w:tc>
        <w:tc>
          <w:tcPr>
            <w:tcW w:w="1009" w:type="dxa"/>
            <w:vAlign w:val="top"/>
          </w:tcPr>
          <w:p>
            <w:pPr>
              <w:ind w:left="147"/>
              <w:spacing w:before="113" w:line="213"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1"/>
              </w:rPr>
              <w:t>1.57×10</w:t>
            </w:r>
            <w:r>
              <w:rPr>
                <w:rFonts w:ascii="Times New Roman" w:hAnsi="Times New Roman" w:eastAsia="Times New Roman" w:cs="Times New Roman"/>
                <w:sz w:val="13"/>
                <w:szCs w:val="13"/>
                <w:spacing w:val="1"/>
                <w:position w:val="6"/>
              </w:rPr>
              <w:t>3</w:t>
            </w:r>
          </w:p>
        </w:tc>
        <w:tc>
          <w:tcPr>
            <w:tcW w:w="1009" w:type="dxa"/>
            <w:vAlign w:val="top"/>
          </w:tcPr>
          <w:p>
            <w:pPr>
              <w:ind w:left="357"/>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515</w:t>
            </w:r>
          </w:p>
        </w:tc>
        <w:tc>
          <w:tcPr>
            <w:tcW w:w="1025" w:type="dxa"/>
            <w:vAlign w:val="top"/>
          </w:tcPr>
          <w:p>
            <w:pPr>
              <w:ind w:left="361"/>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742</w:t>
            </w:r>
          </w:p>
        </w:tc>
      </w:tr>
      <w:tr>
        <w:trPr>
          <w:trHeight w:val="402" w:hRule="atLeast"/>
        </w:trPr>
        <w:tc>
          <w:tcPr>
            <w:tcW w:w="1068" w:type="dxa"/>
            <w:vAlign w:val="top"/>
          </w:tcPr>
          <w:p>
            <w:pPr>
              <w:ind w:left="354"/>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ET</w:t>
            </w:r>
            <w:r>
              <w:rPr>
                <w:rFonts w:ascii="Times New Roman" w:hAnsi="Times New Roman" w:eastAsia="Times New Roman" w:cs="Times New Roman"/>
                <w:sz w:val="20"/>
                <w:szCs w:val="20"/>
                <w:spacing w:val="10"/>
              </w:rPr>
              <w:t>1</w:t>
            </w:r>
          </w:p>
        </w:tc>
        <w:tc>
          <w:tcPr>
            <w:tcW w:w="1480" w:type="dxa"/>
            <w:vAlign w:val="top"/>
          </w:tcPr>
          <w:p>
            <w:pPr>
              <w:ind w:left="504"/>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180" w:type="dxa"/>
            <w:vAlign w:val="top"/>
          </w:tcPr>
          <w:p>
            <w:pPr>
              <w:pStyle w:val="TableText"/>
              <w:ind w:left="289"/>
              <w:spacing w:before="96" w:line="232" w:lineRule="auto"/>
              <w:rPr/>
            </w:pPr>
            <w:r>
              <w:rPr>
                <w:spacing w:val="3"/>
              </w:rPr>
              <w:t>浅黄色</w:t>
            </w:r>
          </w:p>
        </w:tc>
        <w:tc>
          <w:tcPr>
            <w:tcW w:w="1008" w:type="dxa"/>
            <w:vAlign w:val="top"/>
          </w:tcPr>
          <w:p>
            <w:pPr>
              <w:ind w:left="330"/>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8.71</w:t>
            </w:r>
          </w:p>
        </w:tc>
        <w:tc>
          <w:tcPr>
            <w:tcW w:w="1009" w:type="dxa"/>
            <w:vAlign w:val="top"/>
          </w:tcPr>
          <w:p>
            <w:pPr>
              <w:ind w:left="330"/>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8.13</w:t>
            </w:r>
          </w:p>
        </w:tc>
        <w:tc>
          <w:tcPr>
            <w:tcW w:w="1009" w:type="dxa"/>
            <w:vAlign w:val="top"/>
          </w:tcPr>
          <w:p>
            <w:pPr>
              <w:ind w:left="327"/>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0.45</w:t>
            </w:r>
          </w:p>
        </w:tc>
        <w:tc>
          <w:tcPr>
            <w:tcW w:w="1009" w:type="dxa"/>
            <w:vAlign w:val="top"/>
          </w:tcPr>
          <w:p>
            <w:pPr>
              <w:ind w:left="317"/>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&lt;0.5</w:t>
            </w:r>
          </w:p>
        </w:tc>
        <w:tc>
          <w:tcPr>
            <w:tcW w:w="1008" w:type="dxa"/>
            <w:vAlign w:val="top"/>
          </w:tcPr>
          <w:p>
            <w:pPr>
              <w:ind w:left="34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407</w:t>
            </w:r>
          </w:p>
        </w:tc>
        <w:tc>
          <w:tcPr>
            <w:tcW w:w="1009" w:type="dxa"/>
            <w:vAlign w:val="top"/>
          </w:tcPr>
          <w:p>
            <w:pPr>
              <w:ind w:left="370"/>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102</w:t>
            </w:r>
          </w:p>
        </w:tc>
        <w:tc>
          <w:tcPr>
            <w:tcW w:w="1009" w:type="dxa"/>
            <w:vAlign w:val="top"/>
          </w:tcPr>
          <w:p>
            <w:pPr>
              <w:ind w:left="276"/>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0.127</w:t>
            </w:r>
          </w:p>
        </w:tc>
        <w:tc>
          <w:tcPr>
            <w:tcW w:w="1009" w:type="dxa"/>
            <w:vAlign w:val="top"/>
          </w:tcPr>
          <w:p>
            <w:pPr>
              <w:ind w:left="37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197</w:t>
            </w:r>
          </w:p>
        </w:tc>
        <w:tc>
          <w:tcPr>
            <w:tcW w:w="1009" w:type="dxa"/>
            <w:vAlign w:val="top"/>
          </w:tcPr>
          <w:p>
            <w:pPr>
              <w:ind w:left="34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495</w:t>
            </w:r>
          </w:p>
        </w:tc>
        <w:tc>
          <w:tcPr>
            <w:tcW w:w="1009" w:type="dxa"/>
            <w:vAlign w:val="top"/>
          </w:tcPr>
          <w:p>
            <w:pPr>
              <w:ind w:left="35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276</w:t>
            </w:r>
          </w:p>
        </w:tc>
        <w:tc>
          <w:tcPr>
            <w:tcW w:w="1025" w:type="dxa"/>
            <w:vAlign w:val="top"/>
          </w:tcPr>
          <w:p>
            <w:pPr>
              <w:ind w:left="366"/>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r>
      <w:tr>
        <w:trPr>
          <w:trHeight w:val="402" w:hRule="atLeast"/>
        </w:trPr>
        <w:tc>
          <w:tcPr>
            <w:tcW w:w="1068" w:type="dxa"/>
            <w:vAlign w:val="top"/>
          </w:tcPr>
          <w:p>
            <w:pPr>
              <w:ind w:left="34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HT</w:t>
            </w:r>
            <w:r>
              <w:rPr>
                <w:rFonts w:ascii="Times New Roman" w:hAnsi="Times New Roman" w:eastAsia="Times New Roman" w:cs="Times New Roman"/>
                <w:sz w:val="20"/>
                <w:szCs w:val="20"/>
                <w:spacing w:val="12"/>
              </w:rPr>
              <w:t>2</w:t>
            </w:r>
          </w:p>
        </w:tc>
        <w:tc>
          <w:tcPr>
            <w:tcW w:w="1480" w:type="dxa"/>
            <w:vAlign w:val="top"/>
          </w:tcPr>
          <w:p>
            <w:pPr>
              <w:ind w:left="504"/>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180" w:type="dxa"/>
            <w:vAlign w:val="top"/>
          </w:tcPr>
          <w:p>
            <w:pPr>
              <w:pStyle w:val="TableText"/>
              <w:ind w:left="391"/>
              <w:spacing w:before="97" w:line="232" w:lineRule="auto"/>
              <w:rPr/>
            </w:pPr>
            <w:r>
              <w:rPr>
                <w:spacing w:val="2"/>
              </w:rPr>
              <w:t>黄色</w:t>
            </w:r>
          </w:p>
        </w:tc>
        <w:tc>
          <w:tcPr>
            <w:tcW w:w="1008" w:type="dxa"/>
            <w:vAlign w:val="top"/>
          </w:tcPr>
          <w:p>
            <w:pPr>
              <w:ind w:left="328"/>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5.26</w:t>
            </w:r>
          </w:p>
        </w:tc>
        <w:tc>
          <w:tcPr>
            <w:tcW w:w="1009" w:type="dxa"/>
            <w:vAlign w:val="top"/>
          </w:tcPr>
          <w:p>
            <w:pPr>
              <w:ind w:left="327"/>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6.47</w:t>
            </w:r>
          </w:p>
        </w:tc>
        <w:tc>
          <w:tcPr>
            <w:tcW w:w="1009" w:type="dxa"/>
            <w:vAlign w:val="top"/>
          </w:tcPr>
          <w:p>
            <w:pPr>
              <w:ind w:left="327"/>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4"/>
              </w:rPr>
              <w:t>12</w:t>
            </w:r>
          </w:p>
        </w:tc>
        <w:tc>
          <w:tcPr>
            <w:tcW w:w="1009" w:type="dxa"/>
            <w:vAlign w:val="top"/>
          </w:tcPr>
          <w:p>
            <w:pPr>
              <w:ind w:left="317"/>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&lt;0.5</w:t>
            </w:r>
          </w:p>
        </w:tc>
        <w:tc>
          <w:tcPr>
            <w:tcW w:w="1008" w:type="dxa"/>
            <w:vAlign w:val="top"/>
          </w:tcPr>
          <w:p>
            <w:pPr>
              <w:ind w:left="409"/>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w:t>
            </w:r>
          </w:p>
        </w:tc>
        <w:tc>
          <w:tcPr>
            <w:tcW w:w="1009" w:type="dxa"/>
            <w:vAlign w:val="top"/>
          </w:tcPr>
          <w:p>
            <w:pPr>
              <w:ind w:left="407"/>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009" w:type="dxa"/>
            <w:vAlign w:val="top"/>
          </w:tcPr>
          <w:p>
            <w:pPr>
              <w:ind w:left="276"/>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0.071</w:t>
            </w:r>
          </w:p>
        </w:tc>
        <w:tc>
          <w:tcPr>
            <w:tcW w:w="1009" w:type="dxa"/>
            <w:vAlign w:val="top"/>
          </w:tcPr>
          <w:p>
            <w:pPr>
              <w:ind w:left="408"/>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1009" w:type="dxa"/>
            <w:vAlign w:val="top"/>
          </w:tcPr>
          <w:p>
            <w:pPr>
              <w:ind w:left="406"/>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1009" w:type="dxa"/>
            <w:vAlign w:val="top"/>
          </w:tcPr>
          <w:p>
            <w:pPr>
              <w:ind w:left="406"/>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63</w:t>
            </w:r>
          </w:p>
        </w:tc>
        <w:tc>
          <w:tcPr>
            <w:tcW w:w="1025" w:type="dxa"/>
            <w:vAlign w:val="top"/>
          </w:tcPr>
          <w:p>
            <w:pPr>
              <w:ind w:left="363"/>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546</w:t>
            </w:r>
          </w:p>
        </w:tc>
      </w:tr>
      <w:tr>
        <w:trPr>
          <w:trHeight w:val="402" w:hRule="atLeast"/>
        </w:trPr>
        <w:tc>
          <w:tcPr>
            <w:tcW w:w="1068" w:type="dxa"/>
            <w:vAlign w:val="top"/>
          </w:tcPr>
          <w:p>
            <w:pPr>
              <w:ind w:left="348"/>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BT</w:t>
            </w:r>
            <w:r>
              <w:rPr>
                <w:rFonts w:ascii="Times New Roman" w:hAnsi="Times New Roman" w:eastAsia="Times New Roman" w:cs="Times New Roman"/>
                <w:sz w:val="20"/>
                <w:szCs w:val="20"/>
                <w:spacing w:val="11"/>
              </w:rPr>
              <w:t>1</w:t>
            </w:r>
          </w:p>
        </w:tc>
        <w:tc>
          <w:tcPr>
            <w:tcW w:w="1480" w:type="dxa"/>
            <w:vAlign w:val="top"/>
          </w:tcPr>
          <w:p>
            <w:pPr>
              <w:ind w:left="504"/>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180" w:type="dxa"/>
            <w:vAlign w:val="top"/>
          </w:tcPr>
          <w:p>
            <w:pPr>
              <w:pStyle w:val="TableText"/>
              <w:ind w:left="391"/>
              <w:spacing w:before="96" w:line="232" w:lineRule="auto"/>
              <w:rPr/>
            </w:pPr>
            <w:r>
              <w:rPr>
                <w:spacing w:val="2"/>
              </w:rPr>
              <w:t>黄色</w:t>
            </w:r>
          </w:p>
        </w:tc>
        <w:tc>
          <w:tcPr>
            <w:tcW w:w="1008" w:type="dxa"/>
            <w:vAlign w:val="top"/>
          </w:tcPr>
          <w:p>
            <w:pPr>
              <w:ind w:left="325"/>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7.63</w:t>
            </w:r>
          </w:p>
        </w:tc>
        <w:tc>
          <w:tcPr>
            <w:tcW w:w="1009" w:type="dxa"/>
            <w:vAlign w:val="top"/>
          </w:tcPr>
          <w:p>
            <w:pPr>
              <w:ind w:left="342"/>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12.3</w:t>
            </w:r>
          </w:p>
        </w:tc>
        <w:tc>
          <w:tcPr>
            <w:tcW w:w="1009" w:type="dxa"/>
            <w:vAlign w:val="top"/>
          </w:tcPr>
          <w:p>
            <w:pPr>
              <w:ind w:left="327"/>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0.51</w:t>
            </w:r>
          </w:p>
        </w:tc>
        <w:tc>
          <w:tcPr>
            <w:tcW w:w="1009" w:type="dxa"/>
            <w:vAlign w:val="top"/>
          </w:tcPr>
          <w:p>
            <w:pPr>
              <w:ind w:left="317"/>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&lt;0.5</w:t>
            </w:r>
          </w:p>
        </w:tc>
        <w:tc>
          <w:tcPr>
            <w:tcW w:w="1008" w:type="dxa"/>
            <w:vAlign w:val="top"/>
          </w:tcPr>
          <w:p>
            <w:pPr>
              <w:ind w:left="370"/>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101</w:t>
            </w:r>
          </w:p>
        </w:tc>
        <w:tc>
          <w:tcPr>
            <w:tcW w:w="1009" w:type="dxa"/>
            <w:vAlign w:val="top"/>
          </w:tcPr>
          <w:p>
            <w:pPr>
              <w:ind w:left="402"/>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w:t>
            </w:r>
          </w:p>
        </w:tc>
        <w:tc>
          <w:tcPr>
            <w:tcW w:w="1009" w:type="dxa"/>
            <w:vAlign w:val="top"/>
          </w:tcPr>
          <w:p>
            <w:pPr>
              <w:ind w:left="276"/>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0.151</w:t>
            </w:r>
          </w:p>
        </w:tc>
        <w:tc>
          <w:tcPr>
            <w:tcW w:w="1009" w:type="dxa"/>
            <w:vAlign w:val="top"/>
          </w:tcPr>
          <w:p>
            <w:pPr>
              <w:ind w:left="371"/>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c>
          <w:tcPr>
            <w:tcW w:w="1009" w:type="dxa"/>
            <w:vAlign w:val="top"/>
          </w:tcPr>
          <w:p>
            <w:pPr>
              <w:ind w:left="370"/>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114</w:t>
            </w:r>
          </w:p>
        </w:tc>
        <w:tc>
          <w:tcPr>
            <w:tcW w:w="1009" w:type="dxa"/>
            <w:vAlign w:val="top"/>
          </w:tcPr>
          <w:p>
            <w:pPr>
              <w:ind w:left="405"/>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73</w:t>
            </w:r>
          </w:p>
        </w:tc>
        <w:tc>
          <w:tcPr>
            <w:tcW w:w="1025" w:type="dxa"/>
            <w:vAlign w:val="top"/>
          </w:tcPr>
          <w:p>
            <w:pPr>
              <w:ind w:left="356"/>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436</w:t>
            </w:r>
          </w:p>
        </w:tc>
      </w:tr>
      <w:tr>
        <w:trPr>
          <w:trHeight w:val="402" w:hRule="atLeast"/>
        </w:trPr>
        <w:tc>
          <w:tcPr>
            <w:tcW w:w="1068" w:type="dxa"/>
            <w:vAlign w:val="top"/>
          </w:tcPr>
          <w:p>
            <w:pPr>
              <w:ind w:left="34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DT</w:t>
            </w:r>
            <w:r>
              <w:rPr>
                <w:rFonts w:ascii="Times New Roman" w:hAnsi="Times New Roman" w:eastAsia="Times New Roman" w:cs="Times New Roman"/>
                <w:sz w:val="20"/>
                <w:szCs w:val="20"/>
                <w:spacing w:val="12"/>
              </w:rPr>
              <w:t>1</w:t>
            </w:r>
          </w:p>
        </w:tc>
        <w:tc>
          <w:tcPr>
            <w:tcW w:w="1480" w:type="dxa"/>
            <w:vAlign w:val="top"/>
          </w:tcPr>
          <w:p>
            <w:pPr>
              <w:ind w:left="504"/>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180" w:type="dxa"/>
            <w:vAlign w:val="top"/>
          </w:tcPr>
          <w:p>
            <w:pPr>
              <w:pStyle w:val="TableText"/>
              <w:ind w:left="289"/>
              <w:spacing w:before="97" w:line="232" w:lineRule="auto"/>
              <w:rPr/>
            </w:pPr>
            <w:r>
              <w:rPr>
                <w:spacing w:val="3"/>
              </w:rPr>
              <w:t>浅黄色</w:t>
            </w:r>
          </w:p>
        </w:tc>
        <w:tc>
          <w:tcPr>
            <w:tcW w:w="1008" w:type="dxa"/>
            <w:vAlign w:val="top"/>
          </w:tcPr>
          <w:p>
            <w:pPr>
              <w:ind w:left="378"/>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7.9</w:t>
            </w:r>
          </w:p>
        </w:tc>
        <w:tc>
          <w:tcPr>
            <w:tcW w:w="1009" w:type="dxa"/>
            <w:vAlign w:val="top"/>
          </w:tcPr>
          <w:p>
            <w:pPr>
              <w:ind w:left="342"/>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10.6</w:t>
            </w:r>
          </w:p>
        </w:tc>
        <w:tc>
          <w:tcPr>
            <w:tcW w:w="1009" w:type="dxa"/>
            <w:vAlign w:val="top"/>
          </w:tcPr>
          <w:p>
            <w:pPr>
              <w:ind w:left="328"/>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6.04</w:t>
            </w:r>
          </w:p>
        </w:tc>
        <w:tc>
          <w:tcPr>
            <w:tcW w:w="1009" w:type="dxa"/>
            <w:vAlign w:val="top"/>
          </w:tcPr>
          <w:p>
            <w:pPr>
              <w:ind w:left="317"/>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&lt;0.5</w:t>
            </w:r>
          </w:p>
        </w:tc>
        <w:tc>
          <w:tcPr>
            <w:tcW w:w="1008" w:type="dxa"/>
            <w:vAlign w:val="top"/>
          </w:tcPr>
          <w:p>
            <w:pPr>
              <w:ind w:left="35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821</w:t>
            </w:r>
          </w:p>
        </w:tc>
        <w:tc>
          <w:tcPr>
            <w:tcW w:w="1009" w:type="dxa"/>
            <w:vAlign w:val="top"/>
          </w:tcPr>
          <w:p>
            <w:pPr>
              <w:ind w:left="370"/>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101</w:t>
            </w:r>
          </w:p>
        </w:tc>
        <w:tc>
          <w:tcPr>
            <w:tcW w:w="1009" w:type="dxa"/>
            <w:vAlign w:val="top"/>
          </w:tcPr>
          <w:p>
            <w:pPr>
              <w:ind w:left="276"/>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spacing w:val="-3"/>
              </w:rPr>
              <w:t>144</w:t>
            </w:r>
          </w:p>
        </w:tc>
        <w:tc>
          <w:tcPr>
            <w:tcW w:w="1009" w:type="dxa"/>
            <w:vAlign w:val="top"/>
          </w:tcPr>
          <w:p>
            <w:pPr>
              <w:ind w:left="354"/>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725</w:t>
            </w:r>
          </w:p>
        </w:tc>
        <w:tc>
          <w:tcPr>
            <w:tcW w:w="1009" w:type="dxa"/>
            <w:vAlign w:val="top"/>
          </w:tcPr>
          <w:p>
            <w:pPr>
              <w:ind w:left="34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484</w:t>
            </w:r>
          </w:p>
        </w:tc>
        <w:tc>
          <w:tcPr>
            <w:tcW w:w="1009" w:type="dxa"/>
            <w:vAlign w:val="top"/>
          </w:tcPr>
          <w:p>
            <w:pPr>
              <w:ind w:left="37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153</w:t>
            </w:r>
          </w:p>
        </w:tc>
        <w:tc>
          <w:tcPr>
            <w:tcW w:w="1025" w:type="dxa"/>
            <w:vAlign w:val="top"/>
          </w:tcPr>
          <w:p>
            <w:pPr>
              <w:ind w:left="363"/>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542</w:t>
            </w:r>
          </w:p>
        </w:tc>
      </w:tr>
      <w:tr>
        <w:trPr>
          <w:trHeight w:val="401" w:hRule="atLeast"/>
        </w:trPr>
        <w:tc>
          <w:tcPr>
            <w:tcW w:w="1068" w:type="dxa"/>
            <w:vAlign w:val="top"/>
          </w:tcPr>
          <w:p>
            <w:pPr>
              <w:ind w:left="341"/>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HT</w:t>
            </w:r>
            <w:r>
              <w:rPr>
                <w:rFonts w:ascii="Times New Roman" w:hAnsi="Times New Roman" w:eastAsia="Times New Roman" w:cs="Times New Roman"/>
                <w:sz w:val="20"/>
                <w:szCs w:val="20"/>
                <w:spacing w:val="12"/>
              </w:rPr>
              <w:t>1</w:t>
            </w:r>
          </w:p>
        </w:tc>
        <w:tc>
          <w:tcPr>
            <w:tcW w:w="1480" w:type="dxa"/>
            <w:vAlign w:val="top"/>
          </w:tcPr>
          <w:p>
            <w:pPr>
              <w:ind w:left="504"/>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180" w:type="dxa"/>
            <w:vAlign w:val="top"/>
          </w:tcPr>
          <w:p>
            <w:pPr>
              <w:pStyle w:val="TableText"/>
              <w:ind w:left="289"/>
              <w:spacing w:before="95" w:line="232" w:lineRule="auto"/>
              <w:rPr/>
            </w:pPr>
            <w:r>
              <w:rPr>
                <w:spacing w:val="3"/>
              </w:rPr>
              <w:t>浅黄色</w:t>
            </w:r>
          </w:p>
        </w:tc>
        <w:tc>
          <w:tcPr>
            <w:tcW w:w="1008" w:type="dxa"/>
            <w:vAlign w:val="top"/>
          </w:tcPr>
          <w:p>
            <w:pPr>
              <w:ind w:left="328"/>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5.83</w:t>
            </w:r>
          </w:p>
        </w:tc>
        <w:tc>
          <w:tcPr>
            <w:tcW w:w="1009" w:type="dxa"/>
            <w:vAlign w:val="top"/>
          </w:tcPr>
          <w:p>
            <w:pPr>
              <w:ind w:left="326"/>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9.75</w:t>
            </w:r>
          </w:p>
        </w:tc>
        <w:tc>
          <w:tcPr>
            <w:tcW w:w="1009" w:type="dxa"/>
            <w:vAlign w:val="top"/>
          </w:tcPr>
          <w:p>
            <w:pPr>
              <w:ind w:left="328"/>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3.69</w:t>
            </w:r>
          </w:p>
        </w:tc>
        <w:tc>
          <w:tcPr>
            <w:tcW w:w="1009" w:type="dxa"/>
            <w:vAlign w:val="top"/>
          </w:tcPr>
          <w:p>
            <w:pPr>
              <w:ind w:left="317"/>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&lt;0.5</w:t>
            </w:r>
          </w:p>
        </w:tc>
        <w:tc>
          <w:tcPr>
            <w:tcW w:w="1008" w:type="dxa"/>
            <w:vAlign w:val="top"/>
          </w:tcPr>
          <w:p>
            <w:pPr>
              <w:ind w:left="350"/>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273</w:t>
            </w:r>
          </w:p>
        </w:tc>
        <w:tc>
          <w:tcPr>
            <w:tcW w:w="1009" w:type="dxa"/>
            <w:vAlign w:val="top"/>
          </w:tcPr>
          <w:p>
            <w:pPr>
              <w:ind w:left="406"/>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73</w:t>
            </w:r>
          </w:p>
        </w:tc>
        <w:tc>
          <w:tcPr>
            <w:tcW w:w="1009" w:type="dxa"/>
            <w:vAlign w:val="top"/>
          </w:tcPr>
          <w:p>
            <w:pPr>
              <w:ind w:left="276"/>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0.095</w:t>
            </w:r>
          </w:p>
        </w:tc>
        <w:tc>
          <w:tcPr>
            <w:tcW w:w="1009" w:type="dxa"/>
            <w:vAlign w:val="top"/>
          </w:tcPr>
          <w:p>
            <w:pPr>
              <w:ind w:left="402"/>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43</w:t>
            </w:r>
          </w:p>
        </w:tc>
        <w:tc>
          <w:tcPr>
            <w:tcW w:w="1009" w:type="dxa"/>
            <w:vAlign w:val="top"/>
          </w:tcPr>
          <w:p>
            <w:pPr>
              <w:ind w:left="350"/>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205</w:t>
            </w:r>
          </w:p>
        </w:tc>
        <w:tc>
          <w:tcPr>
            <w:tcW w:w="1009" w:type="dxa"/>
            <w:vAlign w:val="top"/>
          </w:tcPr>
          <w:p>
            <w:pPr>
              <w:ind w:left="406"/>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tc>
        <w:tc>
          <w:tcPr>
            <w:tcW w:w="1025" w:type="dxa"/>
            <w:vAlign w:val="top"/>
          </w:tcPr>
          <w:p>
            <w:pPr>
              <w:ind w:left="363"/>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540</w:t>
            </w:r>
          </w:p>
        </w:tc>
      </w:tr>
      <w:tr>
        <w:trPr>
          <w:trHeight w:val="402" w:hRule="atLeast"/>
        </w:trPr>
        <w:tc>
          <w:tcPr>
            <w:tcW w:w="1068" w:type="dxa"/>
            <w:vAlign w:val="top"/>
          </w:tcPr>
          <w:p>
            <w:pPr>
              <w:ind w:left="352"/>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CT</w:t>
            </w:r>
            <w:r>
              <w:rPr>
                <w:rFonts w:ascii="Times New Roman" w:hAnsi="Times New Roman" w:eastAsia="Times New Roman" w:cs="Times New Roman"/>
                <w:sz w:val="20"/>
                <w:szCs w:val="20"/>
                <w:spacing w:val="7"/>
              </w:rPr>
              <w:t>2</w:t>
            </w:r>
          </w:p>
        </w:tc>
        <w:tc>
          <w:tcPr>
            <w:tcW w:w="1480" w:type="dxa"/>
            <w:vAlign w:val="top"/>
          </w:tcPr>
          <w:p>
            <w:pPr>
              <w:ind w:left="504"/>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180" w:type="dxa"/>
            <w:vAlign w:val="top"/>
          </w:tcPr>
          <w:p>
            <w:pPr>
              <w:pStyle w:val="TableText"/>
              <w:ind w:left="391"/>
              <w:spacing w:before="97" w:line="232" w:lineRule="auto"/>
              <w:rPr/>
            </w:pPr>
            <w:r>
              <w:rPr>
                <w:spacing w:val="2"/>
              </w:rPr>
              <w:t>黄色</w:t>
            </w:r>
          </w:p>
        </w:tc>
        <w:tc>
          <w:tcPr>
            <w:tcW w:w="1008" w:type="dxa"/>
            <w:vAlign w:val="top"/>
          </w:tcPr>
          <w:p>
            <w:pPr>
              <w:ind w:left="32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4.93</w:t>
            </w:r>
          </w:p>
        </w:tc>
        <w:tc>
          <w:tcPr>
            <w:tcW w:w="1009" w:type="dxa"/>
            <w:vAlign w:val="top"/>
          </w:tcPr>
          <w:p>
            <w:pPr>
              <w:ind w:left="326"/>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9.65</w:t>
            </w:r>
          </w:p>
        </w:tc>
        <w:tc>
          <w:tcPr>
            <w:tcW w:w="1009" w:type="dxa"/>
            <w:vAlign w:val="top"/>
          </w:tcPr>
          <w:p>
            <w:pPr>
              <w:ind w:left="322"/>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4.39</w:t>
            </w:r>
          </w:p>
        </w:tc>
        <w:tc>
          <w:tcPr>
            <w:tcW w:w="1009" w:type="dxa"/>
            <w:vAlign w:val="top"/>
          </w:tcPr>
          <w:p>
            <w:pPr>
              <w:ind w:left="317"/>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&lt;0.5</w:t>
            </w:r>
          </w:p>
        </w:tc>
        <w:tc>
          <w:tcPr>
            <w:tcW w:w="1008" w:type="dxa"/>
            <w:vAlign w:val="top"/>
          </w:tcPr>
          <w:p>
            <w:pPr>
              <w:ind w:left="370"/>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137</w:t>
            </w:r>
          </w:p>
        </w:tc>
        <w:tc>
          <w:tcPr>
            <w:tcW w:w="1009" w:type="dxa"/>
            <w:vAlign w:val="top"/>
          </w:tcPr>
          <w:p>
            <w:pPr>
              <w:ind w:left="403"/>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29</w:t>
            </w:r>
          </w:p>
        </w:tc>
        <w:tc>
          <w:tcPr>
            <w:tcW w:w="1009" w:type="dxa"/>
            <w:vAlign w:val="top"/>
          </w:tcPr>
          <w:p>
            <w:pPr>
              <w:ind w:left="276"/>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0.068</w:t>
            </w:r>
          </w:p>
        </w:tc>
        <w:tc>
          <w:tcPr>
            <w:tcW w:w="1009" w:type="dxa"/>
            <w:vAlign w:val="top"/>
          </w:tcPr>
          <w:p>
            <w:pPr>
              <w:ind w:left="35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207</w:t>
            </w:r>
          </w:p>
        </w:tc>
        <w:tc>
          <w:tcPr>
            <w:tcW w:w="1009" w:type="dxa"/>
            <w:vAlign w:val="top"/>
          </w:tcPr>
          <w:p>
            <w:pPr>
              <w:ind w:left="350"/>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200</w:t>
            </w:r>
          </w:p>
        </w:tc>
        <w:tc>
          <w:tcPr>
            <w:tcW w:w="1009" w:type="dxa"/>
            <w:vAlign w:val="top"/>
          </w:tcPr>
          <w:p>
            <w:pPr>
              <w:ind w:left="37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134</w:t>
            </w:r>
          </w:p>
        </w:tc>
        <w:tc>
          <w:tcPr>
            <w:tcW w:w="1025" w:type="dxa"/>
            <w:vAlign w:val="top"/>
          </w:tcPr>
          <w:p>
            <w:pPr>
              <w:ind w:left="356"/>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422</w:t>
            </w:r>
          </w:p>
        </w:tc>
      </w:tr>
      <w:tr>
        <w:trPr>
          <w:trHeight w:val="402" w:hRule="atLeast"/>
        </w:trPr>
        <w:tc>
          <w:tcPr>
            <w:tcW w:w="1068" w:type="dxa"/>
            <w:vAlign w:val="top"/>
          </w:tcPr>
          <w:p>
            <w:pPr>
              <w:ind w:left="360"/>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FT</w:t>
            </w:r>
            <w:r>
              <w:rPr>
                <w:rFonts w:ascii="Times New Roman" w:hAnsi="Times New Roman" w:eastAsia="Times New Roman" w:cs="Times New Roman"/>
                <w:sz w:val="20"/>
                <w:szCs w:val="20"/>
                <w:spacing w:val="10"/>
              </w:rPr>
              <w:t>1</w:t>
            </w:r>
          </w:p>
        </w:tc>
        <w:tc>
          <w:tcPr>
            <w:tcW w:w="1480" w:type="dxa"/>
            <w:vAlign w:val="top"/>
          </w:tcPr>
          <w:p>
            <w:pPr>
              <w:ind w:left="504"/>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180" w:type="dxa"/>
            <w:vAlign w:val="top"/>
          </w:tcPr>
          <w:p>
            <w:pPr>
              <w:pStyle w:val="TableText"/>
              <w:ind w:left="391"/>
              <w:spacing w:before="96" w:line="232" w:lineRule="auto"/>
              <w:rPr/>
            </w:pPr>
            <w:r>
              <w:rPr>
                <w:spacing w:val="2"/>
              </w:rPr>
              <w:t>黄色</w:t>
            </w:r>
          </w:p>
        </w:tc>
        <w:tc>
          <w:tcPr>
            <w:tcW w:w="1008" w:type="dxa"/>
            <w:vAlign w:val="top"/>
          </w:tcPr>
          <w:p>
            <w:pPr>
              <w:ind w:left="328"/>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5.07</w:t>
            </w:r>
          </w:p>
        </w:tc>
        <w:tc>
          <w:tcPr>
            <w:tcW w:w="1009" w:type="dxa"/>
            <w:vAlign w:val="top"/>
          </w:tcPr>
          <w:p>
            <w:pPr>
              <w:ind w:left="342"/>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11.9</w:t>
            </w:r>
          </w:p>
        </w:tc>
        <w:tc>
          <w:tcPr>
            <w:tcW w:w="1009" w:type="dxa"/>
            <w:vAlign w:val="top"/>
          </w:tcPr>
          <w:p>
            <w:pPr>
              <w:ind w:left="382"/>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1009" w:type="dxa"/>
            <w:vAlign w:val="top"/>
          </w:tcPr>
          <w:p>
            <w:pPr>
              <w:ind w:left="317"/>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&lt;0.5</w:t>
            </w:r>
          </w:p>
        </w:tc>
        <w:tc>
          <w:tcPr>
            <w:tcW w:w="1008" w:type="dxa"/>
            <w:vAlign w:val="top"/>
          </w:tcPr>
          <w:p>
            <w:pPr>
              <w:ind w:left="370"/>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157</w:t>
            </w:r>
          </w:p>
        </w:tc>
        <w:tc>
          <w:tcPr>
            <w:tcW w:w="1009" w:type="dxa"/>
            <w:vAlign w:val="top"/>
          </w:tcPr>
          <w:p>
            <w:pPr>
              <w:ind w:left="402"/>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w:t>
            </w:r>
          </w:p>
        </w:tc>
        <w:tc>
          <w:tcPr>
            <w:tcW w:w="1009" w:type="dxa"/>
            <w:vAlign w:val="top"/>
          </w:tcPr>
          <w:p>
            <w:pPr>
              <w:ind w:left="276"/>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0.067</w:t>
            </w:r>
          </w:p>
        </w:tc>
        <w:tc>
          <w:tcPr>
            <w:tcW w:w="1009" w:type="dxa"/>
            <w:vAlign w:val="top"/>
          </w:tcPr>
          <w:p>
            <w:pPr>
              <w:ind w:left="37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143</w:t>
            </w:r>
          </w:p>
        </w:tc>
        <w:tc>
          <w:tcPr>
            <w:tcW w:w="1009" w:type="dxa"/>
            <w:vAlign w:val="top"/>
          </w:tcPr>
          <w:p>
            <w:pPr>
              <w:ind w:left="350"/>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298</w:t>
            </w:r>
          </w:p>
        </w:tc>
        <w:tc>
          <w:tcPr>
            <w:tcW w:w="1009" w:type="dxa"/>
            <w:vAlign w:val="top"/>
          </w:tcPr>
          <w:p>
            <w:pPr>
              <w:ind w:left="37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159</w:t>
            </w:r>
          </w:p>
        </w:tc>
        <w:tc>
          <w:tcPr>
            <w:tcW w:w="1025" w:type="dxa"/>
            <w:vAlign w:val="top"/>
          </w:tcPr>
          <w:p>
            <w:pPr>
              <w:ind w:left="356"/>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454</w:t>
            </w:r>
          </w:p>
        </w:tc>
      </w:tr>
      <w:tr>
        <w:trPr>
          <w:trHeight w:val="402" w:hRule="atLeast"/>
        </w:trPr>
        <w:tc>
          <w:tcPr>
            <w:tcW w:w="1068" w:type="dxa"/>
            <w:vAlign w:val="top"/>
          </w:tcPr>
          <w:p>
            <w:pPr>
              <w:ind w:left="345"/>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GT</w:t>
            </w:r>
            <w:r>
              <w:rPr>
                <w:rFonts w:ascii="Times New Roman" w:hAnsi="Times New Roman" w:eastAsia="Times New Roman" w:cs="Times New Roman"/>
                <w:sz w:val="20"/>
                <w:szCs w:val="20"/>
                <w:spacing w:val="8"/>
              </w:rPr>
              <w:t>1</w:t>
            </w:r>
          </w:p>
        </w:tc>
        <w:tc>
          <w:tcPr>
            <w:tcW w:w="1480" w:type="dxa"/>
            <w:vAlign w:val="top"/>
          </w:tcPr>
          <w:p>
            <w:pPr>
              <w:ind w:left="504"/>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180" w:type="dxa"/>
            <w:vAlign w:val="top"/>
          </w:tcPr>
          <w:p>
            <w:pPr>
              <w:pStyle w:val="TableText"/>
              <w:ind w:left="391"/>
              <w:spacing w:before="97" w:line="232" w:lineRule="auto"/>
              <w:rPr/>
            </w:pPr>
            <w:r>
              <w:rPr>
                <w:spacing w:val="2"/>
              </w:rPr>
              <w:t>黄色</w:t>
            </w:r>
          </w:p>
        </w:tc>
        <w:tc>
          <w:tcPr>
            <w:tcW w:w="1008" w:type="dxa"/>
            <w:vAlign w:val="top"/>
          </w:tcPr>
          <w:p>
            <w:pPr>
              <w:ind w:left="32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4.85</w:t>
            </w:r>
          </w:p>
        </w:tc>
        <w:tc>
          <w:tcPr>
            <w:tcW w:w="1009" w:type="dxa"/>
            <w:vAlign w:val="top"/>
          </w:tcPr>
          <w:p>
            <w:pPr>
              <w:ind w:left="330"/>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8.93</w:t>
            </w:r>
          </w:p>
        </w:tc>
        <w:tc>
          <w:tcPr>
            <w:tcW w:w="1009" w:type="dxa"/>
            <w:vAlign w:val="top"/>
          </w:tcPr>
          <w:p>
            <w:pPr>
              <w:ind w:left="323"/>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2.44</w:t>
            </w:r>
          </w:p>
        </w:tc>
        <w:tc>
          <w:tcPr>
            <w:tcW w:w="1009" w:type="dxa"/>
            <w:vAlign w:val="top"/>
          </w:tcPr>
          <w:p>
            <w:pPr>
              <w:ind w:left="317"/>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&lt;0.5</w:t>
            </w:r>
          </w:p>
        </w:tc>
        <w:tc>
          <w:tcPr>
            <w:tcW w:w="1008" w:type="dxa"/>
            <w:vAlign w:val="top"/>
          </w:tcPr>
          <w:p>
            <w:pPr>
              <w:ind w:left="404"/>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71</w:t>
            </w:r>
          </w:p>
        </w:tc>
        <w:tc>
          <w:tcPr>
            <w:tcW w:w="1009" w:type="dxa"/>
            <w:vAlign w:val="top"/>
          </w:tcPr>
          <w:p>
            <w:pPr>
              <w:ind w:left="407"/>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1009" w:type="dxa"/>
            <w:vAlign w:val="top"/>
          </w:tcPr>
          <w:p>
            <w:pPr>
              <w:ind w:left="276"/>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0.071</w:t>
            </w:r>
          </w:p>
        </w:tc>
        <w:tc>
          <w:tcPr>
            <w:tcW w:w="1009" w:type="dxa"/>
            <w:vAlign w:val="top"/>
          </w:tcPr>
          <w:p>
            <w:pPr>
              <w:ind w:left="412"/>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88</w:t>
            </w:r>
          </w:p>
        </w:tc>
        <w:tc>
          <w:tcPr>
            <w:tcW w:w="1009" w:type="dxa"/>
            <w:vAlign w:val="top"/>
          </w:tcPr>
          <w:p>
            <w:pPr>
              <w:ind w:left="370"/>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141</w:t>
            </w:r>
          </w:p>
        </w:tc>
        <w:tc>
          <w:tcPr>
            <w:tcW w:w="1009" w:type="dxa"/>
            <w:vAlign w:val="top"/>
          </w:tcPr>
          <w:p>
            <w:pPr>
              <w:ind w:left="405"/>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94</w:t>
            </w:r>
          </w:p>
        </w:tc>
        <w:tc>
          <w:tcPr>
            <w:tcW w:w="1025" w:type="dxa"/>
            <w:vAlign w:val="top"/>
          </w:tcPr>
          <w:p>
            <w:pPr>
              <w:ind w:left="356"/>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421</w:t>
            </w:r>
          </w:p>
        </w:tc>
      </w:tr>
      <w:tr>
        <w:trPr>
          <w:trHeight w:val="401" w:hRule="atLeast"/>
        </w:trPr>
        <w:tc>
          <w:tcPr>
            <w:tcW w:w="1068" w:type="dxa"/>
            <w:vAlign w:val="top"/>
          </w:tcPr>
          <w:p>
            <w:pPr>
              <w:ind w:left="345"/>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GT</w:t>
            </w:r>
            <w:r>
              <w:rPr>
                <w:rFonts w:ascii="Times New Roman" w:hAnsi="Times New Roman" w:eastAsia="Times New Roman" w:cs="Times New Roman"/>
                <w:sz w:val="20"/>
                <w:szCs w:val="20"/>
                <w:spacing w:val="8"/>
              </w:rPr>
              <w:t>2</w:t>
            </w:r>
          </w:p>
        </w:tc>
        <w:tc>
          <w:tcPr>
            <w:tcW w:w="1480" w:type="dxa"/>
            <w:vAlign w:val="top"/>
          </w:tcPr>
          <w:p>
            <w:pPr>
              <w:ind w:left="504"/>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180" w:type="dxa"/>
            <w:vAlign w:val="top"/>
          </w:tcPr>
          <w:p>
            <w:pPr>
              <w:pStyle w:val="TableText"/>
              <w:ind w:left="391"/>
              <w:spacing w:before="98" w:line="232" w:lineRule="auto"/>
              <w:rPr/>
            </w:pPr>
            <w:r>
              <w:rPr>
                <w:spacing w:val="2"/>
              </w:rPr>
              <w:t>黄色</w:t>
            </w:r>
          </w:p>
        </w:tc>
        <w:tc>
          <w:tcPr>
            <w:tcW w:w="1008" w:type="dxa"/>
            <w:vAlign w:val="top"/>
          </w:tcPr>
          <w:p>
            <w:pPr>
              <w:ind w:left="328"/>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5.83</w:t>
            </w:r>
          </w:p>
        </w:tc>
        <w:tc>
          <w:tcPr>
            <w:tcW w:w="1009" w:type="dxa"/>
            <w:vAlign w:val="top"/>
          </w:tcPr>
          <w:p>
            <w:pPr>
              <w:ind w:left="407"/>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1009" w:type="dxa"/>
            <w:vAlign w:val="top"/>
          </w:tcPr>
          <w:p>
            <w:pPr>
              <w:ind w:left="328"/>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37.9</w:t>
            </w:r>
          </w:p>
        </w:tc>
        <w:tc>
          <w:tcPr>
            <w:tcW w:w="1009" w:type="dxa"/>
            <w:vAlign w:val="top"/>
          </w:tcPr>
          <w:p>
            <w:pPr>
              <w:ind w:left="378"/>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0.7</w:t>
            </w:r>
          </w:p>
        </w:tc>
        <w:tc>
          <w:tcPr>
            <w:tcW w:w="1008" w:type="dxa"/>
            <w:vAlign w:val="top"/>
          </w:tcPr>
          <w:p>
            <w:pPr>
              <w:ind w:left="133"/>
              <w:spacing w:before="114"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2"/>
              </w:rPr>
              <w:t>8.01×10</w:t>
            </w:r>
            <w:r>
              <w:rPr>
                <w:rFonts w:ascii="Times New Roman" w:hAnsi="Times New Roman" w:eastAsia="Times New Roman" w:cs="Times New Roman"/>
                <w:sz w:val="13"/>
                <w:szCs w:val="13"/>
                <w:spacing w:val="2"/>
                <w:position w:val="6"/>
              </w:rPr>
              <w:t>3</w:t>
            </w:r>
          </w:p>
        </w:tc>
        <w:tc>
          <w:tcPr>
            <w:tcW w:w="1009" w:type="dxa"/>
            <w:vAlign w:val="top"/>
          </w:tcPr>
          <w:p>
            <w:pPr>
              <w:ind w:left="408"/>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1009" w:type="dxa"/>
            <w:vAlign w:val="top"/>
          </w:tcPr>
          <w:p>
            <w:pPr>
              <w:ind w:left="276"/>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0.234</w:t>
            </w:r>
          </w:p>
        </w:tc>
        <w:tc>
          <w:tcPr>
            <w:tcW w:w="1009" w:type="dxa"/>
            <w:vAlign w:val="top"/>
          </w:tcPr>
          <w:p>
            <w:pPr>
              <w:ind w:left="350"/>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453</w:t>
            </w:r>
          </w:p>
        </w:tc>
        <w:tc>
          <w:tcPr>
            <w:tcW w:w="1009" w:type="dxa"/>
            <w:vAlign w:val="top"/>
          </w:tcPr>
          <w:p>
            <w:pPr>
              <w:ind w:left="131"/>
              <w:spacing w:before="114"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3.98×10</w:t>
            </w:r>
            <w:r>
              <w:rPr>
                <w:rFonts w:ascii="Times New Roman" w:hAnsi="Times New Roman" w:eastAsia="Times New Roman" w:cs="Times New Roman"/>
                <w:sz w:val="13"/>
                <w:szCs w:val="13"/>
                <w:spacing w:val="3"/>
                <w:position w:val="6"/>
              </w:rPr>
              <w:t>3</w:t>
            </w:r>
          </w:p>
        </w:tc>
        <w:tc>
          <w:tcPr>
            <w:tcW w:w="1009" w:type="dxa"/>
            <w:vAlign w:val="top"/>
          </w:tcPr>
          <w:p>
            <w:pPr>
              <w:ind w:left="354"/>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763</w:t>
            </w:r>
          </w:p>
        </w:tc>
        <w:tc>
          <w:tcPr>
            <w:tcW w:w="1025" w:type="dxa"/>
            <w:vAlign w:val="top"/>
          </w:tcPr>
          <w:p>
            <w:pPr>
              <w:ind w:left="363"/>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572</w:t>
            </w:r>
          </w:p>
        </w:tc>
      </w:tr>
      <w:tr>
        <w:trPr>
          <w:trHeight w:val="406" w:hRule="atLeast"/>
        </w:trPr>
        <w:tc>
          <w:tcPr>
            <w:tcW w:w="14841" w:type="dxa"/>
            <w:vAlign w:val="top"/>
            <w:gridSpan w:val="14"/>
          </w:tcPr>
          <w:p>
            <w:pPr>
              <w:pStyle w:val="TableText"/>
              <w:ind w:left="127"/>
              <w:spacing w:before="97" w:line="229" w:lineRule="auto"/>
              <w:rPr/>
            </w:pPr>
            <w:r>
              <w:rPr>
                <w:spacing w:val="7"/>
              </w:rPr>
              <w:t>注：未列出指标均未检出。</w:t>
            </w:r>
          </w:p>
        </w:tc>
      </w:tr>
    </w:tbl>
    <w:p>
      <w:pPr>
        <w:rPr>
          <w:rFonts w:ascii="Arial"/>
          <w:sz w:val="21"/>
        </w:rPr>
      </w:pPr>
      <w:r/>
    </w:p>
    <w:p>
      <w:pPr>
        <w:sectPr>
          <w:headerReference w:type="default" r:id="rId32"/>
          <w:footerReference w:type="default" r:id="rId33"/>
          <w:pgSz w:w="16839" w:h="11906"/>
          <w:pgMar w:top="1025" w:right="1024" w:bottom="998" w:left="967" w:header="716" w:footer="835" w:gutter="0"/>
        </w:sectPr>
        <w:rPr>
          <w:rFonts w:ascii="Arial" w:hAnsi="Arial" w:eastAsia="Arial" w:cs="Arial"/>
          <w:sz w:val="21"/>
          <w:szCs w:val="21"/>
        </w:rPr>
      </w:pPr>
    </w:p>
    <w:p>
      <w:pPr>
        <w:spacing w:line="371" w:lineRule="auto"/>
        <w:rPr>
          <w:rFonts w:ascii="Arial"/>
          <w:sz w:val="21"/>
        </w:rPr>
      </w:pPr>
      <w:r/>
    </w:p>
    <w:p>
      <w:pPr>
        <w:pStyle w:val="BodyText"/>
        <w:ind w:left="5099"/>
        <w:spacing w:before="78" w:line="210" w:lineRule="auto"/>
        <w:rPr>
          <w:rFonts w:ascii="FangSong" w:hAnsi="FangSong" w:eastAsia="FangSong" w:cs="FangSong"/>
          <w:sz w:val="24"/>
          <w:szCs w:val="24"/>
        </w:rPr>
      </w:pPr>
      <w:r>
        <w:rPr>
          <w:rFonts w:ascii="FangSong" w:hAnsi="FangSong" w:eastAsia="FangSong" w:cs="FangSong"/>
          <w:sz w:val="24"/>
          <w:szCs w:val="24"/>
          <w:b/>
          <w:bCs/>
          <w:spacing w:val="-1"/>
        </w:rPr>
        <w:t>续表</w:t>
      </w:r>
      <w:r>
        <w:rPr>
          <w:sz w:val="24"/>
          <w:szCs w:val="24"/>
          <w:b/>
          <w:bCs/>
          <w:spacing w:val="-1"/>
        </w:rPr>
        <w:t>2.3-1 2024</w:t>
      </w:r>
      <w:r>
        <w:rPr>
          <w:rFonts w:ascii="FangSong" w:hAnsi="FangSong" w:eastAsia="FangSong" w:cs="FangSong"/>
          <w:sz w:val="24"/>
          <w:szCs w:val="24"/>
          <w:b/>
          <w:bCs/>
          <w:spacing w:val="-1"/>
        </w:rPr>
        <w:t>年度土壤环境质量监测结果（有检出）</w:t>
      </w:r>
      <w:r>
        <w:rPr>
          <w:rFonts w:ascii="FangSong" w:hAnsi="FangSong" w:eastAsia="FangSong" w:cs="FangSong"/>
          <w:sz w:val="24"/>
          <w:szCs w:val="24"/>
          <w:spacing w:val="-1"/>
        </w:rPr>
        <w:t xml:space="preserve">      </w:t>
      </w:r>
      <w:r>
        <w:rPr>
          <w:rFonts w:ascii="FangSong" w:hAnsi="FangSong" w:eastAsia="FangSong" w:cs="FangSong"/>
          <w:sz w:val="24"/>
          <w:szCs w:val="24"/>
          <w:b/>
          <w:bCs/>
          <w:spacing w:val="-1"/>
        </w:rPr>
        <w:t>单位：</w:t>
      </w:r>
      <w:r>
        <w:rPr>
          <w:sz w:val="24"/>
          <w:szCs w:val="24"/>
          <w:b/>
          <w:bCs/>
          <w:spacing w:val="-1"/>
        </w:rPr>
        <w:t>m</w:t>
      </w:r>
      <w:r>
        <w:rPr>
          <w:sz w:val="24"/>
          <w:szCs w:val="24"/>
          <w:b/>
          <w:bCs/>
          <w:spacing w:val="-2"/>
        </w:rPr>
        <w:t>g/kg</w:t>
      </w:r>
      <w:r>
        <w:rPr>
          <w:rFonts w:ascii="FangSong" w:hAnsi="FangSong" w:eastAsia="FangSong" w:cs="FangSong"/>
          <w:sz w:val="24"/>
          <w:szCs w:val="24"/>
          <w:b/>
          <w:bCs/>
          <w:spacing w:val="-2"/>
        </w:rPr>
        <w:t>（</w:t>
      </w:r>
      <w:r>
        <w:rPr>
          <w:sz w:val="24"/>
          <w:szCs w:val="24"/>
          <w:b/>
          <w:bCs/>
          <w:spacing w:val="-2"/>
        </w:rPr>
        <w:t>pH</w:t>
      </w:r>
      <w:r>
        <w:rPr>
          <w:rFonts w:ascii="FangSong" w:hAnsi="FangSong" w:eastAsia="FangSong" w:cs="FangSong"/>
          <w:sz w:val="24"/>
          <w:szCs w:val="24"/>
          <w:b/>
          <w:bCs/>
          <w:spacing w:val="-2"/>
        </w:rPr>
        <w:t>值：无量纲）</w:t>
      </w:r>
    </w:p>
    <w:p>
      <w:pPr>
        <w:spacing w:line="15" w:lineRule="auto"/>
        <w:rPr>
          <w:rFonts w:ascii="Arial"/>
          <w:sz w:val="2"/>
        </w:rPr>
      </w:pPr>
      <w:r>
        <w:rPr>
          <w:rFonts w:ascii="Arial"/>
          <w:sz w:val="2"/>
        </w:rPr>
      </w:r>
    </w:p>
    <w:tbl>
      <w:tblPr>
        <w:tblStyle w:val="TableNormal"/>
        <w:tblW w:w="1487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08"/>
        <w:gridCol w:w="1193"/>
        <w:gridCol w:w="1113"/>
        <w:gridCol w:w="1282"/>
        <w:gridCol w:w="1116"/>
        <w:gridCol w:w="1116"/>
        <w:gridCol w:w="1116"/>
        <w:gridCol w:w="1204"/>
        <w:gridCol w:w="1027"/>
        <w:gridCol w:w="1116"/>
        <w:gridCol w:w="923"/>
        <w:gridCol w:w="1511"/>
        <w:gridCol w:w="1049"/>
      </w:tblGrid>
      <w:tr>
        <w:trPr>
          <w:trHeight w:val="633" w:hRule="atLeast"/>
        </w:trPr>
        <w:tc>
          <w:tcPr>
            <w:tcW w:w="1108" w:type="dxa"/>
            <w:vAlign w:val="top"/>
          </w:tcPr>
          <w:p>
            <w:pPr>
              <w:pStyle w:val="TableText"/>
              <w:ind w:left="143"/>
              <w:spacing w:before="211" w:line="232" w:lineRule="auto"/>
              <w:rPr/>
            </w:pPr>
            <w:r>
              <w:rPr>
                <w:b/>
                <w:bCs/>
                <w:spacing w:val="5"/>
              </w:rPr>
              <w:t>测点编号</w:t>
            </w:r>
          </w:p>
        </w:tc>
        <w:tc>
          <w:tcPr>
            <w:tcW w:w="1193" w:type="dxa"/>
            <w:vAlign w:val="top"/>
          </w:tcPr>
          <w:p>
            <w:pPr>
              <w:pStyle w:val="TableText"/>
              <w:ind w:left="186"/>
              <w:spacing w:before="56" w:line="228" w:lineRule="auto"/>
              <w:rPr/>
            </w:pPr>
            <w:r>
              <w:rPr>
                <w:b/>
                <w:bCs/>
                <w:spacing w:val="4"/>
              </w:rPr>
              <w:t>采样深度</w:t>
            </w:r>
          </w:p>
          <w:p>
            <w:pPr>
              <w:pStyle w:val="TableText"/>
              <w:ind w:left="311"/>
              <w:spacing w:before="65" w:line="235" w:lineRule="auto"/>
              <w:rPr/>
            </w:pPr>
            <w:r>
              <w:rPr>
                <w:b/>
                <w:bCs/>
                <w:spacing w:val="-2"/>
              </w:rPr>
              <w:t>（</w:t>
            </w:r>
            <w:r>
              <w:rPr>
                <w:rFonts w:ascii="Times New Roman" w:hAnsi="Times New Roman" w:eastAsia="Times New Roman" w:cs="Times New Roman"/>
                <w:b/>
                <w:bCs/>
                <w:spacing w:val="-2"/>
              </w:rPr>
              <w:t>m</w:t>
            </w:r>
            <w:r>
              <w:rPr>
                <w:b/>
                <w:bCs/>
                <w:spacing w:val="-2"/>
              </w:rPr>
              <w:t>）</w:t>
            </w:r>
          </w:p>
        </w:tc>
        <w:tc>
          <w:tcPr>
            <w:tcW w:w="1113" w:type="dxa"/>
            <w:vAlign w:val="top"/>
          </w:tcPr>
          <w:p>
            <w:pPr>
              <w:pStyle w:val="TableText"/>
              <w:ind w:left="147"/>
              <w:spacing w:before="212" w:line="228" w:lineRule="auto"/>
              <w:rPr/>
            </w:pPr>
            <w:r>
              <w:rPr>
                <w:b/>
                <w:bCs/>
                <w:spacing w:val="4"/>
              </w:rPr>
              <w:t>样品性状</w:t>
            </w:r>
          </w:p>
        </w:tc>
        <w:tc>
          <w:tcPr>
            <w:tcW w:w="1282" w:type="dxa"/>
            <w:vAlign w:val="top"/>
          </w:tcPr>
          <w:p>
            <w:pPr>
              <w:pStyle w:val="TableText"/>
              <w:ind w:left="336"/>
              <w:spacing w:before="56" w:line="233" w:lineRule="auto"/>
              <w:rPr/>
            </w:pPr>
            <w:r>
              <w:rPr>
                <w:b/>
                <w:bCs/>
                <w:spacing w:val="3"/>
              </w:rPr>
              <w:t>石油烃</w:t>
            </w:r>
          </w:p>
          <w:p>
            <w:pPr>
              <w:pStyle w:val="TableText"/>
              <w:ind w:left="122"/>
              <w:spacing w:before="59" w:line="235" w:lineRule="auto"/>
              <w:rPr/>
            </w:pPr>
            <w:r>
              <w:rPr>
                <w:b/>
                <w:bCs/>
                <w:spacing w:val="2"/>
              </w:rPr>
              <w:t>（</w:t>
            </w:r>
            <w:r>
              <w:rPr>
                <w:rFonts w:ascii="Times New Roman" w:hAnsi="Times New Roman" w:eastAsia="Times New Roman" w:cs="Times New Roman"/>
                <w:b/>
                <w:bCs/>
                <w:spacing w:val="2"/>
              </w:rPr>
              <w:t>C</w:t>
            </w:r>
            <w:r>
              <w:rPr>
                <w:rFonts w:ascii="Times New Roman" w:hAnsi="Times New Roman" w:eastAsia="Times New Roman" w:cs="Times New Roman"/>
                <w:sz w:val="13"/>
                <w:szCs w:val="13"/>
                <w:b/>
                <w:bCs/>
                <w:spacing w:val="2"/>
              </w:rPr>
              <w:t>10</w:t>
            </w:r>
            <w:r>
              <w:rPr>
                <w:rFonts w:ascii="Times New Roman" w:hAnsi="Times New Roman" w:eastAsia="Times New Roman" w:cs="Times New Roman"/>
                <w:b/>
                <w:bCs/>
                <w:spacing w:val="2"/>
              </w:rPr>
              <w:t>-C</w:t>
            </w:r>
            <w:r>
              <w:rPr>
                <w:rFonts w:ascii="Times New Roman" w:hAnsi="Times New Roman" w:eastAsia="Times New Roman" w:cs="Times New Roman"/>
                <w:sz w:val="13"/>
                <w:szCs w:val="13"/>
                <w:b/>
                <w:bCs/>
                <w:spacing w:val="2"/>
                <w:position w:val="-1"/>
              </w:rPr>
              <w:t>40</w:t>
            </w:r>
            <w:r>
              <w:rPr>
                <w:b/>
                <w:bCs/>
                <w:spacing w:val="2"/>
              </w:rPr>
              <w:t>）</w:t>
            </w:r>
          </w:p>
        </w:tc>
        <w:tc>
          <w:tcPr>
            <w:tcW w:w="1116" w:type="dxa"/>
            <w:vAlign w:val="top"/>
          </w:tcPr>
          <w:p>
            <w:pPr>
              <w:pStyle w:val="TableText"/>
              <w:ind w:left="361"/>
              <w:spacing w:before="212" w:line="231" w:lineRule="auto"/>
              <w:rPr/>
            </w:pPr>
            <w:r>
              <w:rPr>
                <w:b/>
                <w:bCs/>
                <w:spacing w:val="-1"/>
              </w:rPr>
              <w:t>氯仿</w:t>
            </w:r>
          </w:p>
        </w:tc>
        <w:tc>
          <w:tcPr>
            <w:tcW w:w="1116" w:type="dxa"/>
            <w:vAlign w:val="top"/>
          </w:tcPr>
          <w:p>
            <w:pPr>
              <w:pStyle w:val="TableText"/>
              <w:ind w:left="153"/>
              <w:spacing w:before="212" w:line="231" w:lineRule="auto"/>
              <w:rPr/>
            </w:pPr>
            <w:r>
              <w:rPr>
                <w:b/>
                <w:bCs/>
                <w:spacing w:val="3"/>
              </w:rPr>
              <w:t>二氯甲烷</w:t>
            </w:r>
          </w:p>
        </w:tc>
        <w:tc>
          <w:tcPr>
            <w:tcW w:w="1116" w:type="dxa"/>
            <w:vAlign w:val="top"/>
          </w:tcPr>
          <w:p>
            <w:pPr>
              <w:pStyle w:val="TableText"/>
              <w:ind w:left="122"/>
              <w:spacing w:before="56" w:line="226" w:lineRule="auto"/>
              <w:rPr/>
            </w:pPr>
            <w:r>
              <w:rPr>
                <w:b/>
                <w:bCs/>
                <w:spacing w:val="2"/>
              </w:rPr>
              <w:t>苯并［</w:t>
            </w:r>
            <w:r>
              <w:rPr>
                <w:rFonts w:ascii="Times New Roman" w:hAnsi="Times New Roman" w:eastAsia="Times New Roman" w:cs="Times New Roman"/>
                <w:b/>
                <w:bCs/>
                <w:spacing w:val="2"/>
              </w:rPr>
              <w:t>a</w:t>
            </w:r>
            <w:r>
              <w:rPr>
                <w:b/>
                <w:bCs/>
                <w:spacing w:val="2"/>
              </w:rPr>
              <w:t>］</w:t>
            </w:r>
          </w:p>
          <w:p>
            <w:pPr>
              <w:pStyle w:val="TableText"/>
              <w:ind w:left="469"/>
              <w:spacing w:before="66" w:line="232" w:lineRule="auto"/>
              <w:rPr/>
            </w:pPr>
            <w:r>
              <w:rPr>
                <w:b/>
                <w:bCs/>
                <w:spacing w:val="-3"/>
              </w:rPr>
              <w:t>蒽</w:t>
            </w:r>
          </w:p>
        </w:tc>
        <w:tc>
          <w:tcPr>
            <w:tcW w:w="1204" w:type="dxa"/>
            <w:vAlign w:val="top"/>
          </w:tcPr>
          <w:p>
            <w:pPr>
              <w:pStyle w:val="TableText"/>
              <w:ind w:left="141"/>
              <w:spacing w:before="56" w:line="226" w:lineRule="auto"/>
              <w:rPr/>
            </w:pPr>
            <w:r>
              <w:rPr>
                <w:b/>
                <w:bCs/>
                <w:spacing w:val="2"/>
              </w:rPr>
              <w:t>苯并［</w:t>
            </w:r>
            <w:r>
              <w:rPr>
                <w:rFonts w:ascii="Times New Roman" w:hAnsi="Times New Roman" w:eastAsia="Times New Roman" w:cs="Times New Roman"/>
                <w:b/>
                <w:bCs/>
                <w:spacing w:val="2"/>
              </w:rPr>
              <w:t>a</w:t>
            </w:r>
            <w:r>
              <w:rPr>
                <w:b/>
                <w:bCs/>
                <w:spacing w:val="2"/>
              </w:rPr>
              <w:t>］</w:t>
            </w:r>
          </w:p>
          <w:p>
            <w:pPr>
              <w:pStyle w:val="TableText"/>
              <w:ind w:left="512"/>
              <w:spacing w:before="67" w:line="235" w:lineRule="auto"/>
              <w:rPr/>
            </w:pPr>
            <w:r>
              <w:rPr>
                <w:b/>
                <w:bCs/>
                <w:spacing w:val="-3"/>
              </w:rPr>
              <w:t>芘</w:t>
            </w:r>
          </w:p>
        </w:tc>
        <w:tc>
          <w:tcPr>
            <w:tcW w:w="1027" w:type="dxa"/>
            <w:vAlign w:val="top"/>
          </w:tcPr>
          <w:p>
            <w:pPr>
              <w:pStyle w:val="TableText"/>
              <w:ind w:left="317" w:right="16" w:hanging="194"/>
              <w:spacing w:before="57" w:line="261" w:lineRule="auto"/>
              <w:rPr/>
            </w:pPr>
            <w:r>
              <w:rPr>
                <w:b/>
                <w:bCs/>
                <w:spacing w:val="-8"/>
              </w:rPr>
              <w:t>苯并［</w:t>
            </w:r>
            <w:r>
              <w:rPr>
                <w:rFonts w:ascii="Times New Roman" w:hAnsi="Times New Roman" w:eastAsia="Times New Roman" w:cs="Times New Roman"/>
                <w:b/>
                <w:bCs/>
                <w:spacing w:val="-8"/>
              </w:rPr>
              <w:t>b</w:t>
            </w:r>
            <w:r>
              <w:rPr>
                <w:b/>
                <w:bCs/>
                <w:spacing w:val="-8"/>
              </w:rPr>
              <w:t>］</w:t>
            </w:r>
            <w:r>
              <w:rPr>
                <w:spacing w:val="1"/>
              </w:rPr>
              <w:t xml:space="preserve"> </w:t>
            </w:r>
            <w:r>
              <w:rPr>
                <w:b/>
                <w:bCs/>
                <w:spacing w:val="-1"/>
              </w:rPr>
              <w:t>荧蒽</w:t>
            </w:r>
          </w:p>
        </w:tc>
        <w:tc>
          <w:tcPr>
            <w:tcW w:w="1116" w:type="dxa"/>
            <w:vAlign w:val="top"/>
          </w:tcPr>
          <w:p>
            <w:pPr>
              <w:pStyle w:val="TableText"/>
              <w:ind w:left="123"/>
              <w:spacing w:before="56" w:line="226" w:lineRule="auto"/>
              <w:rPr/>
            </w:pPr>
            <w:r>
              <w:rPr>
                <w:b/>
                <w:bCs/>
                <w:spacing w:val="2"/>
              </w:rPr>
              <w:t>苯并［</w:t>
            </w:r>
            <w:r>
              <w:rPr>
                <w:rFonts w:ascii="Times New Roman" w:hAnsi="Times New Roman" w:eastAsia="Times New Roman" w:cs="Times New Roman"/>
                <w:b/>
                <w:bCs/>
                <w:spacing w:val="2"/>
              </w:rPr>
              <w:t>k</w:t>
            </w:r>
            <w:r>
              <w:rPr>
                <w:b/>
                <w:bCs/>
                <w:spacing w:val="2"/>
              </w:rPr>
              <w:t>］</w:t>
            </w:r>
          </w:p>
          <w:p>
            <w:pPr>
              <w:pStyle w:val="TableText"/>
              <w:ind w:left="361"/>
              <w:spacing w:before="66" w:line="232" w:lineRule="auto"/>
              <w:rPr/>
            </w:pPr>
            <w:r>
              <w:rPr>
                <w:b/>
                <w:bCs/>
                <w:spacing w:val="-1"/>
              </w:rPr>
              <w:t>荧蒽</w:t>
            </w:r>
          </w:p>
        </w:tc>
        <w:tc>
          <w:tcPr>
            <w:tcW w:w="923" w:type="dxa"/>
            <w:vAlign w:val="top"/>
          </w:tcPr>
          <w:p>
            <w:pPr>
              <w:pStyle w:val="TableText"/>
              <w:ind w:left="369"/>
              <w:spacing w:before="212" w:line="234" w:lineRule="auto"/>
              <w:rPr/>
            </w:pPr>
            <w:r>
              <w:rPr>
                <w:b/>
                <w:bCs/>
                <w:spacing w:val="-3"/>
              </w:rPr>
              <w:t>䓛</w:t>
            </w:r>
          </w:p>
        </w:tc>
        <w:tc>
          <w:tcPr>
            <w:tcW w:w="1511" w:type="dxa"/>
            <w:vAlign w:val="top"/>
          </w:tcPr>
          <w:p>
            <w:pPr>
              <w:pStyle w:val="TableText"/>
              <w:ind w:left="566"/>
              <w:spacing w:before="56" w:line="229" w:lineRule="auto"/>
              <w:rPr/>
            </w:pPr>
            <w:r>
              <w:rPr>
                <w:b/>
                <w:bCs/>
                <w:spacing w:val="-4"/>
              </w:rPr>
              <w:t>茚并</w:t>
            </w:r>
          </w:p>
          <w:p>
            <w:pPr>
              <w:pStyle w:val="TableText"/>
              <w:ind w:left="120"/>
              <w:spacing w:before="63" w:line="221" w:lineRule="auto"/>
              <w:rPr/>
            </w:pPr>
            <w:r>
              <w:rPr>
                <w:b/>
                <w:bCs/>
                <w:spacing w:val="1"/>
              </w:rPr>
              <w:t>［</w:t>
            </w:r>
            <w:r>
              <w:rPr>
                <w:rFonts w:ascii="Times New Roman" w:hAnsi="Times New Roman" w:eastAsia="Times New Roman" w:cs="Times New Roman"/>
                <w:b/>
                <w:bCs/>
                <w:spacing w:val="1"/>
              </w:rPr>
              <w:t>1,2,3-</w:t>
            </w:r>
            <w:r>
              <w:rPr>
                <w:rFonts w:ascii="Times New Roman" w:hAnsi="Times New Roman" w:eastAsia="Times New Roman" w:cs="Times New Roman"/>
                <w:b/>
                <w:bCs/>
              </w:rPr>
              <w:t>cd</w:t>
            </w:r>
            <w:r>
              <w:rPr>
                <w:b/>
                <w:bCs/>
                <w:spacing w:val="1"/>
              </w:rPr>
              <w:t>］芘</w:t>
            </w:r>
          </w:p>
        </w:tc>
        <w:tc>
          <w:tcPr>
            <w:tcW w:w="1049" w:type="dxa"/>
            <w:vAlign w:val="top"/>
          </w:tcPr>
          <w:p>
            <w:pPr>
              <w:pStyle w:val="TableText"/>
              <w:ind w:left="225"/>
              <w:spacing w:before="211" w:line="232" w:lineRule="auto"/>
              <w:rPr/>
            </w:pPr>
            <w:r>
              <w:rPr>
                <w:b/>
                <w:bCs/>
                <w:spacing w:val="1"/>
              </w:rPr>
              <w:t>二噁英</w:t>
            </w:r>
          </w:p>
        </w:tc>
      </w:tr>
      <w:tr>
        <w:trPr>
          <w:trHeight w:val="402" w:hRule="atLeast"/>
        </w:trPr>
        <w:tc>
          <w:tcPr>
            <w:tcW w:w="1108" w:type="dxa"/>
            <w:vAlign w:val="top"/>
          </w:tcPr>
          <w:p>
            <w:pPr>
              <w:ind w:left="361"/>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AT</w:t>
            </w:r>
            <w:r>
              <w:rPr>
                <w:rFonts w:ascii="Times New Roman" w:hAnsi="Times New Roman" w:eastAsia="Times New Roman" w:cs="Times New Roman"/>
                <w:sz w:val="20"/>
                <w:szCs w:val="20"/>
                <w:spacing w:val="14"/>
              </w:rPr>
              <w:t>1</w:t>
            </w:r>
          </w:p>
        </w:tc>
        <w:tc>
          <w:tcPr>
            <w:tcW w:w="1193" w:type="dxa"/>
            <w:vAlign w:val="top"/>
          </w:tcPr>
          <w:p>
            <w:pPr>
              <w:ind w:left="358"/>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113" w:type="dxa"/>
            <w:vAlign w:val="top"/>
          </w:tcPr>
          <w:p>
            <w:pPr>
              <w:pStyle w:val="TableText"/>
              <w:ind w:left="357"/>
              <w:spacing w:before="95" w:line="232" w:lineRule="auto"/>
              <w:rPr/>
            </w:pPr>
            <w:r>
              <w:rPr>
                <w:spacing w:val="2"/>
              </w:rPr>
              <w:t>黄色</w:t>
            </w:r>
          </w:p>
        </w:tc>
        <w:tc>
          <w:tcPr>
            <w:tcW w:w="1282" w:type="dxa"/>
            <w:vAlign w:val="top"/>
          </w:tcPr>
          <w:p>
            <w:pPr>
              <w:ind w:left="558"/>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18</w:t>
            </w:r>
          </w:p>
        </w:tc>
        <w:tc>
          <w:tcPr>
            <w:tcW w:w="1116" w:type="dxa"/>
            <w:vAlign w:val="top"/>
          </w:tcPr>
          <w:p>
            <w:pPr>
              <w:ind w:left="274"/>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0.0033</w:t>
            </w:r>
          </w:p>
        </w:tc>
        <w:tc>
          <w:tcPr>
            <w:tcW w:w="1116" w:type="dxa"/>
            <w:vAlign w:val="top"/>
          </w:tcPr>
          <w:p>
            <w:pPr>
              <w:ind w:left="210"/>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1116" w:type="dxa"/>
            <w:vAlign w:val="top"/>
          </w:tcPr>
          <w:p>
            <w:pPr>
              <w:ind w:left="369"/>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204" w:type="dxa"/>
            <w:vAlign w:val="top"/>
          </w:tcPr>
          <w:p>
            <w:pPr>
              <w:ind w:left="412"/>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027" w:type="dxa"/>
            <w:vAlign w:val="top"/>
          </w:tcPr>
          <w:p>
            <w:pPr>
              <w:ind w:left="324"/>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&lt;0.2</w:t>
            </w:r>
          </w:p>
        </w:tc>
        <w:tc>
          <w:tcPr>
            <w:tcW w:w="1116" w:type="dxa"/>
            <w:vAlign w:val="top"/>
          </w:tcPr>
          <w:p>
            <w:pPr>
              <w:ind w:left="370"/>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923" w:type="dxa"/>
            <w:vAlign w:val="top"/>
          </w:tcPr>
          <w:p>
            <w:pPr>
              <w:ind w:left="274"/>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511" w:type="dxa"/>
            <w:vAlign w:val="top"/>
          </w:tcPr>
          <w:p>
            <w:pPr>
              <w:ind w:left="567"/>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049" w:type="dxa"/>
            <w:vAlign w:val="top"/>
          </w:tcPr>
          <w:p>
            <w:pPr>
              <w:ind w:left="131"/>
              <w:spacing w:before="111"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1"/>
              </w:rPr>
              <w:t>8.</w:t>
            </w:r>
            <w:r>
              <w:rPr>
                <w:rFonts w:ascii="Times New Roman" w:hAnsi="Times New Roman" w:eastAsia="Times New Roman" w:cs="Times New Roman"/>
                <w:sz w:val="20"/>
                <w:szCs w:val="20"/>
                <w:spacing w:val="-21"/>
              </w:rPr>
              <w:t xml:space="preserve"> </w:t>
            </w:r>
            <w:r>
              <w:rPr>
                <w:rFonts w:ascii="Times New Roman" w:hAnsi="Times New Roman" w:eastAsia="Times New Roman" w:cs="Times New Roman"/>
                <w:sz w:val="20"/>
                <w:szCs w:val="20"/>
                <w:spacing w:val="-1"/>
              </w:rPr>
              <w:t>10×10</w:t>
            </w:r>
            <w:r>
              <w:rPr>
                <w:rFonts w:ascii="Times New Roman" w:hAnsi="Times New Roman" w:eastAsia="Times New Roman" w:cs="Times New Roman"/>
                <w:sz w:val="13"/>
                <w:szCs w:val="13"/>
                <w:spacing w:val="-1"/>
                <w:position w:val="6"/>
              </w:rPr>
              <w:t>-6</w:t>
            </w:r>
          </w:p>
        </w:tc>
      </w:tr>
      <w:tr>
        <w:trPr>
          <w:trHeight w:val="401" w:hRule="atLeast"/>
        </w:trPr>
        <w:tc>
          <w:tcPr>
            <w:tcW w:w="1108" w:type="dxa"/>
            <w:vAlign w:val="top"/>
          </w:tcPr>
          <w:p>
            <w:pPr>
              <w:ind w:left="361"/>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AT</w:t>
            </w:r>
            <w:r>
              <w:rPr>
                <w:rFonts w:ascii="Times New Roman" w:hAnsi="Times New Roman" w:eastAsia="Times New Roman" w:cs="Times New Roman"/>
                <w:sz w:val="20"/>
                <w:szCs w:val="20"/>
                <w:spacing w:val="14"/>
              </w:rPr>
              <w:t>2</w:t>
            </w:r>
          </w:p>
        </w:tc>
        <w:tc>
          <w:tcPr>
            <w:tcW w:w="1193" w:type="dxa"/>
            <w:vAlign w:val="top"/>
          </w:tcPr>
          <w:p>
            <w:pPr>
              <w:ind w:left="358"/>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113" w:type="dxa"/>
            <w:vAlign w:val="top"/>
          </w:tcPr>
          <w:p>
            <w:pPr>
              <w:pStyle w:val="TableText"/>
              <w:ind w:left="357"/>
              <w:spacing w:before="94" w:line="232" w:lineRule="auto"/>
              <w:rPr/>
            </w:pPr>
            <w:r>
              <w:rPr>
                <w:spacing w:val="2"/>
              </w:rPr>
              <w:t>黄色</w:t>
            </w:r>
          </w:p>
        </w:tc>
        <w:tc>
          <w:tcPr>
            <w:tcW w:w="1282" w:type="dxa"/>
            <w:vAlign w:val="top"/>
          </w:tcPr>
          <w:p>
            <w:pPr>
              <w:ind w:left="558"/>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11</w:t>
            </w:r>
          </w:p>
        </w:tc>
        <w:tc>
          <w:tcPr>
            <w:tcW w:w="1116" w:type="dxa"/>
            <w:vAlign w:val="top"/>
          </w:tcPr>
          <w:p>
            <w:pPr>
              <w:ind w:left="210"/>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&lt;0.0011</w:t>
            </w:r>
          </w:p>
        </w:tc>
        <w:tc>
          <w:tcPr>
            <w:tcW w:w="1116" w:type="dxa"/>
            <w:vAlign w:val="top"/>
          </w:tcPr>
          <w:p>
            <w:pPr>
              <w:ind w:left="210"/>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1116" w:type="dxa"/>
            <w:vAlign w:val="top"/>
          </w:tcPr>
          <w:p>
            <w:pPr>
              <w:ind w:left="369"/>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204" w:type="dxa"/>
            <w:vAlign w:val="top"/>
          </w:tcPr>
          <w:p>
            <w:pPr>
              <w:ind w:left="412"/>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027" w:type="dxa"/>
            <w:vAlign w:val="top"/>
          </w:tcPr>
          <w:p>
            <w:pPr>
              <w:ind w:left="324"/>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&lt;0.2</w:t>
            </w:r>
          </w:p>
        </w:tc>
        <w:tc>
          <w:tcPr>
            <w:tcW w:w="1116" w:type="dxa"/>
            <w:vAlign w:val="top"/>
          </w:tcPr>
          <w:p>
            <w:pPr>
              <w:ind w:left="370"/>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923" w:type="dxa"/>
            <w:vAlign w:val="top"/>
          </w:tcPr>
          <w:p>
            <w:pPr>
              <w:ind w:left="274"/>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511" w:type="dxa"/>
            <w:vAlign w:val="top"/>
          </w:tcPr>
          <w:p>
            <w:pPr>
              <w:ind w:left="567"/>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049" w:type="dxa"/>
            <w:vAlign w:val="top"/>
          </w:tcPr>
          <w:p>
            <w:pPr>
              <w:ind w:left="143"/>
              <w:spacing w:before="111" w:line="214"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1"/>
              </w:rPr>
              <w:t>1.00×10</w:t>
            </w:r>
            <w:r>
              <w:rPr>
                <w:rFonts w:ascii="Times New Roman" w:hAnsi="Times New Roman" w:eastAsia="Times New Roman" w:cs="Times New Roman"/>
                <w:sz w:val="13"/>
                <w:szCs w:val="13"/>
                <w:spacing w:val="1"/>
                <w:position w:val="6"/>
              </w:rPr>
              <w:t>-5</w:t>
            </w:r>
          </w:p>
        </w:tc>
      </w:tr>
      <w:tr>
        <w:trPr>
          <w:trHeight w:val="402" w:hRule="atLeast"/>
        </w:trPr>
        <w:tc>
          <w:tcPr>
            <w:tcW w:w="1108" w:type="dxa"/>
            <w:vAlign w:val="top"/>
          </w:tcPr>
          <w:p>
            <w:pPr>
              <w:ind w:left="368"/>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BT</w:t>
            </w:r>
            <w:r>
              <w:rPr>
                <w:rFonts w:ascii="Times New Roman" w:hAnsi="Times New Roman" w:eastAsia="Times New Roman" w:cs="Times New Roman"/>
                <w:sz w:val="20"/>
                <w:szCs w:val="20"/>
                <w:spacing w:val="11"/>
              </w:rPr>
              <w:t>2</w:t>
            </w:r>
          </w:p>
        </w:tc>
        <w:tc>
          <w:tcPr>
            <w:tcW w:w="1193" w:type="dxa"/>
            <w:vAlign w:val="top"/>
          </w:tcPr>
          <w:p>
            <w:pPr>
              <w:ind w:left="358"/>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113" w:type="dxa"/>
            <w:vAlign w:val="top"/>
          </w:tcPr>
          <w:p>
            <w:pPr>
              <w:pStyle w:val="TableText"/>
              <w:ind w:left="255"/>
              <w:spacing w:before="96" w:line="232" w:lineRule="auto"/>
              <w:rPr/>
            </w:pPr>
            <w:r>
              <w:rPr>
                <w:spacing w:val="3"/>
              </w:rPr>
              <w:t>浅黄色</w:t>
            </w:r>
          </w:p>
        </w:tc>
        <w:tc>
          <w:tcPr>
            <w:tcW w:w="1282" w:type="dxa"/>
            <w:vAlign w:val="top"/>
          </w:tcPr>
          <w:p>
            <w:pPr>
              <w:ind w:left="558"/>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11</w:t>
            </w:r>
          </w:p>
        </w:tc>
        <w:tc>
          <w:tcPr>
            <w:tcW w:w="1116" w:type="dxa"/>
            <w:vAlign w:val="top"/>
          </w:tcPr>
          <w:p>
            <w:pPr>
              <w:ind w:left="210"/>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&lt;0.0011</w:t>
            </w:r>
          </w:p>
        </w:tc>
        <w:tc>
          <w:tcPr>
            <w:tcW w:w="1116" w:type="dxa"/>
            <w:vAlign w:val="top"/>
          </w:tcPr>
          <w:p>
            <w:pPr>
              <w:ind w:left="210"/>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1116" w:type="dxa"/>
            <w:vAlign w:val="top"/>
          </w:tcPr>
          <w:p>
            <w:pPr>
              <w:ind w:left="369"/>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204" w:type="dxa"/>
            <w:vAlign w:val="top"/>
          </w:tcPr>
          <w:p>
            <w:pPr>
              <w:ind w:left="412"/>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027" w:type="dxa"/>
            <w:vAlign w:val="top"/>
          </w:tcPr>
          <w:p>
            <w:pPr>
              <w:ind w:left="324"/>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&lt;0.2</w:t>
            </w:r>
          </w:p>
        </w:tc>
        <w:tc>
          <w:tcPr>
            <w:tcW w:w="1116" w:type="dxa"/>
            <w:vAlign w:val="top"/>
          </w:tcPr>
          <w:p>
            <w:pPr>
              <w:ind w:left="370"/>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923" w:type="dxa"/>
            <w:vAlign w:val="top"/>
          </w:tcPr>
          <w:p>
            <w:pPr>
              <w:ind w:left="274"/>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511" w:type="dxa"/>
            <w:vAlign w:val="top"/>
          </w:tcPr>
          <w:p>
            <w:pPr>
              <w:ind w:left="567"/>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049" w:type="dxa"/>
            <w:vAlign w:val="top"/>
          </w:tcPr>
          <w:p>
            <w:pPr>
              <w:ind w:left="143"/>
              <w:spacing w:before="113" w:line="214"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1"/>
              </w:rPr>
              <w:t>1.50×10</w:t>
            </w:r>
            <w:r>
              <w:rPr>
                <w:rFonts w:ascii="Times New Roman" w:hAnsi="Times New Roman" w:eastAsia="Times New Roman" w:cs="Times New Roman"/>
                <w:sz w:val="13"/>
                <w:szCs w:val="13"/>
                <w:spacing w:val="1"/>
                <w:position w:val="6"/>
              </w:rPr>
              <w:t>-5</w:t>
            </w:r>
          </w:p>
        </w:tc>
      </w:tr>
      <w:tr>
        <w:trPr>
          <w:trHeight w:val="402" w:hRule="atLeast"/>
        </w:trPr>
        <w:tc>
          <w:tcPr>
            <w:tcW w:w="1108" w:type="dxa"/>
            <w:vAlign w:val="top"/>
          </w:tcPr>
          <w:p>
            <w:pPr>
              <w:ind w:left="372"/>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CT</w:t>
            </w:r>
            <w:r>
              <w:rPr>
                <w:rFonts w:ascii="Times New Roman" w:hAnsi="Times New Roman" w:eastAsia="Times New Roman" w:cs="Times New Roman"/>
                <w:sz w:val="20"/>
                <w:szCs w:val="20"/>
                <w:spacing w:val="7"/>
              </w:rPr>
              <w:t>1</w:t>
            </w:r>
          </w:p>
        </w:tc>
        <w:tc>
          <w:tcPr>
            <w:tcW w:w="1193" w:type="dxa"/>
            <w:vAlign w:val="top"/>
          </w:tcPr>
          <w:p>
            <w:pPr>
              <w:ind w:left="358"/>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113" w:type="dxa"/>
            <w:vAlign w:val="top"/>
          </w:tcPr>
          <w:p>
            <w:pPr>
              <w:pStyle w:val="TableText"/>
              <w:ind w:left="255"/>
              <w:spacing w:before="94" w:line="232" w:lineRule="auto"/>
              <w:rPr/>
            </w:pPr>
            <w:r>
              <w:rPr>
                <w:spacing w:val="3"/>
              </w:rPr>
              <w:t>浅黄色</w:t>
            </w:r>
          </w:p>
        </w:tc>
        <w:tc>
          <w:tcPr>
            <w:tcW w:w="1282" w:type="dxa"/>
            <w:vAlign w:val="top"/>
          </w:tcPr>
          <w:p>
            <w:pPr>
              <w:ind w:left="558"/>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16</w:t>
            </w:r>
          </w:p>
        </w:tc>
        <w:tc>
          <w:tcPr>
            <w:tcW w:w="1116" w:type="dxa"/>
            <w:vAlign w:val="top"/>
          </w:tcPr>
          <w:p>
            <w:pPr>
              <w:ind w:left="274"/>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0.0024</w:t>
            </w:r>
          </w:p>
        </w:tc>
        <w:tc>
          <w:tcPr>
            <w:tcW w:w="1116" w:type="dxa"/>
            <w:vAlign w:val="top"/>
          </w:tcPr>
          <w:p>
            <w:pPr>
              <w:ind w:left="210"/>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1116" w:type="dxa"/>
            <w:vAlign w:val="top"/>
          </w:tcPr>
          <w:p>
            <w:pPr>
              <w:ind w:left="369"/>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204" w:type="dxa"/>
            <w:vAlign w:val="top"/>
          </w:tcPr>
          <w:p>
            <w:pPr>
              <w:ind w:left="412"/>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027" w:type="dxa"/>
            <w:vAlign w:val="top"/>
          </w:tcPr>
          <w:p>
            <w:pPr>
              <w:ind w:left="324"/>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&lt;0.2</w:t>
            </w:r>
          </w:p>
        </w:tc>
        <w:tc>
          <w:tcPr>
            <w:tcW w:w="1116" w:type="dxa"/>
            <w:vAlign w:val="top"/>
          </w:tcPr>
          <w:p>
            <w:pPr>
              <w:ind w:left="370"/>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923" w:type="dxa"/>
            <w:vAlign w:val="top"/>
          </w:tcPr>
          <w:p>
            <w:pPr>
              <w:ind w:left="274"/>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511" w:type="dxa"/>
            <w:vAlign w:val="top"/>
          </w:tcPr>
          <w:p>
            <w:pPr>
              <w:ind w:left="567"/>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049" w:type="dxa"/>
            <w:vAlign w:val="top"/>
          </w:tcPr>
          <w:p>
            <w:pPr>
              <w:ind w:left="143"/>
              <w:spacing w:before="115" w:line="211"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1"/>
              </w:rPr>
              <w:t>1.20×10</w:t>
            </w:r>
            <w:r>
              <w:rPr>
                <w:rFonts w:ascii="Times New Roman" w:hAnsi="Times New Roman" w:eastAsia="Times New Roman" w:cs="Times New Roman"/>
                <w:sz w:val="13"/>
                <w:szCs w:val="13"/>
                <w:spacing w:val="1"/>
                <w:position w:val="6"/>
              </w:rPr>
              <w:t>-5</w:t>
            </w:r>
          </w:p>
        </w:tc>
      </w:tr>
      <w:tr>
        <w:trPr>
          <w:trHeight w:val="401" w:hRule="atLeast"/>
        </w:trPr>
        <w:tc>
          <w:tcPr>
            <w:tcW w:w="1108" w:type="dxa"/>
            <w:vAlign w:val="top"/>
          </w:tcPr>
          <w:p>
            <w:pPr>
              <w:ind w:left="363"/>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DT</w:t>
            </w:r>
            <w:r>
              <w:rPr>
                <w:rFonts w:ascii="Times New Roman" w:hAnsi="Times New Roman" w:eastAsia="Times New Roman" w:cs="Times New Roman"/>
                <w:sz w:val="20"/>
                <w:szCs w:val="20"/>
                <w:spacing w:val="12"/>
              </w:rPr>
              <w:t>2</w:t>
            </w:r>
          </w:p>
        </w:tc>
        <w:tc>
          <w:tcPr>
            <w:tcW w:w="1193" w:type="dxa"/>
            <w:vAlign w:val="top"/>
          </w:tcPr>
          <w:p>
            <w:pPr>
              <w:ind w:left="358"/>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113" w:type="dxa"/>
            <w:vAlign w:val="top"/>
          </w:tcPr>
          <w:p>
            <w:pPr>
              <w:pStyle w:val="TableText"/>
              <w:ind w:left="357"/>
              <w:spacing w:before="95" w:line="232" w:lineRule="auto"/>
              <w:rPr/>
            </w:pPr>
            <w:r>
              <w:rPr>
                <w:spacing w:val="2"/>
              </w:rPr>
              <w:t>黄色</w:t>
            </w:r>
          </w:p>
        </w:tc>
        <w:tc>
          <w:tcPr>
            <w:tcW w:w="1282" w:type="dxa"/>
            <w:vAlign w:val="top"/>
          </w:tcPr>
          <w:p>
            <w:pPr>
              <w:ind w:left="538"/>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1116" w:type="dxa"/>
            <w:vAlign w:val="top"/>
          </w:tcPr>
          <w:p>
            <w:pPr>
              <w:ind w:left="210"/>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&lt;0.0011</w:t>
            </w:r>
          </w:p>
        </w:tc>
        <w:tc>
          <w:tcPr>
            <w:tcW w:w="1116" w:type="dxa"/>
            <w:vAlign w:val="top"/>
          </w:tcPr>
          <w:p>
            <w:pPr>
              <w:ind w:left="210"/>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1116" w:type="dxa"/>
            <w:vAlign w:val="top"/>
          </w:tcPr>
          <w:p>
            <w:pPr>
              <w:ind w:left="369"/>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204" w:type="dxa"/>
            <w:vAlign w:val="top"/>
          </w:tcPr>
          <w:p>
            <w:pPr>
              <w:ind w:left="412"/>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027" w:type="dxa"/>
            <w:vAlign w:val="top"/>
          </w:tcPr>
          <w:p>
            <w:pPr>
              <w:ind w:left="324"/>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&lt;0.2</w:t>
            </w:r>
          </w:p>
        </w:tc>
        <w:tc>
          <w:tcPr>
            <w:tcW w:w="1116" w:type="dxa"/>
            <w:vAlign w:val="top"/>
          </w:tcPr>
          <w:p>
            <w:pPr>
              <w:ind w:left="370"/>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923" w:type="dxa"/>
            <w:vAlign w:val="top"/>
          </w:tcPr>
          <w:p>
            <w:pPr>
              <w:ind w:left="274"/>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511" w:type="dxa"/>
            <w:vAlign w:val="top"/>
          </w:tcPr>
          <w:p>
            <w:pPr>
              <w:ind w:left="567"/>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049" w:type="dxa"/>
            <w:vAlign w:val="top"/>
          </w:tcPr>
          <w:p>
            <w:pPr>
              <w:ind w:left="143"/>
              <w:spacing w:before="113" w:line="214"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1"/>
              </w:rPr>
              <w:t>1.03×10</w:t>
            </w:r>
            <w:r>
              <w:rPr>
                <w:rFonts w:ascii="Times New Roman" w:hAnsi="Times New Roman" w:eastAsia="Times New Roman" w:cs="Times New Roman"/>
                <w:sz w:val="13"/>
                <w:szCs w:val="13"/>
                <w:spacing w:val="1"/>
                <w:position w:val="6"/>
              </w:rPr>
              <w:t>-5</w:t>
            </w:r>
          </w:p>
        </w:tc>
      </w:tr>
      <w:tr>
        <w:trPr>
          <w:trHeight w:val="402" w:hRule="atLeast"/>
        </w:trPr>
        <w:tc>
          <w:tcPr>
            <w:tcW w:w="1108" w:type="dxa"/>
            <w:vAlign w:val="top"/>
          </w:tcPr>
          <w:p>
            <w:pPr>
              <w:ind w:left="376"/>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ET</w:t>
            </w:r>
            <w:r>
              <w:rPr>
                <w:rFonts w:ascii="Times New Roman" w:hAnsi="Times New Roman" w:eastAsia="Times New Roman" w:cs="Times New Roman"/>
                <w:sz w:val="20"/>
                <w:szCs w:val="20"/>
                <w:spacing w:val="10"/>
              </w:rPr>
              <w:t>1</w:t>
            </w:r>
          </w:p>
        </w:tc>
        <w:tc>
          <w:tcPr>
            <w:tcW w:w="1193" w:type="dxa"/>
            <w:vAlign w:val="top"/>
          </w:tcPr>
          <w:p>
            <w:pPr>
              <w:ind w:left="358"/>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113" w:type="dxa"/>
            <w:vAlign w:val="top"/>
          </w:tcPr>
          <w:p>
            <w:pPr>
              <w:pStyle w:val="TableText"/>
              <w:ind w:left="255"/>
              <w:spacing w:before="97" w:line="232" w:lineRule="auto"/>
              <w:rPr/>
            </w:pPr>
            <w:r>
              <w:rPr>
                <w:spacing w:val="3"/>
              </w:rPr>
              <w:t>浅黄色</w:t>
            </w:r>
          </w:p>
        </w:tc>
        <w:tc>
          <w:tcPr>
            <w:tcW w:w="1282" w:type="dxa"/>
            <w:vAlign w:val="top"/>
          </w:tcPr>
          <w:p>
            <w:pPr>
              <w:ind w:left="542"/>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116" w:type="dxa"/>
            <w:vAlign w:val="top"/>
          </w:tcPr>
          <w:p>
            <w:pPr>
              <w:ind w:left="210"/>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&lt;0.0011</w:t>
            </w:r>
          </w:p>
        </w:tc>
        <w:tc>
          <w:tcPr>
            <w:tcW w:w="1116" w:type="dxa"/>
            <w:vAlign w:val="top"/>
          </w:tcPr>
          <w:p>
            <w:pPr>
              <w:ind w:left="210"/>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1116" w:type="dxa"/>
            <w:vAlign w:val="top"/>
          </w:tcPr>
          <w:p>
            <w:pPr>
              <w:ind w:left="430"/>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w:t>
            </w:r>
          </w:p>
        </w:tc>
        <w:tc>
          <w:tcPr>
            <w:tcW w:w="1204" w:type="dxa"/>
            <w:vAlign w:val="top"/>
          </w:tcPr>
          <w:p>
            <w:pPr>
              <w:ind w:left="476"/>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0.3</w:t>
            </w:r>
          </w:p>
        </w:tc>
        <w:tc>
          <w:tcPr>
            <w:tcW w:w="1027" w:type="dxa"/>
            <w:vAlign w:val="top"/>
          </w:tcPr>
          <w:p>
            <w:pPr>
              <w:ind w:left="388"/>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w:t>
            </w:r>
          </w:p>
        </w:tc>
        <w:tc>
          <w:tcPr>
            <w:tcW w:w="1116" w:type="dxa"/>
            <w:vAlign w:val="top"/>
          </w:tcPr>
          <w:p>
            <w:pPr>
              <w:ind w:left="43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w:t>
            </w:r>
          </w:p>
        </w:tc>
        <w:tc>
          <w:tcPr>
            <w:tcW w:w="923" w:type="dxa"/>
            <w:vAlign w:val="top"/>
          </w:tcPr>
          <w:p>
            <w:pPr>
              <w:ind w:left="335"/>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w:t>
            </w:r>
          </w:p>
        </w:tc>
        <w:tc>
          <w:tcPr>
            <w:tcW w:w="1511" w:type="dxa"/>
            <w:vAlign w:val="top"/>
          </w:tcPr>
          <w:p>
            <w:pPr>
              <w:ind w:left="629"/>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w:t>
            </w:r>
          </w:p>
        </w:tc>
        <w:tc>
          <w:tcPr>
            <w:tcW w:w="1049" w:type="dxa"/>
            <w:vAlign w:val="top"/>
          </w:tcPr>
          <w:p>
            <w:pPr>
              <w:ind w:left="143"/>
              <w:spacing w:before="115" w:line="214"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1"/>
              </w:rPr>
              <w:t>1.50×10</w:t>
            </w:r>
            <w:r>
              <w:rPr>
                <w:rFonts w:ascii="Times New Roman" w:hAnsi="Times New Roman" w:eastAsia="Times New Roman" w:cs="Times New Roman"/>
                <w:sz w:val="13"/>
                <w:szCs w:val="13"/>
                <w:spacing w:val="1"/>
                <w:position w:val="6"/>
              </w:rPr>
              <w:t>-5</w:t>
            </w:r>
          </w:p>
        </w:tc>
      </w:tr>
      <w:tr>
        <w:trPr>
          <w:trHeight w:val="401" w:hRule="atLeast"/>
        </w:trPr>
        <w:tc>
          <w:tcPr>
            <w:tcW w:w="1108" w:type="dxa"/>
            <w:vAlign w:val="top"/>
          </w:tcPr>
          <w:p>
            <w:pPr>
              <w:ind w:left="363"/>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HT</w:t>
            </w:r>
            <w:r>
              <w:rPr>
                <w:rFonts w:ascii="Times New Roman" w:hAnsi="Times New Roman" w:eastAsia="Times New Roman" w:cs="Times New Roman"/>
                <w:sz w:val="20"/>
                <w:szCs w:val="20"/>
                <w:spacing w:val="12"/>
              </w:rPr>
              <w:t>2</w:t>
            </w:r>
          </w:p>
        </w:tc>
        <w:tc>
          <w:tcPr>
            <w:tcW w:w="1193" w:type="dxa"/>
            <w:vAlign w:val="top"/>
          </w:tcPr>
          <w:p>
            <w:pPr>
              <w:ind w:left="358"/>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113" w:type="dxa"/>
            <w:vAlign w:val="top"/>
          </w:tcPr>
          <w:p>
            <w:pPr>
              <w:pStyle w:val="TableText"/>
              <w:ind w:left="357"/>
              <w:spacing w:before="96" w:line="232" w:lineRule="auto"/>
              <w:rPr/>
            </w:pPr>
            <w:r>
              <w:rPr>
                <w:spacing w:val="2"/>
              </w:rPr>
              <w:t>黄色</w:t>
            </w:r>
          </w:p>
        </w:tc>
        <w:tc>
          <w:tcPr>
            <w:tcW w:w="1282" w:type="dxa"/>
            <w:vAlign w:val="top"/>
          </w:tcPr>
          <w:p>
            <w:pPr>
              <w:ind w:left="538"/>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24</w:t>
            </w:r>
          </w:p>
        </w:tc>
        <w:tc>
          <w:tcPr>
            <w:tcW w:w="1116" w:type="dxa"/>
            <w:vAlign w:val="top"/>
          </w:tcPr>
          <w:p>
            <w:pPr>
              <w:ind w:left="210"/>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&lt;0.0011</w:t>
            </w:r>
          </w:p>
        </w:tc>
        <w:tc>
          <w:tcPr>
            <w:tcW w:w="1116" w:type="dxa"/>
            <w:vAlign w:val="top"/>
          </w:tcPr>
          <w:p>
            <w:pPr>
              <w:ind w:left="210"/>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1116" w:type="dxa"/>
            <w:vAlign w:val="top"/>
          </w:tcPr>
          <w:p>
            <w:pPr>
              <w:ind w:left="369"/>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204" w:type="dxa"/>
            <w:vAlign w:val="top"/>
          </w:tcPr>
          <w:p>
            <w:pPr>
              <w:ind w:left="412"/>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027" w:type="dxa"/>
            <w:vAlign w:val="top"/>
          </w:tcPr>
          <w:p>
            <w:pPr>
              <w:ind w:left="324"/>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&lt;0.2</w:t>
            </w:r>
          </w:p>
        </w:tc>
        <w:tc>
          <w:tcPr>
            <w:tcW w:w="1116" w:type="dxa"/>
            <w:vAlign w:val="top"/>
          </w:tcPr>
          <w:p>
            <w:pPr>
              <w:ind w:left="370"/>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923" w:type="dxa"/>
            <w:vAlign w:val="top"/>
          </w:tcPr>
          <w:p>
            <w:pPr>
              <w:ind w:left="274"/>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511" w:type="dxa"/>
            <w:vAlign w:val="top"/>
          </w:tcPr>
          <w:p>
            <w:pPr>
              <w:ind w:left="567"/>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049" w:type="dxa"/>
            <w:vAlign w:val="top"/>
          </w:tcPr>
          <w:p>
            <w:pPr>
              <w:ind w:left="126"/>
              <w:spacing w:before="111"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2"/>
              </w:rPr>
              <w:t>7.90×10</w:t>
            </w:r>
            <w:r>
              <w:rPr>
                <w:rFonts w:ascii="Times New Roman" w:hAnsi="Times New Roman" w:eastAsia="Times New Roman" w:cs="Times New Roman"/>
                <w:sz w:val="13"/>
                <w:szCs w:val="13"/>
                <w:spacing w:val="2"/>
                <w:position w:val="6"/>
              </w:rPr>
              <w:t>-6</w:t>
            </w:r>
          </w:p>
        </w:tc>
      </w:tr>
      <w:tr>
        <w:trPr>
          <w:trHeight w:val="402" w:hRule="atLeast"/>
        </w:trPr>
        <w:tc>
          <w:tcPr>
            <w:tcW w:w="1108" w:type="dxa"/>
            <w:vAlign w:val="top"/>
          </w:tcPr>
          <w:p>
            <w:pPr>
              <w:ind w:left="368"/>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BT</w:t>
            </w:r>
            <w:r>
              <w:rPr>
                <w:rFonts w:ascii="Times New Roman" w:hAnsi="Times New Roman" w:eastAsia="Times New Roman" w:cs="Times New Roman"/>
                <w:sz w:val="20"/>
                <w:szCs w:val="20"/>
                <w:spacing w:val="11"/>
              </w:rPr>
              <w:t>1</w:t>
            </w:r>
          </w:p>
        </w:tc>
        <w:tc>
          <w:tcPr>
            <w:tcW w:w="1193" w:type="dxa"/>
            <w:vAlign w:val="top"/>
          </w:tcPr>
          <w:p>
            <w:pPr>
              <w:ind w:left="358"/>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113" w:type="dxa"/>
            <w:vAlign w:val="top"/>
          </w:tcPr>
          <w:p>
            <w:pPr>
              <w:pStyle w:val="TableText"/>
              <w:ind w:left="357"/>
              <w:spacing w:before="98" w:line="232" w:lineRule="auto"/>
              <w:rPr/>
            </w:pPr>
            <w:r>
              <w:rPr>
                <w:spacing w:val="2"/>
              </w:rPr>
              <w:t>黄色</w:t>
            </w:r>
          </w:p>
        </w:tc>
        <w:tc>
          <w:tcPr>
            <w:tcW w:w="1282" w:type="dxa"/>
            <w:vAlign w:val="top"/>
          </w:tcPr>
          <w:p>
            <w:pPr>
              <w:ind w:left="542"/>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116" w:type="dxa"/>
            <w:vAlign w:val="top"/>
          </w:tcPr>
          <w:p>
            <w:pPr>
              <w:ind w:left="210"/>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&lt;0.0011</w:t>
            </w:r>
          </w:p>
        </w:tc>
        <w:tc>
          <w:tcPr>
            <w:tcW w:w="1116" w:type="dxa"/>
            <w:vAlign w:val="top"/>
          </w:tcPr>
          <w:p>
            <w:pPr>
              <w:ind w:left="210"/>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1116" w:type="dxa"/>
            <w:vAlign w:val="top"/>
          </w:tcPr>
          <w:p>
            <w:pPr>
              <w:ind w:left="369"/>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204" w:type="dxa"/>
            <w:vAlign w:val="top"/>
          </w:tcPr>
          <w:p>
            <w:pPr>
              <w:ind w:left="412"/>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027" w:type="dxa"/>
            <w:vAlign w:val="top"/>
          </w:tcPr>
          <w:p>
            <w:pPr>
              <w:ind w:left="324"/>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&lt;0.2</w:t>
            </w:r>
          </w:p>
        </w:tc>
        <w:tc>
          <w:tcPr>
            <w:tcW w:w="1116" w:type="dxa"/>
            <w:vAlign w:val="top"/>
          </w:tcPr>
          <w:p>
            <w:pPr>
              <w:ind w:left="370"/>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923" w:type="dxa"/>
            <w:vAlign w:val="top"/>
          </w:tcPr>
          <w:p>
            <w:pPr>
              <w:ind w:left="274"/>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511" w:type="dxa"/>
            <w:vAlign w:val="top"/>
          </w:tcPr>
          <w:p>
            <w:pPr>
              <w:ind w:left="567"/>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049" w:type="dxa"/>
            <w:vAlign w:val="top"/>
          </w:tcPr>
          <w:p>
            <w:pPr>
              <w:ind w:left="131"/>
              <w:spacing w:before="113"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2"/>
              </w:rPr>
              <w:t>8.90×10</w:t>
            </w:r>
            <w:r>
              <w:rPr>
                <w:rFonts w:ascii="Times New Roman" w:hAnsi="Times New Roman" w:eastAsia="Times New Roman" w:cs="Times New Roman"/>
                <w:sz w:val="13"/>
                <w:szCs w:val="13"/>
                <w:spacing w:val="2"/>
                <w:position w:val="6"/>
              </w:rPr>
              <w:t>-6</w:t>
            </w:r>
          </w:p>
        </w:tc>
      </w:tr>
      <w:tr>
        <w:trPr>
          <w:trHeight w:val="402" w:hRule="atLeast"/>
        </w:trPr>
        <w:tc>
          <w:tcPr>
            <w:tcW w:w="1108" w:type="dxa"/>
            <w:vAlign w:val="top"/>
          </w:tcPr>
          <w:p>
            <w:pPr>
              <w:ind w:left="363"/>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DT</w:t>
            </w:r>
            <w:r>
              <w:rPr>
                <w:rFonts w:ascii="Times New Roman" w:hAnsi="Times New Roman" w:eastAsia="Times New Roman" w:cs="Times New Roman"/>
                <w:sz w:val="20"/>
                <w:szCs w:val="20"/>
                <w:spacing w:val="12"/>
              </w:rPr>
              <w:t>1</w:t>
            </w:r>
          </w:p>
        </w:tc>
        <w:tc>
          <w:tcPr>
            <w:tcW w:w="1193" w:type="dxa"/>
            <w:vAlign w:val="top"/>
          </w:tcPr>
          <w:p>
            <w:pPr>
              <w:ind w:left="358"/>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113" w:type="dxa"/>
            <w:vAlign w:val="top"/>
          </w:tcPr>
          <w:p>
            <w:pPr>
              <w:pStyle w:val="TableText"/>
              <w:ind w:left="255"/>
              <w:spacing w:before="96" w:line="232" w:lineRule="auto"/>
              <w:rPr/>
            </w:pPr>
            <w:r>
              <w:rPr>
                <w:spacing w:val="3"/>
              </w:rPr>
              <w:t>浅黄色</w:t>
            </w:r>
          </w:p>
        </w:tc>
        <w:tc>
          <w:tcPr>
            <w:tcW w:w="1282" w:type="dxa"/>
            <w:vAlign w:val="top"/>
          </w:tcPr>
          <w:p>
            <w:pPr>
              <w:ind w:left="538"/>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28</w:t>
            </w:r>
          </w:p>
        </w:tc>
        <w:tc>
          <w:tcPr>
            <w:tcW w:w="1116" w:type="dxa"/>
            <w:vAlign w:val="top"/>
          </w:tcPr>
          <w:p>
            <w:pPr>
              <w:ind w:left="210"/>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&lt;0.0011</w:t>
            </w:r>
          </w:p>
        </w:tc>
        <w:tc>
          <w:tcPr>
            <w:tcW w:w="1116" w:type="dxa"/>
            <w:vAlign w:val="top"/>
          </w:tcPr>
          <w:p>
            <w:pPr>
              <w:ind w:left="210"/>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1116" w:type="dxa"/>
            <w:vAlign w:val="top"/>
          </w:tcPr>
          <w:p>
            <w:pPr>
              <w:ind w:left="36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204" w:type="dxa"/>
            <w:vAlign w:val="top"/>
          </w:tcPr>
          <w:p>
            <w:pPr>
              <w:ind w:left="412"/>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027" w:type="dxa"/>
            <w:vAlign w:val="top"/>
          </w:tcPr>
          <w:p>
            <w:pPr>
              <w:ind w:left="324"/>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&lt;0.2</w:t>
            </w:r>
          </w:p>
        </w:tc>
        <w:tc>
          <w:tcPr>
            <w:tcW w:w="1116" w:type="dxa"/>
            <w:vAlign w:val="top"/>
          </w:tcPr>
          <w:p>
            <w:pPr>
              <w:ind w:left="370"/>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923" w:type="dxa"/>
            <w:vAlign w:val="top"/>
          </w:tcPr>
          <w:p>
            <w:pPr>
              <w:ind w:left="274"/>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511" w:type="dxa"/>
            <w:vAlign w:val="top"/>
          </w:tcPr>
          <w:p>
            <w:pPr>
              <w:ind w:left="567"/>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049" w:type="dxa"/>
            <w:vAlign w:val="top"/>
          </w:tcPr>
          <w:p>
            <w:pPr>
              <w:ind w:left="127"/>
              <w:spacing w:before="115" w:line="213"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2"/>
              </w:rPr>
              <w:t>9.20×10</w:t>
            </w:r>
            <w:r>
              <w:rPr>
                <w:rFonts w:ascii="Times New Roman" w:hAnsi="Times New Roman" w:eastAsia="Times New Roman" w:cs="Times New Roman"/>
                <w:sz w:val="13"/>
                <w:szCs w:val="13"/>
                <w:spacing w:val="2"/>
                <w:position w:val="6"/>
              </w:rPr>
              <w:t>-6</w:t>
            </w:r>
          </w:p>
        </w:tc>
      </w:tr>
      <w:tr>
        <w:trPr>
          <w:trHeight w:val="402" w:hRule="atLeast"/>
        </w:trPr>
        <w:tc>
          <w:tcPr>
            <w:tcW w:w="1108" w:type="dxa"/>
            <w:vAlign w:val="top"/>
          </w:tcPr>
          <w:p>
            <w:pPr>
              <w:ind w:left="363"/>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HT</w:t>
            </w:r>
            <w:r>
              <w:rPr>
                <w:rFonts w:ascii="Times New Roman" w:hAnsi="Times New Roman" w:eastAsia="Times New Roman" w:cs="Times New Roman"/>
                <w:sz w:val="20"/>
                <w:szCs w:val="20"/>
                <w:spacing w:val="12"/>
              </w:rPr>
              <w:t>1</w:t>
            </w:r>
          </w:p>
        </w:tc>
        <w:tc>
          <w:tcPr>
            <w:tcW w:w="1193" w:type="dxa"/>
            <w:vAlign w:val="top"/>
          </w:tcPr>
          <w:p>
            <w:pPr>
              <w:ind w:left="358"/>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113" w:type="dxa"/>
            <w:vAlign w:val="top"/>
          </w:tcPr>
          <w:p>
            <w:pPr>
              <w:pStyle w:val="TableText"/>
              <w:ind w:left="255"/>
              <w:spacing w:before="97" w:line="232" w:lineRule="auto"/>
              <w:rPr/>
            </w:pPr>
            <w:r>
              <w:rPr>
                <w:spacing w:val="3"/>
              </w:rPr>
              <w:t>浅黄色</w:t>
            </w:r>
          </w:p>
        </w:tc>
        <w:tc>
          <w:tcPr>
            <w:tcW w:w="1282" w:type="dxa"/>
            <w:vAlign w:val="top"/>
          </w:tcPr>
          <w:p>
            <w:pPr>
              <w:ind w:left="538"/>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27</w:t>
            </w:r>
          </w:p>
        </w:tc>
        <w:tc>
          <w:tcPr>
            <w:tcW w:w="1116" w:type="dxa"/>
            <w:vAlign w:val="top"/>
          </w:tcPr>
          <w:p>
            <w:pPr>
              <w:ind w:left="210"/>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&lt;0.0011</w:t>
            </w:r>
          </w:p>
        </w:tc>
        <w:tc>
          <w:tcPr>
            <w:tcW w:w="1116" w:type="dxa"/>
            <w:vAlign w:val="top"/>
          </w:tcPr>
          <w:p>
            <w:pPr>
              <w:ind w:left="210"/>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1116" w:type="dxa"/>
            <w:vAlign w:val="top"/>
          </w:tcPr>
          <w:p>
            <w:pPr>
              <w:ind w:left="369"/>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204" w:type="dxa"/>
            <w:vAlign w:val="top"/>
          </w:tcPr>
          <w:p>
            <w:pPr>
              <w:ind w:left="412"/>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027" w:type="dxa"/>
            <w:vAlign w:val="top"/>
          </w:tcPr>
          <w:p>
            <w:pPr>
              <w:ind w:left="324"/>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&lt;0.2</w:t>
            </w:r>
          </w:p>
        </w:tc>
        <w:tc>
          <w:tcPr>
            <w:tcW w:w="1116" w:type="dxa"/>
            <w:vAlign w:val="top"/>
          </w:tcPr>
          <w:p>
            <w:pPr>
              <w:ind w:left="370"/>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923" w:type="dxa"/>
            <w:vAlign w:val="top"/>
          </w:tcPr>
          <w:p>
            <w:pPr>
              <w:ind w:left="274"/>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511" w:type="dxa"/>
            <w:vAlign w:val="top"/>
          </w:tcPr>
          <w:p>
            <w:pPr>
              <w:ind w:left="567"/>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049" w:type="dxa"/>
            <w:vAlign w:val="top"/>
          </w:tcPr>
          <w:p>
            <w:pPr>
              <w:ind w:left="123"/>
              <w:spacing w:before="115" w:line="214"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2.40×10</w:t>
            </w:r>
            <w:r>
              <w:rPr>
                <w:rFonts w:ascii="Times New Roman" w:hAnsi="Times New Roman" w:eastAsia="Times New Roman" w:cs="Times New Roman"/>
                <w:sz w:val="13"/>
                <w:szCs w:val="13"/>
                <w:spacing w:val="3"/>
                <w:position w:val="6"/>
              </w:rPr>
              <w:t>-5</w:t>
            </w:r>
          </w:p>
        </w:tc>
      </w:tr>
      <w:tr>
        <w:trPr>
          <w:trHeight w:val="401" w:hRule="atLeast"/>
        </w:trPr>
        <w:tc>
          <w:tcPr>
            <w:tcW w:w="1108" w:type="dxa"/>
            <w:vAlign w:val="top"/>
          </w:tcPr>
          <w:p>
            <w:pPr>
              <w:ind w:left="372"/>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CT</w:t>
            </w:r>
            <w:r>
              <w:rPr>
                <w:rFonts w:ascii="Times New Roman" w:hAnsi="Times New Roman" w:eastAsia="Times New Roman" w:cs="Times New Roman"/>
                <w:sz w:val="20"/>
                <w:szCs w:val="20"/>
                <w:spacing w:val="7"/>
              </w:rPr>
              <w:t>2</w:t>
            </w:r>
          </w:p>
        </w:tc>
        <w:tc>
          <w:tcPr>
            <w:tcW w:w="1193" w:type="dxa"/>
            <w:vAlign w:val="top"/>
          </w:tcPr>
          <w:p>
            <w:pPr>
              <w:ind w:left="358"/>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113" w:type="dxa"/>
            <w:vAlign w:val="top"/>
          </w:tcPr>
          <w:p>
            <w:pPr>
              <w:pStyle w:val="TableText"/>
              <w:ind w:left="357"/>
              <w:spacing w:before="96" w:line="232" w:lineRule="auto"/>
              <w:rPr/>
            </w:pPr>
            <w:r>
              <w:rPr>
                <w:spacing w:val="2"/>
              </w:rPr>
              <w:t>黄色</w:t>
            </w:r>
          </w:p>
        </w:tc>
        <w:tc>
          <w:tcPr>
            <w:tcW w:w="1282" w:type="dxa"/>
            <w:vAlign w:val="top"/>
          </w:tcPr>
          <w:p>
            <w:pPr>
              <w:ind w:left="537"/>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46</w:t>
            </w:r>
          </w:p>
        </w:tc>
        <w:tc>
          <w:tcPr>
            <w:tcW w:w="1116" w:type="dxa"/>
            <w:vAlign w:val="top"/>
          </w:tcPr>
          <w:p>
            <w:pPr>
              <w:ind w:left="210"/>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&lt;0.0011</w:t>
            </w:r>
          </w:p>
        </w:tc>
        <w:tc>
          <w:tcPr>
            <w:tcW w:w="1116" w:type="dxa"/>
            <w:vAlign w:val="top"/>
          </w:tcPr>
          <w:p>
            <w:pPr>
              <w:ind w:left="210"/>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1116" w:type="dxa"/>
            <w:vAlign w:val="top"/>
          </w:tcPr>
          <w:p>
            <w:pPr>
              <w:ind w:left="36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204" w:type="dxa"/>
            <w:vAlign w:val="top"/>
          </w:tcPr>
          <w:p>
            <w:pPr>
              <w:ind w:left="412"/>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027" w:type="dxa"/>
            <w:vAlign w:val="top"/>
          </w:tcPr>
          <w:p>
            <w:pPr>
              <w:ind w:left="324"/>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&lt;0.2</w:t>
            </w:r>
          </w:p>
        </w:tc>
        <w:tc>
          <w:tcPr>
            <w:tcW w:w="1116" w:type="dxa"/>
            <w:vAlign w:val="top"/>
          </w:tcPr>
          <w:p>
            <w:pPr>
              <w:ind w:left="370"/>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923" w:type="dxa"/>
            <w:vAlign w:val="top"/>
          </w:tcPr>
          <w:p>
            <w:pPr>
              <w:ind w:left="274"/>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511" w:type="dxa"/>
            <w:vAlign w:val="top"/>
          </w:tcPr>
          <w:p>
            <w:pPr>
              <w:ind w:left="567"/>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049" w:type="dxa"/>
            <w:vAlign w:val="top"/>
          </w:tcPr>
          <w:p>
            <w:pPr>
              <w:ind w:left="143"/>
              <w:spacing w:before="116" w:line="211"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1"/>
              </w:rPr>
              <w:t>1.00×10</w:t>
            </w:r>
            <w:r>
              <w:rPr>
                <w:rFonts w:ascii="Times New Roman" w:hAnsi="Times New Roman" w:eastAsia="Times New Roman" w:cs="Times New Roman"/>
                <w:sz w:val="13"/>
                <w:szCs w:val="13"/>
                <w:spacing w:val="1"/>
                <w:position w:val="6"/>
              </w:rPr>
              <w:t>-5</w:t>
            </w:r>
          </w:p>
        </w:tc>
      </w:tr>
      <w:tr>
        <w:trPr>
          <w:trHeight w:val="402" w:hRule="atLeast"/>
        </w:trPr>
        <w:tc>
          <w:tcPr>
            <w:tcW w:w="1108" w:type="dxa"/>
            <w:vAlign w:val="top"/>
          </w:tcPr>
          <w:p>
            <w:pPr>
              <w:ind w:left="37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FT</w:t>
            </w:r>
            <w:r>
              <w:rPr>
                <w:rFonts w:ascii="Times New Roman" w:hAnsi="Times New Roman" w:eastAsia="Times New Roman" w:cs="Times New Roman"/>
                <w:sz w:val="20"/>
                <w:szCs w:val="20"/>
                <w:spacing w:val="12"/>
              </w:rPr>
              <w:t>1</w:t>
            </w:r>
          </w:p>
        </w:tc>
        <w:tc>
          <w:tcPr>
            <w:tcW w:w="1193" w:type="dxa"/>
            <w:vAlign w:val="top"/>
          </w:tcPr>
          <w:p>
            <w:pPr>
              <w:ind w:left="358"/>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113" w:type="dxa"/>
            <w:vAlign w:val="top"/>
          </w:tcPr>
          <w:p>
            <w:pPr>
              <w:pStyle w:val="TableText"/>
              <w:ind w:left="357"/>
              <w:spacing w:before="98" w:line="232" w:lineRule="auto"/>
              <w:rPr/>
            </w:pPr>
            <w:r>
              <w:rPr>
                <w:spacing w:val="2"/>
              </w:rPr>
              <w:t>黄色</w:t>
            </w:r>
          </w:p>
        </w:tc>
        <w:tc>
          <w:tcPr>
            <w:tcW w:w="1282" w:type="dxa"/>
            <w:vAlign w:val="top"/>
          </w:tcPr>
          <w:p>
            <w:pPr>
              <w:ind w:left="542"/>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1116" w:type="dxa"/>
            <w:vAlign w:val="top"/>
          </w:tcPr>
          <w:p>
            <w:pPr>
              <w:ind w:left="210"/>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&lt;0.0011</w:t>
            </w:r>
          </w:p>
        </w:tc>
        <w:tc>
          <w:tcPr>
            <w:tcW w:w="1116" w:type="dxa"/>
            <w:vAlign w:val="top"/>
          </w:tcPr>
          <w:p>
            <w:pPr>
              <w:ind w:left="210"/>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1116" w:type="dxa"/>
            <w:vAlign w:val="top"/>
          </w:tcPr>
          <w:p>
            <w:pPr>
              <w:ind w:left="36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204" w:type="dxa"/>
            <w:vAlign w:val="top"/>
          </w:tcPr>
          <w:p>
            <w:pPr>
              <w:ind w:left="412"/>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027" w:type="dxa"/>
            <w:vAlign w:val="top"/>
          </w:tcPr>
          <w:p>
            <w:pPr>
              <w:ind w:left="324"/>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&lt;0.2</w:t>
            </w:r>
          </w:p>
        </w:tc>
        <w:tc>
          <w:tcPr>
            <w:tcW w:w="1116" w:type="dxa"/>
            <w:vAlign w:val="top"/>
          </w:tcPr>
          <w:p>
            <w:pPr>
              <w:ind w:left="370"/>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923" w:type="dxa"/>
            <w:vAlign w:val="top"/>
          </w:tcPr>
          <w:p>
            <w:pPr>
              <w:ind w:left="274"/>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511" w:type="dxa"/>
            <w:vAlign w:val="top"/>
          </w:tcPr>
          <w:p>
            <w:pPr>
              <w:ind w:left="567"/>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049" w:type="dxa"/>
            <w:vAlign w:val="top"/>
          </w:tcPr>
          <w:p>
            <w:pPr>
              <w:ind w:left="143"/>
              <w:spacing w:before="115" w:line="214"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2"/>
              </w:rPr>
              <w:t>10×10</w:t>
            </w:r>
            <w:r>
              <w:rPr>
                <w:rFonts w:ascii="Times New Roman" w:hAnsi="Times New Roman" w:eastAsia="Times New Roman" w:cs="Times New Roman"/>
                <w:sz w:val="13"/>
                <w:szCs w:val="13"/>
                <w:spacing w:val="-2"/>
                <w:position w:val="6"/>
              </w:rPr>
              <w:t>-5</w:t>
            </w:r>
          </w:p>
        </w:tc>
      </w:tr>
      <w:tr>
        <w:trPr>
          <w:trHeight w:val="402" w:hRule="atLeast"/>
        </w:trPr>
        <w:tc>
          <w:tcPr>
            <w:tcW w:w="1108" w:type="dxa"/>
            <w:vAlign w:val="top"/>
          </w:tcPr>
          <w:p>
            <w:pPr>
              <w:ind w:left="367"/>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GT</w:t>
            </w:r>
            <w:r>
              <w:rPr>
                <w:rFonts w:ascii="Times New Roman" w:hAnsi="Times New Roman" w:eastAsia="Times New Roman" w:cs="Times New Roman"/>
                <w:sz w:val="20"/>
                <w:szCs w:val="20"/>
                <w:spacing w:val="8"/>
              </w:rPr>
              <w:t>1</w:t>
            </w:r>
          </w:p>
        </w:tc>
        <w:tc>
          <w:tcPr>
            <w:tcW w:w="1193" w:type="dxa"/>
            <w:vAlign w:val="top"/>
          </w:tcPr>
          <w:p>
            <w:pPr>
              <w:ind w:left="358"/>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113" w:type="dxa"/>
            <w:vAlign w:val="top"/>
          </w:tcPr>
          <w:p>
            <w:pPr>
              <w:pStyle w:val="TableText"/>
              <w:ind w:left="357"/>
              <w:spacing w:before="99" w:line="232" w:lineRule="auto"/>
              <w:rPr/>
            </w:pPr>
            <w:r>
              <w:rPr>
                <w:spacing w:val="2"/>
              </w:rPr>
              <w:t>黄色</w:t>
            </w:r>
          </w:p>
        </w:tc>
        <w:tc>
          <w:tcPr>
            <w:tcW w:w="1282" w:type="dxa"/>
            <w:vAlign w:val="top"/>
          </w:tcPr>
          <w:p>
            <w:pPr>
              <w:ind w:left="542"/>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1116" w:type="dxa"/>
            <w:vAlign w:val="top"/>
          </w:tcPr>
          <w:p>
            <w:pPr>
              <w:ind w:left="210"/>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&lt;0.0011</w:t>
            </w:r>
          </w:p>
        </w:tc>
        <w:tc>
          <w:tcPr>
            <w:tcW w:w="1116" w:type="dxa"/>
            <w:vAlign w:val="top"/>
          </w:tcPr>
          <w:p>
            <w:pPr>
              <w:ind w:left="210"/>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1116" w:type="dxa"/>
            <w:vAlign w:val="top"/>
          </w:tcPr>
          <w:p>
            <w:pPr>
              <w:ind w:left="369"/>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204" w:type="dxa"/>
            <w:vAlign w:val="top"/>
          </w:tcPr>
          <w:p>
            <w:pPr>
              <w:ind w:left="412"/>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027" w:type="dxa"/>
            <w:vAlign w:val="top"/>
          </w:tcPr>
          <w:p>
            <w:pPr>
              <w:ind w:left="324"/>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&lt;0.2</w:t>
            </w:r>
          </w:p>
        </w:tc>
        <w:tc>
          <w:tcPr>
            <w:tcW w:w="1116" w:type="dxa"/>
            <w:vAlign w:val="top"/>
          </w:tcPr>
          <w:p>
            <w:pPr>
              <w:ind w:left="370"/>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923" w:type="dxa"/>
            <w:vAlign w:val="top"/>
          </w:tcPr>
          <w:p>
            <w:pPr>
              <w:ind w:left="274"/>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511" w:type="dxa"/>
            <w:vAlign w:val="top"/>
          </w:tcPr>
          <w:p>
            <w:pPr>
              <w:ind w:left="567"/>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049" w:type="dxa"/>
            <w:vAlign w:val="top"/>
          </w:tcPr>
          <w:p>
            <w:pPr>
              <w:ind w:left="127"/>
              <w:spacing w:before="116" w:line="214"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2"/>
              </w:rPr>
              <w:t>3.80×10</w:t>
            </w:r>
            <w:r>
              <w:rPr>
                <w:rFonts w:ascii="Times New Roman" w:hAnsi="Times New Roman" w:eastAsia="Times New Roman" w:cs="Times New Roman"/>
                <w:sz w:val="13"/>
                <w:szCs w:val="13"/>
                <w:spacing w:val="2"/>
                <w:position w:val="6"/>
              </w:rPr>
              <w:t>-5</w:t>
            </w:r>
          </w:p>
        </w:tc>
      </w:tr>
      <w:tr>
        <w:trPr>
          <w:trHeight w:val="402" w:hRule="atLeast"/>
        </w:trPr>
        <w:tc>
          <w:tcPr>
            <w:tcW w:w="1108" w:type="dxa"/>
            <w:vAlign w:val="top"/>
          </w:tcPr>
          <w:p>
            <w:pPr>
              <w:ind w:left="367"/>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GT</w:t>
            </w:r>
            <w:r>
              <w:rPr>
                <w:rFonts w:ascii="Times New Roman" w:hAnsi="Times New Roman" w:eastAsia="Times New Roman" w:cs="Times New Roman"/>
                <w:sz w:val="20"/>
                <w:szCs w:val="20"/>
                <w:spacing w:val="8"/>
              </w:rPr>
              <w:t>2</w:t>
            </w:r>
          </w:p>
        </w:tc>
        <w:tc>
          <w:tcPr>
            <w:tcW w:w="1193" w:type="dxa"/>
            <w:vAlign w:val="top"/>
          </w:tcPr>
          <w:p>
            <w:pPr>
              <w:ind w:left="358"/>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113" w:type="dxa"/>
            <w:vAlign w:val="top"/>
          </w:tcPr>
          <w:p>
            <w:pPr>
              <w:pStyle w:val="TableText"/>
              <w:ind w:left="357"/>
              <w:spacing w:before="98" w:line="232" w:lineRule="auto"/>
              <w:rPr/>
            </w:pPr>
            <w:r>
              <w:rPr>
                <w:spacing w:val="2"/>
              </w:rPr>
              <w:t>黄色</w:t>
            </w:r>
          </w:p>
        </w:tc>
        <w:tc>
          <w:tcPr>
            <w:tcW w:w="1282" w:type="dxa"/>
            <w:vAlign w:val="top"/>
          </w:tcPr>
          <w:p>
            <w:pPr>
              <w:ind w:left="542"/>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1116" w:type="dxa"/>
            <w:vAlign w:val="top"/>
          </w:tcPr>
          <w:p>
            <w:pPr>
              <w:ind w:left="210"/>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&lt;0.0011</w:t>
            </w:r>
          </w:p>
        </w:tc>
        <w:tc>
          <w:tcPr>
            <w:tcW w:w="1116" w:type="dxa"/>
            <w:vAlign w:val="top"/>
          </w:tcPr>
          <w:p>
            <w:pPr>
              <w:ind w:left="274"/>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0.0073</w:t>
            </w:r>
          </w:p>
        </w:tc>
        <w:tc>
          <w:tcPr>
            <w:tcW w:w="1116" w:type="dxa"/>
            <w:vAlign w:val="top"/>
          </w:tcPr>
          <w:p>
            <w:pPr>
              <w:ind w:left="369"/>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204" w:type="dxa"/>
            <w:vAlign w:val="top"/>
          </w:tcPr>
          <w:p>
            <w:pPr>
              <w:ind w:left="412"/>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027" w:type="dxa"/>
            <w:vAlign w:val="top"/>
          </w:tcPr>
          <w:p>
            <w:pPr>
              <w:ind w:left="324"/>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&lt;0.2</w:t>
            </w:r>
          </w:p>
        </w:tc>
        <w:tc>
          <w:tcPr>
            <w:tcW w:w="1116" w:type="dxa"/>
            <w:vAlign w:val="top"/>
          </w:tcPr>
          <w:p>
            <w:pPr>
              <w:ind w:left="370"/>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923" w:type="dxa"/>
            <w:vAlign w:val="top"/>
          </w:tcPr>
          <w:p>
            <w:pPr>
              <w:ind w:left="274"/>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511" w:type="dxa"/>
            <w:vAlign w:val="top"/>
          </w:tcPr>
          <w:p>
            <w:pPr>
              <w:ind w:left="567"/>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049" w:type="dxa"/>
            <w:vAlign w:val="top"/>
          </w:tcPr>
          <w:p>
            <w:pPr>
              <w:ind w:left="127"/>
              <w:spacing w:before="115" w:line="214"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2"/>
              </w:rPr>
              <w:t>3.60×10</w:t>
            </w:r>
            <w:r>
              <w:rPr>
                <w:rFonts w:ascii="Times New Roman" w:hAnsi="Times New Roman" w:eastAsia="Times New Roman" w:cs="Times New Roman"/>
                <w:sz w:val="13"/>
                <w:szCs w:val="13"/>
                <w:spacing w:val="2"/>
                <w:position w:val="6"/>
              </w:rPr>
              <w:t>-5</w:t>
            </w:r>
          </w:p>
        </w:tc>
      </w:tr>
      <w:tr>
        <w:trPr>
          <w:trHeight w:val="406" w:hRule="atLeast"/>
        </w:trPr>
        <w:tc>
          <w:tcPr>
            <w:tcW w:w="14874" w:type="dxa"/>
            <w:vAlign w:val="top"/>
            <w:gridSpan w:val="13"/>
          </w:tcPr>
          <w:p>
            <w:pPr>
              <w:pStyle w:val="TableText"/>
              <w:ind w:left="127"/>
              <w:spacing w:before="98" w:line="229" w:lineRule="auto"/>
              <w:rPr/>
            </w:pPr>
            <w:r>
              <w:rPr>
                <w:spacing w:val="7"/>
              </w:rPr>
              <w:t>注：未列出指标均未检出。</w:t>
            </w:r>
          </w:p>
        </w:tc>
      </w:tr>
    </w:tbl>
    <w:p>
      <w:pPr>
        <w:rPr>
          <w:rFonts w:ascii="Arial"/>
          <w:sz w:val="21"/>
        </w:rPr>
      </w:pPr>
      <w:r/>
    </w:p>
    <w:p>
      <w:pPr>
        <w:sectPr>
          <w:headerReference w:type="default" r:id="rId34"/>
          <w:footerReference w:type="default" r:id="rId35"/>
          <w:pgSz w:w="16839" w:h="11906"/>
          <w:pgMar w:top="1025" w:right="991" w:bottom="998" w:left="967" w:header="716" w:footer="835" w:gutter="0"/>
        </w:sectPr>
        <w:rPr>
          <w:rFonts w:ascii="Arial" w:hAnsi="Arial" w:eastAsia="Arial" w:cs="Arial"/>
          <w:sz w:val="21"/>
          <w:szCs w:val="21"/>
        </w:rPr>
      </w:pPr>
    </w:p>
    <w:p>
      <w:pPr>
        <w:spacing w:line="371" w:lineRule="auto"/>
        <w:rPr>
          <w:rFonts w:ascii="Arial"/>
          <w:sz w:val="21"/>
        </w:rPr>
      </w:pPr>
      <w:r/>
    </w:p>
    <w:p>
      <w:pPr>
        <w:pStyle w:val="BodyText"/>
        <w:ind w:left="4901"/>
        <w:spacing w:before="78" w:line="211" w:lineRule="auto"/>
        <w:rPr>
          <w:rFonts w:ascii="FangSong" w:hAnsi="FangSong" w:eastAsia="FangSong" w:cs="FangSong"/>
          <w:sz w:val="24"/>
          <w:szCs w:val="24"/>
        </w:rPr>
      </w:pPr>
      <w:r>
        <w:rPr>
          <w:rFonts w:ascii="FangSong" w:hAnsi="FangSong" w:eastAsia="FangSong" w:cs="FangSong"/>
          <w:sz w:val="24"/>
          <w:szCs w:val="24"/>
          <w:b/>
          <w:bCs/>
          <w:spacing w:val="-2"/>
        </w:rPr>
        <w:t>表</w:t>
      </w:r>
      <w:r>
        <w:rPr>
          <w:sz w:val="24"/>
          <w:szCs w:val="24"/>
          <w:b/>
          <w:bCs/>
          <w:spacing w:val="-2"/>
        </w:rPr>
        <w:t>2.3-2 2024</w:t>
      </w:r>
      <w:r>
        <w:rPr>
          <w:rFonts w:ascii="FangSong" w:hAnsi="FangSong" w:eastAsia="FangSong" w:cs="FangSong"/>
          <w:sz w:val="24"/>
          <w:szCs w:val="24"/>
          <w:b/>
          <w:bCs/>
          <w:spacing w:val="-2"/>
        </w:rPr>
        <w:t>年度地下水样品检测结果（有检出）</w:t>
      </w:r>
    </w:p>
    <w:tbl>
      <w:tblPr>
        <w:tblStyle w:val="TableNormal"/>
        <w:tblW w:w="1489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412"/>
        <w:gridCol w:w="1385"/>
        <w:gridCol w:w="1385"/>
        <w:gridCol w:w="1387"/>
        <w:gridCol w:w="1385"/>
        <w:gridCol w:w="1387"/>
        <w:gridCol w:w="1385"/>
        <w:gridCol w:w="1387"/>
        <w:gridCol w:w="1390"/>
        <w:gridCol w:w="1389"/>
      </w:tblGrid>
      <w:tr>
        <w:trPr>
          <w:trHeight w:val="292" w:hRule="atLeast"/>
        </w:trPr>
        <w:tc>
          <w:tcPr>
            <w:tcW w:w="2412" w:type="dxa"/>
            <w:vAlign w:val="top"/>
          </w:tcPr>
          <w:p>
            <w:pPr>
              <w:pStyle w:val="TableText"/>
              <w:ind w:left="797"/>
              <w:spacing w:before="42" w:line="221" w:lineRule="auto"/>
              <w:rPr/>
            </w:pPr>
            <w:r>
              <w:rPr>
                <w:b/>
                <w:bCs/>
                <w:spacing w:val="4"/>
              </w:rPr>
              <w:t>采样日期</w:t>
            </w:r>
          </w:p>
        </w:tc>
        <w:tc>
          <w:tcPr>
            <w:tcW w:w="2770" w:type="dxa"/>
            <w:vAlign w:val="top"/>
            <w:gridSpan w:val="2"/>
          </w:tcPr>
          <w:p>
            <w:pPr>
              <w:ind w:left="911"/>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2024.05.21</w:t>
            </w:r>
          </w:p>
        </w:tc>
        <w:tc>
          <w:tcPr>
            <w:tcW w:w="8321" w:type="dxa"/>
            <w:vAlign w:val="top"/>
            <w:gridSpan w:val="6"/>
          </w:tcPr>
          <w:p>
            <w:pPr>
              <w:ind w:left="3690"/>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2024.07.19</w:t>
            </w:r>
          </w:p>
        </w:tc>
        <w:tc>
          <w:tcPr>
            <w:tcW w:w="1389" w:type="dxa"/>
            <w:vAlign w:val="top"/>
            <w:vMerge w:val="restart"/>
            <w:tcBorders>
              <w:bottom w:val="nil"/>
            </w:tcBorders>
          </w:tcPr>
          <w:p>
            <w:pPr>
              <w:pStyle w:val="TableText"/>
              <w:ind w:left="499"/>
              <w:spacing w:before="188" w:line="229" w:lineRule="auto"/>
              <w:rPr/>
            </w:pPr>
            <w:r>
              <w:rPr>
                <w:b/>
                <w:bCs/>
                <w:spacing w:val="-1"/>
              </w:rPr>
              <w:t>单位</w:t>
            </w:r>
          </w:p>
        </w:tc>
      </w:tr>
      <w:tr>
        <w:trPr>
          <w:trHeight w:val="288" w:hRule="atLeast"/>
        </w:trPr>
        <w:tc>
          <w:tcPr>
            <w:tcW w:w="2412" w:type="dxa"/>
            <w:vAlign w:val="top"/>
          </w:tcPr>
          <w:p>
            <w:pPr>
              <w:pStyle w:val="TableText"/>
              <w:ind w:left="795"/>
              <w:spacing w:before="37" w:line="222" w:lineRule="auto"/>
              <w:rPr/>
            </w:pPr>
            <w:r>
              <w:rPr>
                <w:b/>
                <w:bCs/>
                <w:spacing w:val="5"/>
              </w:rPr>
              <w:t>测点名称</w:t>
            </w:r>
          </w:p>
        </w:tc>
        <w:tc>
          <w:tcPr>
            <w:tcW w:w="2770" w:type="dxa"/>
            <w:vAlign w:val="top"/>
            <w:gridSpan w:val="2"/>
          </w:tcPr>
          <w:p>
            <w:pPr>
              <w:ind w:left="1125"/>
              <w:spacing w:before="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DZS</w:t>
            </w:r>
            <w:r>
              <w:rPr>
                <w:rFonts w:ascii="Times New Roman" w:hAnsi="Times New Roman" w:eastAsia="Times New Roman" w:cs="Times New Roman"/>
                <w:sz w:val="20"/>
                <w:szCs w:val="20"/>
                <w:b/>
                <w:bCs/>
                <w:spacing w:val="18"/>
              </w:rPr>
              <w:t>1</w:t>
            </w:r>
          </w:p>
        </w:tc>
        <w:tc>
          <w:tcPr>
            <w:tcW w:w="2772" w:type="dxa"/>
            <w:vAlign w:val="top"/>
            <w:gridSpan w:val="2"/>
          </w:tcPr>
          <w:p>
            <w:pPr>
              <w:ind w:left="1127"/>
              <w:spacing w:before="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DZS</w:t>
            </w:r>
            <w:r>
              <w:rPr>
                <w:rFonts w:ascii="Times New Roman" w:hAnsi="Times New Roman" w:eastAsia="Times New Roman" w:cs="Times New Roman"/>
                <w:sz w:val="20"/>
                <w:szCs w:val="20"/>
                <w:b/>
                <w:bCs/>
                <w:spacing w:val="18"/>
              </w:rPr>
              <w:t>1</w:t>
            </w:r>
          </w:p>
        </w:tc>
        <w:tc>
          <w:tcPr>
            <w:tcW w:w="2772" w:type="dxa"/>
            <w:vAlign w:val="top"/>
            <w:gridSpan w:val="2"/>
          </w:tcPr>
          <w:p>
            <w:pPr>
              <w:ind w:left="1198"/>
              <w:spacing w:before="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AS</w:t>
            </w:r>
            <w:r>
              <w:rPr>
                <w:rFonts w:ascii="Times New Roman" w:hAnsi="Times New Roman" w:eastAsia="Times New Roman" w:cs="Times New Roman"/>
                <w:sz w:val="20"/>
                <w:szCs w:val="20"/>
                <w:b/>
                <w:bCs/>
                <w:spacing w:val="13"/>
              </w:rPr>
              <w:t>1</w:t>
            </w:r>
          </w:p>
        </w:tc>
        <w:tc>
          <w:tcPr>
            <w:tcW w:w="2777" w:type="dxa"/>
            <w:vAlign w:val="top"/>
            <w:gridSpan w:val="2"/>
          </w:tcPr>
          <w:p>
            <w:pPr>
              <w:ind w:left="1210"/>
              <w:spacing w:before="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ES</w:t>
            </w:r>
            <w:r>
              <w:rPr>
                <w:rFonts w:ascii="Times New Roman" w:hAnsi="Times New Roman" w:eastAsia="Times New Roman" w:cs="Times New Roman"/>
                <w:sz w:val="20"/>
                <w:szCs w:val="20"/>
                <w:b/>
                <w:bCs/>
                <w:spacing w:val="10"/>
              </w:rPr>
              <w:t>1</w:t>
            </w:r>
          </w:p>
        </w:tc>
        <w:tc>
          <w:tcPr>
            <w:tcW w:w="1389" w:type="dxa"/>
            <w:vAlign w:val="top"/>
            <w:vMerge w:val="continue"/>
            <w:tcBorders>
              <w:top w:val="nil"/>
            </w:tcBorders>
          </w:tcPr>
          <w:p>
            <w:pPr>
              <w:rPr>
                <w:rFonts w:ascii="Arial"/>
                <w:sz w:val="21"/>
              </w:rPr>
            </w:pPr>
            <w:r/>
          </w:p>
        </w:tc>
      </w:tr>
      <w:tr>
        <w:trPr>
          <w:trHeight w:val="287" w:hRule="atLeast"/>
        </w:trPr>
        <w:tc>
          <w:tcPr>
            <w:tcW w:w="2412" w:type="dxa"/>
            <w:vAlign w:val="top"/>
          </w:tcPr>
          <w:p>
            <w:pPr>
              <w:pStyle w:val="TableText"/>
              <w:ind w:left="968"/>
              <w:spacing w:before="37" w:line="221" w:lineRule="auto"/>
              <w:rPr/>
            </w:pPr>
            <w:r>
              <w:rPr>
                <w:rFonts w:ascii="Times New Roman" w:hAnsi="Times New Roman" w:eastAsia="Times New Roman" w:cs="Times New Roman"/>
              </w:rPr>
              <w:t>pH</w:t>
            </w:r>
            <w:r>
              <w:rPr>
                <w:spacing w:val="21"/>
              </w:rPr>
              <w:t>值</w:t>
            </w:r>
          </w:p>
        </w:tc>
        <w:tc>
          <w:tcPr>
            <w:tcW w:w="1385" w:type="dxa"/>
            <w:vAlign w:val="top"/>
          </w:tcPr>
          <w:p>
            <w:pPr>
              <w:ind w:left="648"/>
              <w:spacing w:before="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385" w:type="dxa"/>
            <w:vAlign w:val="top"/>
          </w:tcPr>
          <w:p>
            <w:pPr>
              <w:ind w:left="659"/>
              <w:spacing w:before="6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387" w:type="dxa"/>
            <w:vAlign w:val="top"/>
          </w:tcPr>
          <w:p>
            <w:pPr>
              <w:ind w:left="566"/>
              <w:spacing w:before="7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385" w:type="dxa"/>
            <w:vAlign w:val="top"/>
          </w:tcPr>
          <w:p>
            <w:pPr>
              <w:ind w:left="659"/>
              <w:spacing w:before="6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387" w:type="dxa"/>
            <w:vAlign w:val="top"/>
          </w:tcPr>
          <w:p>
            <w:pPr>
              <w:ind w:left="566"/>
              <w:spacing w:before="7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385" w:type="dxa"/>
            <w:vAlign w:val="top"/>
          </w:tcPr>
          <w:p>
            <w:pPr>
              <w:ind w:left="659"/>
              <w:spacing w:before="6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387" w:type="dxa"/>
            <w:vAlign w:val="top"/>
          </w:tcPr>
          <w:p>
            <w:pPr>
              <w:ind w:left="566"/>
              <w:spacing w:before="7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7.7</w:t>
            </w:r>
          </w:p>
        </w:tc>
        <w:tc>
          <w:tcPr>
            <w:tcW w:w="1390" w:type="dxa"/>
            <w:vAlign w:val="top"/>
          </w:tcPr>
          <w:p>
            <w:pPr>
              <w:ind w:left="664"/>
              <w:spacing w:before="6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389" w:type="dxa"/>
            <w:vAlign w:val="top"/>
          </w:tcPr>
          <w:p>
            <w:pPr>
              <w:pStyle w:val="TableText"/>
              <w:ind w:left="392"/>
              <w:spacing w:before="37" w:line="221" w:lineRule="auto"/>
              <w:rPr/>
            </w:pPr>
            <w:r>
              <w:rPr>
                <w:spacing w:val="4"/>
              </w:rPr>
              <w:t>无量纲</w:t>
            </w:r>
          </w:p>
        </w:tc>
      </w:tr>
      <w:tr>
        <w:trPr>
          <w:trHeight w:val="288" w:hRule="atLeast"/>
        </w:trPr>
        <w:tc>
          <w:tcPr>
            <w:tcW w:w="2412" w:type="dxa"/>
            <w:vAlign w:val="top"/>
          </w:tcPr>
          <w:p>
            <w:pPr>
              <w:pStyle w:val="TableText"/>
              <w:ind w:left="904"/>
              <w:spacing w:before="38" w:line="221" w:lineRule="auto"/>
              <w:rPr/>
            </w:pPr>
            <w:r>
              <w:rPr>
                <w:spacing w:val="3"/>
              </w:rPr>
              <w:t>臭和味</w:t>
            </w:r>
          </w:p>
        </w:tc>
        <w:tc>
          <w:tcPr>
            <w:tcW w:w="1385" w:type="dxa"/>
            <w:vAlign w:val="top"/>
          </w:tcPr>
          <w:p>
            <w:pPr>
              <w:pStyle w:val="TableText"/>
              <w:ind w:left="599"/>
              <w:spacing w:before="38" w:line="221" w:lineRule="auto"/>
              <w:rPr/>
            </w:pPr>
            <w:r>
              <w:rPr/>
              <w:t>无</w:t>
            </w:r>
          </w:p>
        </w:tc>
        <w:tc>
          <w:tcPr>
            <w:tcW w:w="1385" w:type="dxa"/>
            <w:vAlign w:val="top"/>
          </w:tcPr>
          <w:p>
            <w:pPr>
              <w:pStyle w:val="TableText"/>
              <w:ind w:left="552"/>
              <w:spacing w:before="38" w:line="221" w:lineRule="auto"/>
              <w:rPr/>
            </w:pPr>
            <w:r>
              <w:rPr>
                <w:rFonts w:ascii="Times New Roman" w:hAnsi="Times New Roman" w:eastAsia="Times New Roman" w:cs="Times New Roman"/>
                <w:spacing w:val="3"/>
              </w:rPr>
              <w:t>Ⅰ</w:t>
            </w:r>
            <w:r>
              <w:rPr>
                <w:spacing w:val="3"/>
              </w:rPr>
              <w:t>类</w:t>
            </w:r>
          </w:p>
        </w:tc>
        <w:tc>
          <w:tcPr>
            <w:tcW w:w="1387" w:type="dxa"/>
            <w:vAlign w:val="top"/>
          </w:tcPr>
          <w:p>
            <w:pPr>
              <w:pStyle w:val="TableText"/>
              <w:ind w:left="601"/>
              <w:spacing w:before="38" w:line="221" w:lineRule="auto"/>
              <w:rPr/>
            </w:pPr>
            <w:r>
              <w:rPr/>
              <w:t>无</w:t>
            </w:r>
          </w:p>
        </w:tc>
        <w:tc>
          <w:tcPr>
            <w:tcW w:w="1385" w:type="dxa"/>
            <w:vAlign w:val="top"/>
          </w:tcPr>
          <w:p>
            <w:pPr>
              <w:pStyle w:val="TableText"/>
              <w:ind w:left="554"/>
              <w:spacing w:before="38" w:line="221" w:lineRule="auto"/>
              <w:rPr/>
            </w:pPr>
            <w:r>
              <w:rPr>
                <w:rFonts w:ascii="Times New Roman" w:hAnsi="Times New Roman" w:eastAsia="Times New Roman" w:cs="Times New Roman"/>
                <w:spacing w:val="3"/>
              </w:rPr>
              <w:t>Ⅰ</w:t>
            </w:r>
            <w:r>
              <w:rPr>
                <w:spacing w:val="3"/>
              </w:rPr>
              <w:t>类</w:t>
            </w:r>
          </w:p>
        </w:tc>
        <w:tc>
          <w:tcPr>
            <w:tcW w:w="1387" w:type="dxa"/>
            <w:vAlign w:val="top"/>
          </w:tcPr>
          <w:p>
            <w:pPr>
              <w:pStyle w:val="TableText"/>
              <w:ind w:left="601"/>
              <w:spacing w:before="38" w:line="221" w:lineRule="auto"/>
              <w:rPr/>
            </w:pPr>
            <w:r>
              <w:rPr/>
              <w:t>无</w:t>
            </w:r>
          </w:p>
        </w:tc>
        <w:tc>
          <w:tcPr>
            <w:tcW w:w="1385" w:type="dxa"/>
            <w:vAlign w:val="top"/>
          </w:tcPr>
          <w:p>
            <w:pPr>
              <w:pStyle w:val="TableText"/>
              <w:ind w:left="554"/>
              <w:spacing w:before="38" w:line="221" w:lineRule="auto"/>
              <w:rPr/>
            </w:pPr>
            <w:r>
              <w:rPr>
                <w:rFonts w:ascii="Times New Roman" w:hAnsi="Times New Roman" w:eastAsia="Times New Roman" w:cs="Times New Roman"/>
                <w:spacing w:val="3"/>
              </w:rPr>
              <w:t>Ⅰ</w:t>
            </w:r>
            <w:r>
              <w:rPr>
                <w:spacing w:val="3"/>
              </w:rPr>
              <w:t>类</w:t>
            </w:r>
          </w:p>
        </w:tc>
        <w:tc>
          <w:tcPr>
            <w:tcW w:w="1387" w:type="dxa"/>
            <w:vAlign w:val="top"/>
          </w:tcPr>
          <w:p>
            <w:pPr>
              <w:pStyle w:val="TableText"/>
              <w:ind w:left="603"/>
              <w:spacing w:before="38" w:line="221" w:lineRule="auto"/>
              <w:rPr/>
            </w:pPr>
            <w:r>
              <w:rPr/>
              <w:t>无</w:t>
            </w:r>
          </w:p>
        </w:tc>
        <w:tc>
          <w:tcPr>
            <w:tcW w:w="1390" w:type="dxa"/>
            <w:vAlign w:val="top"/>
          </w:tcPr>
          <w:p>
            <w:pPr>
              <w:pStyle w:val="TableText"/>
              <w:ind w:left="559"/>
              <w:spacing w:before="38" w:line="221" w:lineRule="auto"/>
              <w:rPr/>
            </w:pPr>
            <w:r>
              <w:rPr>
                <w:rFonts w:ascii="Times New Roman" w:hAnsi="Times New Roman" w:eastAsia="Times New Roman" w:cs="Times New Roman"/>
                <w:spacing w:val="3"/>
              </w:rPr>
              <w:t>Ⅰ</w:t>
            </w:r>
            <w:r>
              <w:rPr>
                <w:spacing w:val="3"/>
              </w:rPr>
              <w:t>类</w:t>
            </w:r>
          </w:p>
        </w:tc>
        <w:tc>
          <w:tcPr>
            <w:tcW w:w="1389" w:type="dxa"/>
            <w:vAlign w:val="top"/>
          </w:tcPr>
          <w:p>
            <w:pPr>
              <w:ind w:left="585"/>
              <w:spacing w:before="163" w:line="9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2"/>
                <w:position w:val="-2"/>
              </w:rPr>
              <w:t>—</w:t>
            </w:r>
          </w:p>
        </w:tc>
      </w:tr>
      <w:tr>
        <w:trPr>
          <w:trHeight w:val="288" w:hRule="atLeast"/>
        </w:trPr>
        <w:tc>
          <w:tcPr>
            <w:tcW w:w="2412" w:type="dxa"/>
            <w:vAlign w:val="top"/>
          </w:tcPr>
          <w:p>
            <w:pPr>
              <w:pStyle w:val="TableText"/>
              <w:ind w:left="1010"/>
              <w:spacing w:before="38" w:line="221" w:lineRule="auto"/>
              <w:rPr/>
            </w:pPr>
            <w:r>
              <w:rPr/>
              <w:t>浊度</w:t>
            </w:r>
          </w:p>
        </w:tc>
        <w:tc>
          <w:tcPr>
            <w:tcW w:w="1385" w:type="dxa"/>
            <w:vAlign w:val="top"/>
          </w:tcPr>
          <w:p>
            <w:pPr>
              <w:ind w:left="565"/>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1"/>
              </w:rPr>
              <w:t>1</w:t>
            </w:r>
          </w:p>
        </w:tc>
        <w:tc>
          <w:tcPr>
            <w:tcW w:w="1385" w:type="dxa"/>
            <w:vAlign w:val="top"/>
          </w:tcPr>
          <w:p>
            <w:pPr>
              <w:pStyle w:val="TableText"/>
              <w:ind w:left="477"/>
              <w:spacing w:before="38" w:line="221" w:lineRule="auto"/>
              <w:rPr/>
            </w:pPr>
            <w:r>
              <w:rPr>
                <w:rFonts w:ascii="Times New Roman" w:hAnsi="Times New Roman" w:eastAsia="Times New Roman" w:cs="Times New Roman"/>
                <w:spacing w:val="7"/>
              </w:rPr>
              <w:t>Ⅳ</w:t>
            </w:r>
            <w:r>
              <w:rPr>
                <w:spacing w:val="7"/>
              </w:rPr>
              <w:t>类</w:t>
            </w:r>
          </w:p>
        </w:tc>
        <w:tc>
          <w:tcPr>
            <w:tcW w:w="1387" w:type="dxa"/>
            <w:vAlign w:val="top"/>
          </w:tcPr>
          <w:p>
            <w:pPr>
              <w:ind w:left="567"/>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3.7</w:t>
            </w:r>
          </w:p>
        </w:tc>
        <w:tc>
          <w:tcPr>
            <w:tcW w:w="1385" w:type="dxa"/>
            <w:vAlign w:val="top"/>
          </w:tcPr>
          <w:p>
            <w:pPr>
              <w:pStyle w:val="TableText"/>
              <w:ind w:left="480"/>
              <w:spacing w:before="38" w:line="221" w:lineRule="auto"/>
              <w:rPr/>
            </w:pPr>
            <w:r>
              <w:rPr>
                <w:rFonts w:ascii="Times New Roman" w:hAnsi="Times New Roman" w:eastAsia="Times New Roman" w:cs="Times New Roman"/>
                <w:spacing w:val="5"/>
              </w:rPr>
              <w:t>Ⅳ</w:t>
            </w:r>
            <w:r>
              <w:rPr>
                <w:spacing w:val="5"/>
              </w:rPr>
              <w:t>类</w:t>
            </w:r>
          </w:p>
        </w:tc>
        <w:tc>
          <w:tcPr>
            <w:tcW w:w="1387" w:type="dxa"/>
            <w:vAlign w:val="top"/>
          </w:tcPr>
          <w:p>
            <w:pPr>
              <w:ind w:left="568"/>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1385" w:type="dxa"/>
            <w:vAlign w:val="top"/>
          </w:tcPr>
          <w:p>
            <w:pPr>
              <w:pStyle w:val="TableText"/>
              <w:ind w:left="480"/>
              <w:spacing w:before="38" w:line="221" w:lineRule="auto"/>
              <w:rPr/>
            </w:pPr>
            <w:r>
              <w:rPr>
                <w:rFonts w:ascii="Times New Roman" w:hAnsi="Times New Roman" w:eastAsia="Times New Roman" w:cs="Times New Roman"/>
                <w:spacing w:val="7"/>
              </w:rPr>
              <w:t>Ⅳ</w:t>
            </w:r>
            <w:r>
              <w:rPr>
                <w:spacing w:val="7"/>
              </w:rPr>
              <w:t>类</w:t>
            </w:r>
          </w:p>
        </w:tc>
        <w:tc>
          <w:tcPr>
            <w:tcW w:w="1387" w:type="dxa"/>
            <w:vAlign w:val="top"/>
          </w:tcPr>
          <w:p>
            <w:pPr>
              <w:ind w:left="611"/>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18</w:t>
            </w:r>
          </w:p>
        </w:tc>
        <w:tc>
          <w:tcPr>
            <w:tcW w:w="1390" w:type="dxa"/>
            <w:vAlign w:val="top"/>
          </w:tcPr>
          <w:p>
            <w:pPr>
              <w:pStyle w:val="TableText"/>
              <w:ind w:left="515"/>
              <w:spacing w:before="38" w:line="221" w:lineRule="auto"/>
              <w:rPr/>
            </w:pPr>
            <w:r>
              <w:rPr>
                <w:rFonts w:ascii="Times New Roman" w:hAnsi="Times New Roman" w:eastAsia="Times New Roman" w:cs="Times New Roman"/>
                <w:spacing w:val="6"/>
              </w:rPr>
              <w:t>Ⅴ</w:t>
            </w:r>
            <w:r>
              <w:rPr>
                <w:spacing w:val="6"/>
              </w:rPr>
              <w:t>类</w:t>
            </w:r>
          </w:p>
        </w:tc>
        <w:tc>
          <w:tcPr>
            <w:tcW w:w="1389" w:type="dxa"/>
            <w:vAlign w:val="top"/>
          </w:tcPr>
          <w:p>
            <w:pPr>
              <w:ind w:left="474"/>
              <w:spacing w:before="7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NTU</w:t>
            </w:r>
          </w:p>
        </w:tc>
      </w:tr>
      <w:tr>
        <w:trPr>
          <w:trHeight w:val="288" w:hRule="atLeast"/>
        </w:trPr>
        <w:tc>
          <w:tcPr>
            <w:tcW w:w="2412" w:type="dxa"/>
            <w:vAlign w:val="top"/>
          </w:tcPr>
          <w:p>
            <w:pPr>
              <w:pStyle w:val="TableText"/>
              <w:ind w:left="714"/>
              <w:spacing w:before="38" w:line="221" w:lineRule="auto"/>
              <w:rPr/>
            </w:pPr>
            <w:r>
              <w:rPr>
                <w:spacing w:val="2"/>
              </w:rPr>
              <w:t>肉眼可见物</w:t>
            </w:r>
          </w:p>
        </w:tc>
        <w:tc>
          <w:tcPr>
            <w:tcW w:w="1385" w:type="dxa"/>
            <w:vAlign w:val="top"/>
          </w:tcPr>
          <w:p>
            <w:pPr>
              <w:pStyle w:val="TableText"/>
              <w:ind w:left="599"/>
              <w:spacing w:before="38" w:line="221" w:lineRule="auto"/>
              <w:rPr/>
            </w:pPr>
            <w:r>
              <w:rPr/>
              <w:t>无</w:t>
            </w:r>
          </w:p>
        </w:tc>
        <w:tc>
          <w:tcPr>
            <w:tcW w:w="1385" w:type="dxa"/>
            <w:vAlign w:val="top"/>
          </w:tcPr>
          <w:p>
            <w:pPr>
              <w:pStyle w:val="TableText"/>
              <w:ind w:left="552"/>
              <w:spacing w:before="38" w:line="221" w:lineRule="auto"/>
              <w:rPr/>
            </w:pPr>
            <w:r>
              <w:rPr>
                <w:rFonts w:ascii="Times New Roman" w:hAnsi="Times New Roman" w:eastAsia="Times New Roman" w:cs="Times New Roman"/>
                <w:spacing w:val="3"/>
              </w:rPr>
              <w:t>Ⅰ</w:t>
            </w:r>
            <w:r>
              <w:rPr>
                <w:spacing w:val="3"/>
              </w:rPr>
              <w:t>类</w:t>
            </w:r>
          </w:p>
        </w:tc>
        <w:tc>
          <w:tcPr>
            <w:tcW w:w="1387" w:type="dxa"/>
            <w:vAlign w:val="top"/>
          </w:tcPr>
          <w:p>
            <w:pPr>
              <w:pStyle w:val="TableText"/>
              <w:ind w:left="601"/>
              <w:spacing w:before="38" w:line="221" w:lineRule="auto"/>
              <w:rPr/>
            </w:pPr>
            <w:r>
              <w:rPr/>
              <w:t>无</w:t>
            </w:r>
          </w:p>
        </w:tc>
        <w:tc>
          <w:tcPr>
            <w:tcW w:w="1385" w:type="dxa"/>
            <w:vAlign w:val="top"/>
          </w:tcPr>
          <w:p>
            <w:pPr>
              <w:pStyle w:val="TableText"/>
              <w:ind w:left="554"/>
              <w:spacing w:before="38" w:line="221" w:lineRule="auto"/>
              <w:rPr/>
            </w:pPr>
            <w:r>
              <w:rPr>
                <w:rFonts w:ascii="Times New Roman" w:hAnsi="Times New Roman" w:eastAsia="Times New Roman" w:cs="Times New Roman"/>
                <w:spacing w:val="3"/>
              </w:rPr>
              <w:t>Ⅰ</w:t>
            </w:r>
            <w:r>
              <w:rPr>
                <w:spacing w:val="3"/>
              </w:rPr>
              <w:t>类</w:t>
            </w:r>
          </w:p>
        </w:tc>
        <w:tc>
          <w:tcPr>
            <w:tcW w:w="1387" w:type="dxa"/>
            <w:vAlign w:val="top"/>
          </w:tcPr>
          <w:p>
            <w:pPr>
              <w:pStyle w:val="TableText"/>
              <w:ind w:left="601"/>
              <w:spacing w:before="38" w:line="221" w:lineRule="auto"/>
              <w:rPr/>
            </w:pPr>
            <w:r>
              <w:rPr/>
              <w:t>无</w:t>
            </w:r>
          </w:p>
        </w:tc>
        <w:tc>
          <w:tcPr>
            <w:tcW w:w="1385" w:type="dxa"/>
            <w:vAlign w:val="top"/>
          </w:tcPr>
          <w:p>
            <w:pPr>
              <w:pStyle w:val="TableText"/>
              <w:ind w:left="554"/>
              <w:spacing w:before="38" w:line="221" w:lineRule="auto"/>
              <w:rPr/>
            </w:pPr>
            <w:r>
              <w:rPr>
                <w:rFonts w:ascii="Times New Roman" w:hAnsi="Times New Roman" w:eastAsia="Times New Roman" w:cs="Times New Roman"/>
                <w:spacing w:val="3"/>
              </w:rPr>
              <w:t>Ⅰ</w:t>
            </w:r>
            <w:r>
              <w:rPr>
                <w:spacing w:val="3"/>
              </w:rPr>
              <w:t>类</w:t>
            </w:r>
          </w:p>
        </w:tc>
        <w:tc>
          <w:tcPr>
            <w:tcW w:w="1387" w:type="dxa"/>
            <w:vAlign w:val="top"/>
          </w:tcPr>
          <w:p>
            <w:pPr>
              <w:pStyle w:val="TableText"/>
              <w:ind w:left="603"/>
              <w:spacing w:before="38" w:line="221" w:lineRule="auto"/>
              <w:rPr/>
            </w:pPr>
            <w:r>
              <w:rPr/>
              <w:t>无</w:t>
            </w:r>
          </w:p>
        </w:tc>
        <w:tc>
          <w:tcPr>
            <w:tcW w:w="1390" w:type="dxa"/>
            <w:vAlign w:val="top"/>
          </w:tcPr>
          <w:p>
            <w:pPr>
              <w:pStyle w:val="TableText"/>
              <w:ind w:left="559"/>
              <w:spacing w:before="38" w:line="221" w:lineRule="auto"/>
              <w:rPr/>
            </w:pPr>
            <w:r>
              <w:rPr>
                <w:rFonts w:ascii="Times New Roman" w:hAnsi="Times New Roman" w:eastAsia="Times New Roman" w:cs="Times New Roman"/>
                <w:spacing w:val="3"/>
              </w:rPr>
              <w:t>Ⅰ</w:t>
            </w:r>
            <w:r>
              <w:rPr>
                <w:spacing w:val="3"/>
              </w:rPr>
              <w:t>类</w:t>
            </w:r>
          </w:p>
        </w:tc>
        <w:tc>
          <w:tcPr>
            <w:tcW w:w="1389" w:type="dxa"/>
            <w:vAlign w:val="top"/>
          </w:tcPr>
          <w:p>
            <w:pPr>
              <w:ind w:left="585"/>
              <w:spacing w:before="163" w:line="95"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2"/>
                <w:position w:val="-2"/>
              </w:rPr>
              <w:t>—</w:t>
            </w:r>
          </w:p>
        </w:tc>
      </w:tr>
      <w:tr>
        <w:trPr>
          <w:trHeight w:val="288" w:hRule="atLeast"/>
        </w:trPr>
        <w:tc>
          <w:tcPr>
            <w:tcW w:w="2412" w:type="dxa"/>
            <w:vAlign w:val="top"/>
          </w:tcPr>
          <w:p>
            <w:pPr>
              <w:pStyle w:val="TableText"/>
              <w:ind w:left="910"/>
              <w:spacing w:before="37" w:line="222" w:lineRule="auto"/>
              <w:rPr/>
            </w:pPr>
            <w:r>
              <w:rPr>
                <w:spacing w:val="2"/>
              </w:rPr>
              <w:t>总硬度</w:t>
            </w:r>
          </w:p>
        </w:tc>
        <w:tc>
          <w:tcPr>
            <w:tcW w:w="1385" w:type="dxa"/>
            <w:vAlign w:val="top"/>
          </w:tcPr>
          <w:p>
            <w:pPr>
              <w:ind w:left="534"/>
              <w:spacing w:before="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205</w:t>
            </w:r>
          </w:p>
        </w:tc>
        <w:tc>
          <w:tcPr>
            <w:tcW w:w="1385" w:type="dxa"/>
            <w:vAlign w:val="top"/>
          </w:tcPr>
          <w:p>
            <w:pPr>
              <w:pStyle w:val="TableText"/>
              <w:ind w:left="520"/>
              <w:spacing w:before="37" w:line="222" w:lineRule="auto"/>
              <w:rPr/>
            </w:pPr>
            <w:r>
              <w:rPr>
                <w:rFonts w:ascii="Times New Roman" w:hAnsi="Times New Roman" w:eastAsia="Times New Roman" w:cs="Times New Roman"/>
                <w:spacing w:val="4"/>
              </w:rPr>
              <w:t>Ⅱ</w:t>
            </w:r>
            <w:r>
              <w:rPr>
                <w:spacing w:val="4"/>
              </w:rPr>
              <w:t>类</w:t>
            </w:r>
          </w:p>
        </w:tc>
        <w:tc>
          <w:tcPr>
            <w:tcW w:w="1387" w:type="dxa"/>
            <w:vAlign w:val="top"/>
          </w:tcPr>
          <w:p>
            <w:pPr>
              <w:ind w:left="540"/>
              <w:spacing w:before="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343</w:t>
            </w:r>
          </w:p>
        </w:tc>
        <w:tc>
          <w:tcPr>
            <w:tcW w:w="1385" w:type="dxa"/>
            <w:vAlign w:val="top"/>
          </w:tcPr>
          <w:p>
            <w:pPr>
              <w:pStyle w:val="TableText"/>
              <w:ind w:left="489"/>
              <w:spacing w:before="37" w:line="222" w:lineRule="auto"/>
              <w:rPr/>
            </w:pPr>
            <w:r>
              <w:rPr>
                <w:rFonts w:ascii="Times New Roman" w:hAnsi="Times New Roman" w:eastAsia="Times New Roman" w:cs="Times New Roman"/>
                <w:spacing w:val="5"/>
              </w:rPr>
              <w:t>Ⅲ</w:t>
            </w:r>
            <w:r>
              <w:rPr>
                <w:spacing w:val="5"/>
              </w:rPr>
              <w:t>类</w:t>
            </w:r>
          </w:p>
        </w:tc>
        <w:tc>
          <w:tcPr>
            <w:tcW w:w="1387" w:type="dxa"/>
            <w:vAlign w:val="top"/>
          </w:tcPr>
          <w:p>
            <w:pPr>
              <w:ind w:left="536"/>
              <w:spacing w:before="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212</w:t>
            </w:r>
          </w:p>
        </w:tc>
        <w:tc>
          <w:tcPr>
            <w:tcW w:w="1385" w:type="dxa"/>
            <w:vAlign w:val="top"/>
          </w:tcPr>
          <w:p>
            <w:pPr>
              <w:pStyle w:val="TableText"/>
              <w:ind w:left="520"/>
              <w:spacing w:before="37" w:line="222" w:lineRule="auto"/>
              <w:rPr/>
            </w:pPr>
            <w:r>
              <w:rPr>
                <w:rFonts w:ascii="Times New Roman" w:hAnsi="Times New Roman" w:eastAsia="Times New Roman" w:cs="Times New Roman"/>
                <w:spacing w:val="5"/>
              </w:rPr>
              <w:t>Ⅱ</w:t>
            </w:r>
            <w:r>
              <w:rPr>
                <w:spacing w:val="5"/>
              </w:rPr>
              <w:t>类</w:t>
            </w:r>
          </w:p>
        </w:tc>
        <w:tc>
          <w:tcPr>
            <w:tcW w:w="1387" w:type="dxa"/>
            <w:vAlign w:val="top"/>
          </w:tcPr>
          <w:p>
            <w:pPr>
              <w:ind w:left="538"/>
              <w:spacing w:before="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270</w:t>
            </w:r>
          </w:p>
        </w:tc>
        <w:tc>
          <w:tcPr>
            <w:tcW w:w="1390" w:type="dxa"/>
            <w:vAlign w:val="top"/>
          </w:tcPr>
          <w:p>
            <w:pPr>
              <w:pStyle w:val="TableText"/>
              <w:ind w:left="525"/>
              <w:spacing w:before="37" w:line="222" w:lineRule="auto"/>
              <w:rPr/>
            </w:pPr>
            <w:r>
              <w:rPr>
                <w:rFonts w:ascii="Times New Roman" w:hAnsi="Times New Roman" w:eastAsia="Times New Roman" w:cs="Times New Roman"/>
                <w:spacing w:val="4"/>
              </w:rPr>
              <w:t>Ⅱ</w:t>
            </w:r>
            <w:r>
              <w:rPr>
                <w:spacing w:val="4"/>
              </w:rPr>
              <w:t>类</w:t>
            </w:r>
          </w:p>
        </w:tc>
        <w:tc>
          <w:tcPr>
            <w:tcW w:w="1389" w:type="dxa"/>
            <w:vAlign w:val="top"/>
          </w:tcPr>
          <w:p>
            <w:pPr>
              <w:ind w:left="466"/>
              <w:spacing w:before="69"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7" w:hRule="atLeast"/>
        </w:trPr>
        <w:tc>
          <w:tcPr>
            <w:tcW w:w="2412" w:type="dxa"/>
            <w:vAlign w:val="top"/>
          </w:tcPr>
          <w:p>
            <w:pPr>
              <w:pStyle w:val="TableText"/>
              <w:ind w:left="586"/>
              <w:spacing w:before="37" w:line="221" w:lineRule="auto"/>
              <w:rPr/>
            </w:pPr>
            <w:r>
              <w:rPr>
                <w:spacing w:val="7"/>
              </w:rPr>
              <w:t>溶解性总固体</w:t>
            </w:r>
          </w:p>
        </w:tc>
        <w:tc>
          <w:tcPr>
            <w:tcW w:w="1385" w:type="dxa"/>
            <w:vAlign w:val="top"/>
          </w:tcPr>
          <w:p>
            <w:pPr>
              <w:ind w:left="554"/>
              <w:spacing w:before="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185</w:t>
            </w:r>
          </w:p>
        </w:tc>
        <w:tc>
          <w:tcPr>
            <w:tcW w:w="1385" w:type="dxa"/>
            <w:vAlign w:val="top"/>
          </w:tcPr>
          <w:p>
            <w:pPr>
              <w:pStyle w:val="TableText"/>
              <w:ind w:left="552"/>
              <w:spacing w:before="37" w:line="221" w:lineRule="auto"/>
              <w:rPr/>
            </w:pPr>
            <w:r>
              <w:rPr>
                <w:rFonts w:ascii="Times New Roman" w:hAnsi="Times New Roman" w:eastAsia="Times New Roman" w:cs="Times New Roman"/>
                <w:spacing w:val="3"/>
              </w:rPr>
              <w:t>Ⅰ</w:t>
            </w:r>
            <w:r>
              <w:rPr>
                <w:spacing w:val="3"/>
              </w:rPr>
              <w:t>类</w:t>
            </w:r>
          </w:p>
        </w:tc>
        <w:tc>
          <w:tcPr>
            <w:tcW w:w="1387" w:type="dxa"/>
            <w:vAlign w:val="top"/>
          </w:tcPr>
          <w:p>
            <w:pPr>
              <w:ind w:left="540"/>
              <w:spacing w:before="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324</w:t>
            </w:r>
          </w:p>
        </w:tc>
        <w:tc>
          <w:tcPr>
            <w:tcW w:w="1385" w:type="dxa"/>
            <w:vAlign w:val="top"/>
          </w:tcPr>
          <w:p>
            <w:pPr>
              <w:pStyle w:val="TableText"/>
              <w:ind w:left="520"/>
              <w:spacing w:before="37" w:line="221" w:lineRule="auto"/>
              <w:rPr/>
            </w:pPr>
            <w:r>
              <w:rPr>
                <w:rFonts w:ascii="Times New Roman" w:hAnsi="Times New Roman" w:eastAsia="Times New Roman" w:cs="Times New Roman"/>
                <w:spacing w:val="4"/>
              </w:rPr>
              <w:t>Ⅱ</w:t>
            </w:r>
            <w:r>
              <w:rPr>
                <w:spacing w:val="4"/>
              </w:rPr>
              <w:t>类</w:t>
            </w:r>
          </w:p>
        </w:tc>
        <w:tc>
          <w:tcPr>
            <w:tcW w:w="1387" w:type="dxa"/>
            <w:vAlign w:val="top"/>
          </w:tcPr>
          <w:p>
            <w:pPr>
              <w:ind w:left="556"/>
              <w:spacing w:before="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194</w:t>
            </w:r>
          </w:p>
        </w:tc>
        <w:tc>
          <w:tcPr>
            <w:tcW w:w="1385" w:type="dxa"/>
            <w:vAlign w:val="top"/>
          </w:tcPr>
          <w:p>
            <w:pPr>
              <w:pStyle w:val="TableText"/>
              <w:ind w:left="554"/>
              <w:spacing w:before="37" w:line="221" w:lineRule="auto"/>
              <w:rPr/>
            </w:pPr>
            <w:r>
              <w:rPr>
                <w:rFonts w:ascii="Times New Roman" w:hAnsi="Times New Roman" w:eastAsia="Times New Roman" w:cs="Times New Roman"/>
                <w:spacing w:val="3"/>
              </w:rPr>
              <w:t>Ⅰ</w:t>
            </w:r>
            <w:r>
              <w:rPr>
                <w:spacing w:val="3"/>
              </w:rPr>
              <w:t>类</w:t>
            </w:r>
          </w:p>
        </w:tc>
        <w:tc>
          <w:tcPr>
            <w:tcW w:w="1387" w:type="dxa"/>
            <w:vAlign w:val="top"/>
          </w:tcPr>
          <w:p>
            <w:pPr>
              <w:ind w:left="538"/>
              <w:spacing w:before="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272</w:t>
            </w:r>
          </w:p>
        </w:tc>
        <w:tc>
          <w:tcPr>
            <w:tcW w:w="1390" w:type="dxa"/>
            <w:vAlign w:val="top"/>
          </w:tcPr>
          <w:p>
            <w:pPr>
              <w:pStyle w:val="TableText"/>
              <w:ind w:left="559"/>
              <w:spacing w:before="37" w:line="221" w:lineRule="auto"/>
              <w:rPr/>
            </w:pPr>
            <w:r>
              <w:rPr>
                <w:rFonts w:ascii="Times New Roman" w:hAnsi="Times New Roman" w:eastAsia="Times New Roman" w:cs="Times New Roman"/>
                <w:spacing w:val="3"/>
              </w:rPr>
              <w:t>Ⅰ</w:t>
            </w:r>
            <w:r>
              <w:rPr>
                <w:spacing w:val="3"/>
              </w:rPr>
              <w:t>类</w:t>
            </w:r>
          </w:p>
        </w:tc>
        <w:tc>
          <w:tcPr>
            <w:tcW w:w="1389" w:type="dxa"/>
            <w:vAlign w:val="top"/>
          </w:tcPr>
          <w:p>
            <w:pPr>
              <w:ind w:left="466"/>
              <w:spacing w:before="69"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412" w:type="dxa"/>
            <w:vAlign w:val="top"/>
          </w:tcPr>
          <w:p>
            <w:pPr>
              <w:pStyle w:val="TableText"/>
              <w:ind w:left="900"/>
              <w:spacing w:before="38" w:line="221" w:lineRule="auto"/>
              <w:rPr/>
            </w:pPr>
            <w:r>
              <w:rPr>
                <w:spacing w:val="5"/>
              </w:rPr>
              <w:t>硫酸盐</w:t>
            </w:r>
          </w:p>
        </w:tc>
        <w:tc>
          <w:tcPr>
            <w:tcW w:w="1385" w:type="dxa"/>
            <w:vAlign w:val="top"/>
          </w:tcPr>
          <w:p>
            <w:pPr>
              <w:ind w:left="587"/>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26</w:t>
            </w:r>
          </w:p>
        </w:tc>
        <w:tc>
          <w:tcPr>
            <w:tcW w:w="1385" w:type="dxa"/>
            <w:vAlign w:val="top"/>
          </w:tcPr>
          <w:p>
            <w:pPr>
              <w:pStyle w:val="TableText"/>
              <w:ind w:left="552"/>
              <w:spacing w:before="38" w:line="221" w:lineRule="auto"/>
              <w:rPr/>
            </w:pPr>
            <w:r>
              <w:rPr>
                <w:rFonts w:ascii="Times New Roman" w:hAnsi="Times New Roman" w:eastAsia="Times New Roman" w:cs="Times New Roman"/>
                <w:spacing w:val="3"/>
              </w:rPr>
              <w:t>Ⅰ</w:t>
            </w:r>
            <w:r>
              <w:rPr>
                <w:spacing w:val="3"/>
              </w:rPr>
              <w:t>类</w:t>
            </w:r>
          </w:p>
        </w:tc>
        <w:tc>
          <w:tcPr>
            <w:tcW w:w="1387" w:type="dxa"/>
            <w:vAlign w:val="top"/>
          </w:tcPr>
          <w:p>
            <w:pPr>
              <w:ind w:left="556"/>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181</w:t>
            </w:r>
          </w:p>
        </w:tc>
        <w:tc>
          <w:tcPr>
            <w:tcW w:w="1385" w:type="dxa"/>
            <w:vAlign w:val="top"/>
          </w:tcPr>
          <w:p>
            <w:pPr>
              <w:pStyle w:val="TableText"/>
              <w:ind w:left="489"/>
              <w:spacing w:before="38" w:line="221" w:lineRule="auto"/>
              <w:rPr/>
            </w:pPr>
            <w:r>
              <w:rPr>
                <w:rFonts w:ascii="Times New Roman" w:hAnsi="Times New Roman" w:eastAsia="Times New Roman" w:cs="Times New Roman"/>
                <w:spacing w:val="5"/>
              </w:rPr>
              <w:t>Ⅲ</w:t>
            </w:r>
            <w:r>
              <w:rPr>
                <w:spacing w:val="5"/>
              </w:rPr>
              <w:t>类</w:t>
            </w:r>
          </w:p>
        </w:tc>
        <w:tc>
          <w:tcPr>
            <w:tcW w:w="1387" w:type="dxa"/>
            <w:vAlign w:val="top"/>
          </w:tcPr>
          <w:p>
            <w:pPr>
              <w:ind w:left="589"/>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27</w:t>
            </w:r>
          </w:p>
        </w:tc>
        <w:tc>
          <w:tcPr>
            <w:tcW w:w="1385" w:type="dxa"/>
            <w:vAlign w:val="top"/>
          </w:tcPr>
          <w:p>
            <w:pPr>
              <w:pStyle w:val="TableText"/>
              <w:ind w:left="554"/>
              <w:spacing w:before="38" w:line="221" w:lineRule="auto"/>
              <w:rPr/>
            </w:pPr>
            <w:r>
              <w:rPr>
                <w:rFonts w:ascii="Times New Roman" w:hAnsi="Times New Roman" w:eastAsia="Times New Roman" w:cs="Times New Roman"/>
                <w:spacing w:val="3"/>
              </w:rPr>
              <w:t>Ⅰ</w:t>
            </w:r>
            <w:r>
              <w:rPr>
                <w:spacing w:val="3"/>
              </w:rPr>
              <w:t>类</w:t>
            </w:r>
          </w:p>
        </w:tc>
        <w:tc>
          <w:tcPr>
            <w:tcW w:w="1387" w:type="dxa"/>
            <w:vAlign w:val="top"/>
          </w:tcPr>
          <w:p>
            <w:pPr>
              <w:ind w:left="595"/>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73</w:t>
            </w:r>
          </w:p>
        </w:tc>
        <w:tc>
          <w:tcPr>
            <w:tcW w:w="1390" w:type="dxa"/>
            <w:vAlign w:val="top"/>
          </w:tcPr>
          <w:p>
            <w:pPr>
              <w:pStyle w:val="TableText"/>
              <w:ind w:left="525"/>
              <w:spacing w:before="38" w:line="221" w:lineRule="auto"/>
              <w:rPr/>
            </w:pPr>
            <w:r>
              <w:rPr>
                <w:rFonts w:ascii="Times New Roman" w:hAnsi="Times New Roman" w:eastAsia="Times New Roman" w:cs="Times New Roman"/>
                <w:spacing w:val="4"/>
              </w:rPr>
              <w:t>Ⅱ</w:t>
            </w:r>
            <w:r>
              <w:rPr>
                <w:spacing w:val="4"/>
              </w:rPr>
              <w:t>类</w:t>
            </w:r>
          </w:p>
        </w:tc>
        <w:tc>
          <w:tcPr>
            <w:tcW w:w="1389" w:type="dxa"/>
            <w:vAlign w:val="top"/>
          </w:tcPr>
          <w:p>
            <w:pPr>
              <w:ind w:left="466"/>
              <w:spacing w:before="7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412" w:type="dxa"/>
            <w:vAlign w:val="top"/>
          </w:tcPr>
          <w:p>
            <w:pPr>
              <w:pStyle w:val="TableText"/>
              <w:ind w:left="905"/>
              <w:spacing w:before="38" w:line="221" w:lineRule="auto"/>
              <w:rPr/>
            </w:pPr>
            <w:r>
              <w:rPr>
                <w:spacing w:val="3"/>
              </w:rPr>
              <w:t>氯化物</w:t>
            </w:r>
          </w:p>
        </w:tc>
        <w:tc>
          <w:tcPr>
            <w:tcW w:w="1385" w:type="dxa"/>
            <w:vAlign w:val="top"/>
          </w:tcPr>
          <w:p>
            <w:pPr>
              <w:ind w:left="565"/>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3.8</w:t>
            </w:r>
          </w:p>
        </w:tc>
        <w:tc>
          <w:tcPr>
            <w:tcW w:w="1385" w:type="dxa"/>
            <w:vAlign w:val="top"/>
          </w:tcPr>
          <w:p>
            <w:pPr>
              <w:pStyle w:val="TableText"/>
              <w:ind w:left="552"/>
              <w:spacing w:before="38" w:line="221" w:lineRule="auto"/>
              <w:rPr/>
            </w:pPr>
            <w:r>
              <w:rPr>
                <w:rFonts w:ascii="Times New Roman" w:hAnsi="Times New Roman" w:eastAsia="Times New Roman" w:cs="Times New Roman"/>
                <w:spacing w:val="3"/>
              </w:rPr>
              <w:t>Ⅰ</w:t>
            </w:r>
            <w:r>
              <w:rPr>
                <w:spacing w:val="3"/>
              </w:rPr>
              <w:t>类</w:t>
            </w:r>
          </w:p>
        </w:tc>
        <w:tc>
          <w:tcPr>
            <w:tcW w:w="1387" w:type="dxa"/>
            <w:vAlign w:val="top"/>
          </w:tcPr>
          <w:p>
            <w:pPr>
              <w:ind w:left="530"/>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19.2</w:t>
            </w:r>
          </w:p>
        </w:tc>
        <w:tc>
          <w:tcPr>
            <w:tcW w:w="1385" w:type="dxa"/>
            <w:vAlign w:val="top"/>
          </w:tcPr>
          <w:p>
            <w:pPr>
              <w:pStyle w:val="TableText"/>
              <w:ind w:left="554"/>
              <w:spacing w:before="38" w:line="221" w:lineRule="auto"/>
              <w:rPr/>
            </w:pPr>
            <w:r>
              <w:rPr>
                <w:rFonts w:ascii="Times New Roman" w:hAnsi="Times New Roman" w:eastAsia="Times New Roman" w:cs="Times New Roman"/>
                <w:spacing w:val="3"/>
              </w:rPr>
              <w:t>Ⅰ</w:t>
            </w:r>
            <w:r>
              <w:rPr>
                <w:spacing w:val="3"/>
              </w:rPr>
              <w:t>类</w:t>
            </w:r>
          </w:p>
        </w:tc>
        <w:tc>
          <w:tcPr>
            <w:tcW w:w="1387" w:type="dxa"/>
            <w:vAlign w:val="top"/>
          </w:tcPr>
          <w:p>
            <w:pPr>
              <w:ind w:left="567"/>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3.5</w:t>
            </w:r>
          </w:p>
        </w:tc>
        <w:tc>
          <w:tcPr>
            <w:tcW w:w="1385" w:type="dxa"/>
            <w:vAlign w:val="top"/>
          </w:tcPr>
          <w:p>
            <w:pPr>
              <w:pStyle w:val="TableText"/>
              <w:ind w:left="554"/>
              <w:spacing w:before="38" w:line="221" w:lineRule="auto"/>
              <w:rPr/>
            </w:pPr>
            <w:r>
              <w:rPr>
                <w:rFonts w:ascii="Times New Roman" w:hAnsi="Times New Roman" w:eastAsia="Times New Roman" w:cs="Times New Roman"/>
                <w:spacing w:val="3"/>
              </w:rPr>
              <w:t>Ⅰ</w:t>
            </w:r>
            <w:r>
              <w:rPr>
                <w:spacing w:val="3"/>
              </w:rPr>
              <w:t>类</w:t>
            </w:r>
          </w:p>
        </w:tc>
        <w:tc>
          <w:tcPr>
            <w:tcW w:w="1387" w:type="dxa"/>
            <w:vAlign w:val="top"/>
          </w:tcPr>
          <w:p>
            <w:pPr>
              <w:ind w:left="611"/>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17</w:t>
            </w:r>
          </w:p>
        </w:tc>
        <w:tc>
          <w:tcPr>
            <w:tcW w:w="1390" w:type="dxa"/>
            <w:vAlign w:val="top"/>
          </w:tcPr>
          <w:p>
            <w:pPr>
              <w:pStyle w:val="TableText"/>
              <w:ind w:left="559"/>
              <w:spacing w:before="38" w:line="221" w:lineRule="auto"/>
              <w:rPr/>
            </w:pPr>
            <w:r>
              <w:rPr>
                <w:rFonts w:ascii="Times New Roman" w:hAnsi="Times New Roman" w:eastAsia="Times New Roman" w:cs="Times New Roman"/>
                <w:spacing w:val="3"/>
              </w:rPr>
              <w:t>Ⅰ</w:t>
            </w:r>
            <w:r>
              <w:rPr>
                <w:spacing w:val="3"/>
              </w:rPr>
              <w:t>类</w:t>
            </w:r>
          </w:p>
        </w:tc>
        <w:tc>
          <w:tcPr>
            <w:tcW w:w="1389" w:type="dxa"/>
            <w:vAlign w:val="top"/>
          </w:tcPr>
          <w:p>
            <w:pPr>
              <w:ind w:left="466"/>
              <w:spacing w:before="7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412" w:type="dxa"/>
            <w:vAlign w:val="top"/>
          </w:tcPr>
          <w:p>
            <w:pPr>
              <w:pStyle w:val="TableText"/>
              <w:ind w:left="1115"/>
              <w:spacing w:before="40" w:line="219" w:lineRule="auto"/>
              <w:rPr/>
            </w:pPr>
            <w:r>
              <w:rPr/>
              <w:t>铁</w:t>
            </w:r>
          </w:p>
        </w:tc>
        <w:tc>
          <w:tcPr>
            <w:tcW w:w="1385" w:type="dxa"/>
            <w:vAlign w:val="top"/>
          </w:tcPr>
          <w:p>
            <w:pPr>
              <w:ind w:left="511"/>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0.02</w:t>
            </w:r>
          </w:p>
        </w:tc>
        <w:tc>
          <w:tcPr>
            <w:tcW w:w="1385" w:type="dxa"/>
            <w:vAlign w:val="top"/>
          </w:tcPr>
          <w:p>
            <w:pPr>
              <w:pStyle w:val="TableText"/>
              <w:ind w:left="552"/>
              <w:spacing w:before="40" w:line="219" w:lineRule="auto"/>
              <w:rPr/>
            </w:pPr>
            <w:r>
              <w:rPr>
                <w:rFonts w:ascii="Times New Roman" w:hAnsi="Times New Roman" w:eastAsia="Times New Roman" w:cs="Times New Roman"/>
                <w:spacing w:val="3"/>
              </w:rPr>
              <w:t>Ⅰ</w:t>
            </w:r>
            <w:r>
              <w:rPr>
                <w:spacing w:val="3"/>
              </w:rPr>
              <w:t>类</w:t>
            </w:r>
          </w:p>
        </w:tc>
        <w:tc>
          <w:tcPr>
            <w:tcW w:w="1387" w:type="dxa"/>
            <w:vAlign w:val="top"/>
          </w:tcPr>
          <w:p>
            <w:pPr>
              <w:ind w:left="513"/>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0.23</w:t>
            </w:r>
          </w:p>
        </w:tc>
        <w:tc>
          <w:tcPr>
            <w:tcW w:w="1385" w:type="dxa"/>
            <w:vAlign w:val="top"/>
          </w:tcPr>
          <w:p>
            <w:pPr>
              <w:pStyle w:val="TableText"/>
              <w:ind w:left="489"/>
              <w:spacing w:before="40" w:line="219" w:lineRule="auto"/>
              <w:rPr/>
            </w:pPr>
            <w:r>
              <w:rPr>
                <w:rFonts w:ascii="Times New Roman" w:hAnsi="Times New Roman" w:eastAsia="Times New Roman" w:cs="Times New Roman"/>
                <w:spacing w:val="5"/>
              </w:rPr>
              <w:t>Ⅲ</w:t>
            </w:r>
            <w:r>
              <w:rPr>
                <w:spacing w:val="5"/>
              </w:rPr>
              <w:t>类</w:t>
            </w:r>
          </w:p>
        </w:tc>
        <w:tc>
          <w:tcPr>
            <w:tcW w:w="1387" w:type="dxa"/>
            <w:vAlign w:val="top"/>
          </w:tcPr>
          <w:p>
            <w:pPr>
              <w:ind w:left="513"/>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0.08</w:t>
            </w:r>
          </w:p>
        </w:tc>
        <w:tc>
          <w:tcPr>
            <w:tcW w:w="1385" w:type="dxa"/>
            <w:vAlign w:val="top"/>
          </w:tcPr>
          <w:p>
            <w:pPr>
              <w:pStyle w:val="TableText"/>
              <w:ind w:left="554"/>
              <w:spacing w:before="40" w:line="219" w:lineRule="auto"/>
              <w:rPr/>
            </w:pPr>
            <w:r>
              <w:rPr>
                <w:rFonts w:ascii="Times New Roman" w:hAnsi="Times New Roman" w:eastAsia="Times New Roman" w:cs="Times New Roman"/>
                <w:spacing w:val="3"/>
              </w:rPr>
              <w:t>Ⅰ</w:t>
            </w:r>
            <w:r>
              <w:rPr>
                <w:spacing w:val="3"/>
              </w:rPr>
              <w:t>类</w:t>
            </w:r>
          </w:p>
        </w:tc>
        <w:tc>
          <w:tcPr>
            <w:tcW w:w="1387" w:type="dxa"/>
            <w:vAlign w:val="top"/>
          </w:tcPr>
          <w:p>
            <w:pPr>
              <w:ind w:left="515"/>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0.24</w:t>
            </w:r>
          </w:p>
        </w:tc>
        <w:tc>
          <w:tcPr>
            <w:tcW w:w="1390" w:type="dxa"/>
            <w:vAlign w:val="top"/>
          </w:tcPr>
          <w:p>
            <w:pPr>
              <w:pStyle w:val="TableText"/>
              <w:ind w:left="494"/>
              <w:spacing w:before="40" w:line="219" w:lineRule="auto"/>
              <w:rPr/>
            </w:pPr>
            <w:r>
              <w:rPr>
                <w:rFonts w:ascii="Times New Roman" w:hAnsi="Times New Roman" w:eastAsia="Times New Roman" w:cs="Times New Roman"/>
                <w:spacing w:val="6"/>
              </w:rPr>
              <w:t>Ⅲ</w:t>
            </w:r>
            <w:r>
              <w:rPr>
                <w:spacing w:val="6"/>
              </w:rPr>
              <w:t>类</w:t>
            </w:r>
          </w:p>
        </w:tc>
        <w:tc>
          <w:tcPr>
            <w:tcW w:w="1389" w:type="dxa"/>
            <w:vAlign w:val="top"/>
          </w:tcPr>
          <w:p>
            <w:pPr>
              <w:ind w:left="466"/>
              <w:spacing w:before="7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412" w:type="dxa"/>
            <w:vAlign w:val="top"/>
          </w:tcPr>
          <w:p>
            <w:pPr>
              <w:pStyle w:val="TableText"/>
              <w:ind w:left="1112"/>
              <w:spacing w:before="40" w:line="219" w:lineRule="auto"/>
              <w:rPr/>
            </w:pPr>
            <w:r>
              <w:rPr/>
              <w:t>锰</w:t>
            </w:r>
          </w:p>
        </w:tc>
        <w:tc>
          <w:tcPr>
            <w:tcW w:w="1385" w:type="dxa"/>
            <w:vAlign w:val="top"/>
          </w:tcPr>
          <w:p>
            <w:pPr>
              <w:ind w:left="397"/>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&lt;0.004</w:t>
            </w:r>
          </w:p>
        </w:tc>
        <w:tc>
          <w:tcPr>
            <w:tcW w:w="1385" w:type="dxa"/>
            <w:vAlign w:val="top"/>
          </w:tcPr>
          <w:p>
            <w:pPr>
              <w:pStyle w:val="TableText"/>
              <w:ind w:left="552"/>
              <w:spacing w:before="40" w:line="219" w:lineRule="auto"/>
              <w:rPr/>
            </w:pPr>
            <w:r>
              <w:rPr>
                <w:rFonts w:ascii="Times New Roman" w:hAnsi="Times New Roman" w:eastAsia="Times New Roman" w:cs="Times New Roman"/>
                <w:spacing w:val="3"/>
              </w:rPr>
              <w:t>Ⅰ</w:t>
            </w:r>
            <w:r>
              <w:rPr>
                <w:spacing w:val="3"/>
              </w:rPr>
              <w:t>类</w:t>
            </w:r>
          </w:p>
        </w:tc>
        <w:tc>
          <w:tcPr>
            <w:tcW w:w="1387" w:type="dxa"/>
            <w:vAlign w:val="top"/>
          </w:tcPr>
          <w:p>
            <w:pPr>
              <w:ind w:left="460"/>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0.018</w:t>
            </w:r>
          </w:p>
        </w:tc>
        <w:tc>
          <w:tcPr>
            <w:tcW w:w="1385" w:type="dxa"/>
            <w:vAlign w:val="top"/>
          </w:tcPr>
          <w:p>
            <w:pPr>
              <w:pStyle w:val="TableText"/>
              <w:ind w:left="554"/>
              <w:spacing w:before="40" w:line="219" w:lineRule="auto"/>
              <w:rPr/>
            </w:pPr>
            <w:r>
              <w:rPr>
                <w:rFonts w:ascii="Times New Roman" w:hAnsi="Times New Roman" w:eastAsia="Times New Roman" w:cs="Times New Roman"/>
                <w:spacing w:val="3"/>
              </w:rPr>
              <w:t>Ⅰ</w:t>
            </w:r>
            <w:r>
              <w:rPr>
                <w:spacing w:val="3"/>
              </w:rPr>
              <w:t>类</w:t>
            </w:r>
          </w:p>
        </w:tc>
        <w:tc>
          <w:tcPr>
            <w:tcW w:w="1387" w:type="dxa"/>
            <w:vAlign w:val="top"/>
          </w:tcPr>
          <w:p>
            <w:pPr>
              <w:ind w:left="460"/>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0.006</w:t>
            </w:r>
          </w:p>
        </w:tc>
        <w:tc>
          <w:tcPr>
            <w:tcW w:w="1385" w:type="dxa"/>
            <w:vAlign w:val="top"/>
          </w:tcPr>
          <w:p>
            <w:pPr>
              <w:pStyle w:val="TableText"/>
              <w:ind w:left="554"/>
              <w:spacing w:before="40" w:line="219" w:lineRule="auto"/>
              <w:rPr/>
            </w:pPr>
            <w:r>
              <w:rPr>
                <w:rFonts w:ascii="Times New Roman" w:hAnsi="Times New Roman" w:eastAsia="Times New Roman" w:cs="Times New Roman"/>
                <w:spacing w:val="3"/>
              </w:rPr>
              <w:t>Ⅰ</w:t>
            </w:r>
            <w:r>
              <w:rPr>
                <w:spacing w:val="3"/>
              </w:rPr>
              <w:t>类</w:t>
            </w:r>
          </w:p>
        </w:tc>
        <w:tc>
          <w:tcPr>
            <w:tcW w:w="1387" w:type="dxa"/>
            <w:vAlign w:val="top"/>
          </w:tcPr>
          <w:p>
            <w:pPr>
              <w:ind w:left="462"/>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0.038</w:t>
            </w:r>
          </w:p>
        </w:tc>
        <w:tc>
          <w:tcPr>
            <w:tcW w:w="1390" w:type="dxa"/>
            <w:vAlign w:val="top"/>
          </w:tcPr>
          <w:p>
            <w:pPr>
              <w:pStyle w:val="TableText"/>
              <w:ind w:left="559"/>
              <w:spacing w:before="40" w:line="219" w:lineRule="auto"/>
              <w:rPr/>
            </w:pPr>
            <w:r>
              <w:rPr>
                <w:rFonts w:ascii="Times New Roman" w:hAnsi="Times New Roman" w:eastAsia="Times New Roman" w:cs="Times New Roman"/>
                <w:spacing w:val="3"/>
              </w:rPr>
              <w:t>Ⅰ</w:t>
            </w:r>
            <w:r>
              <w:rPr>
                <w:spacing w:val="3"/>
              </w:rPr>
              <w:t>类</w:t>
            </w:r>
          </w:p>
        </w:tc>
        <w:tc>
          <w:tcPr>
            <w:tcW w:w="1389" w:type="dxa"/>
            <w:vAlign w:val="top"/>
          </w:tcPr>
          <w:p>
            <w:pPr>
              <w:ind w:left="466"/>
              <w:spacing w:before="7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412" w:type="dxa"/>
            <w:vAlign w:val="top"/>
          </w:tcPr>
          <w:p>
            <w:pPr>
              <w:pStyle w:val="TableText"/>
              <w:ind w:left="1114"/>
              <w:spacing w:before="39" w:line="220" w:lineRule="auto"/>
              <w:rPr/>
            </w:pPr>
            <w:r>
              <w:rPr/>
              <w:t>铜</w:t>
            </w:r>
          </w:p>
        </w:tc>
        <w:tc>
          <w:tcPr>
            <w:tcW w:w="1385" w:type="dxa"/>
            <w:vAlign w:val="top"/>
          </w:tcPr>
          <w:p>
            <w:pPr>
              <w:ind w:left="397"/>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&lt;0.006</w:t>
            </w:r>
          </w:p>
        </w:tc>
        <w:tc>
          <w:tcPr>
            <w:tcW w:w="1385" w:type="dxa"/>
            <w:vAlign w:val="top"/>
          </w:tcPr>
          <w:p>
            <w:pPr>
              <w:pStyle w:val="TableText"/>
              <w:ind w:left="552"/>
              <w:spacing w:before="39" w:line="220" w:lineRule="auto"/>
              <w:rPr/>
            </w:pPr>
            <w:r>
              <w:rPr>
                <w:rFonts w:ascii="Times New Roman" w:hAnsi="Times New Roman" w:eastAsia="Times New Roman" w:cs="Times New Roman"/>
                <w:spacing w:val="3"/>
              </w:rPr>
              <w:t>Ⅰ</w:t>
            </w:r>
            <w:r>
              <w:rPr>
                <w:spacing w:val="3"/>
              </w:rPr>
              <w:t>类</w:t>
            </w:r>
          </w:p>
        </w:tc>
        <w:tc>
          <w:tcPr>
            <w:tcW w:w="1387" w:type="dxa"/>
            <w:vAlign w:val="top"/>
          </w:tcPr>
          <w:p>
            <w:pPr>
              <w:ind w:left="513"/>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0.01</w:t>
            </w:r>
          </w:p>
        </w:tc>
        <w:tc>
          <w:tcPr>
            <w:tcW w:w="1385" w:type="dxa"/>
            <w:vAlign w:val="top"/>
          </w:tcPr>
          <w:p>
            <w:pPr>
              <w:pStyle w:val="TableText"/>
              <w:ind w:left="554"/>
              <w:spacing w:before="39" w:line="220" w:lineRule="auto"/>
              <w:rPr/>
            </w:pPr>
            <w:r>
              <w:rPr>
                <w:rFonts w:ascii="Times New Roman" w:hAnsi="Times New Roman" w:eastAsia="Times New Roman" w:cs="Times New Roman"/>
                <w:spacing w:val="3"/>
              </w:rPr>
              <w:t>Ⅰ</w:t>
            </w:r>
            <w:r>
              <w:rPr>
                <w:spacing w:val="3"/>
              </w:rPr>
              <w:t>类</w:t>
            </w:r>
          </w:p>
        </w:tc>
        <w:tc>
          <w:tcPr>
            <w:tcW w:w="1387" w:type="dxa"/>
            <w:vAlign w:val="top"/>
          </w:tcPr>
          <w:p>
            <w:pPr>
              <w:ind w:left="460"/>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0.016</w:t>
            </w:r>
          </w:p>
        </w:tc>
        <w:tc>
          <w:tcPr>
            <w:tcW w:w="1385" w:type="dxa"/>
            <w:vAlign w:val="top"/>
          </w:tcPr>
          <w:p>
            <w:pPr>
              <w:pStyle w:val="TableText"/>
              <w:ind w:left="520"/>
              <w:spacing w:before="39" w:line="220" w:lineRule="auto"/>
              <w:rPr/>
            </w:pPr>
            <w:r>
              <w:rPr>
                <w:rFonts w:ascii="Times New Roman" w:hAnsi="Times New Roman" w:eastAsia="Times New Roman" w:cs="Times New Roman"/>
                <w:spacing w:val="5"/>
              </w:rPr>
              <w:t>Ⅱ</w:t>
            </w:r>
            <w:r>
              <w:rPr>
                <w:spacing w:val="5"/>
              </w:rPr>
              <w:t>类</w:t>
            </w:r>
          </w:p>
        </w:tc>
        <w:tc>
          <w:tcPr>
            <w:tcW w:w="1387" w:type="dxa"/>
            <w:vAlign w:val="top"/>
          </w:tcPr>
          <w:p>
            <w:pPr>
              <w:ind w:left="462"/>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0.025</w:t>
            </w:r>
          </w:p>
        </w:tc>
        <w:tc>
          <w:tcPr>
            <w:tcW w:w="1390" w:type="dxa"/>
            <w:vAlign w:val="top"/>
          </w:tcPr>
          <w:p>
            <w:pPr>
              <w:pStyle w:val="TableText"/>
              <w:ind w:left="525"/>
              <w:spacing w:before="39" w:line="220" w:lineRule="auto"/>
              <w:rPr/>
            </w:pPr>
            <w:r>
              <w:rPr>
                <w:rFonts w:ascii="Times New Roman" w:hAnsi="Times New Roman" w:eastAsia="Times New Roman" w:cs="Times New Roman"/>
                <w:spacing w:val="4"/>
              </w:rPr>
              <w:t>Ⅱ</w:t>
            </w:r>
            <w:r>
              <w:rPr>
                <w:spacing w:val="4"/>
              </w:rPr>
              <w:t>类</w:t>
            </w:r>
          </w:p>
        </w:tc>
        <w:tc>
          <w:tcPr>
            <w:tcW w:w="1389" w:type="dxa"/>
            <w:vAlign w:val="top"/>
          </w:tcPr>
          <w:p>
            <w:pPr>
              <w:ind w:left="466"/>
              <w:spacing w:before="7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412" w:type="dxa"/>
            <w:vAlign w:val="top"/>
          </w:tcPr>
          <w:p>
            <w:pPr>
              <w:pStyle w:val="TableText"/>
              <w:ind w:left="1112"/>
              <w:spacing w:before="39" w:line="220" w:lineRule="auto"/>
              <w:rPr/>
            </w:pPr>
            <w:r>
              <w:rPr/>
              <w:t>锌</w:t>
            </w:r>
          </w:p>
        </w:tc>
        <w:tc>
          <w:tcPr>
            <w:tcW w:w="1385" w:type="dxa"/>
            <w:vAlign w:val="top"/>
          </w:tcPr>
          <w:p>
            <w:pPr>
              <w:ind w:left="458"/>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0.008</w:t>
            </w:r>
          </w:p>
        </w:tc>
        <w:tc>
          <w:tcPr>
            <w:tcW w:w="1385" w:type="dxa"/>
            <w:vAlign w:val="top"/>
          </w:tcPr>
          <w:p>
            <w:pPr>
              <w:pStyle w:val="TableText"/>
              <w:ind w:left="552"/>
              <w:spacing w:before="39" w:line="220" w:lineRule="auto"/>
              <w:rPr/>
            </w:pPr>
            <w:r>
              <w:rPr>
                <w:rFonts w:ascii="Times New Roman" w:hAnsi="Times New Roman" w:eastAsia="Times New Roman" w:cs="Times New Roman"/>
                <w:spacing w:val="3"/>
              </w:rPr>
              <w:t>Ⅰ</w:t>
            </w:r>
            <w:r>
              <w:rPr>
                <w:spacing w:val="3"/>
              </w:rPr>
              <w:t>类</w:t>
            </w:r>
          </w:p>
        </w:tc>
        <w:tc>
          <w:tcPr>
            <w:tcW w:w="1387" w:type="dxa"/>
            <w:vAlign w:val="top"/>
          </w:tcPr>
          <w:p>
            <w:pPr>
              <w:ind w:left="513"/>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0.29</w:t>
            </w:r>
          </w:p>
        </w:tc>
        <w:tc>
          <w:tcPr>
            <w:tcW w:w="1385" w:type="dxa"/>
            <w:vAlign w:val="top"/>
          </w:tcPr>
          <w:p>
            <w:pPr>
              <w:pStyle w:val="TableText"/>
              <w:ind w:left="520"/>
              <w:spacing w:before="39" w:line="220" w:lineRule="auto"/>
              <w:rPr/>
            </w:pPr>
            <w:r>
              <w:rPr>
                <w:rFonts w:ascii="Times New Roman" w:hAnsi="Times New Roman" w:eastAsia="Times New Roman" w:cs="Times New Roman"/>
                <w:spacing w:val="4"/>
              </w:rPr>
              <w:t>Ⅱ</w:t>
            </w:r>
            <w:r>
              <w:rPr>
                <w:spacing w:val="4"/>
              </w:rPr>
              <w:t>类</w:t>
            </w:r>
          </w:p>
        </w:tc>
        <w:tc>
          <w:tcPr>
            <w:tcW w:w="1387" w:type="dxa"/>
            <w:vAlign w:val="top"/>
          </w:tcPr>
          <w:p>
            <w:pPr>
              <w:ind w:left="460"/>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0.037</w:t>
            </w:r>
          </w:p>
        </w:tc>
        <w:tc>
          <w:tcPr>
            <w:tcW w:w="1385" w:type="dxa"/>
            <w:vAlign w:val="top"/>
          </w:tcPr>
          <w:p>
            <w:pPr>
              <w:pStyle w:val="TableText"/>
              <w:ind w:left="554"/>
              <w:spacing w:before="39" w:line="220" w:lineRule="auto"/>
              <w:rPr/>
            </w:pPr>
            <w:r>
              <w:rPr>
                <w:rFonts w:ascii="Times New Roman" w:hAnsi="Times New Roman" w:eastAsia="Times New Roman" w:cs="Times New Roman"/>
                <w:spacing w:val="3"/>
              </w:rPr>
              <w:t>Ⅰ</w:t>
            </w:r>
            <w:r>
              <w:rPr>
                <w:spacing w:val="3"/>
              </w:rPr>
              <w:t>类</w:t>
            </w:r>
          </w:p>
        </w:tc>
        <w:tc>
          <w:tcPr>
            <w:tcW w:w="1387" w:type="dxa"/>
            <w:vAlign w:val="top"/>
          </w:tcPr>
          <w:p>
            <w:pPr>
              <w:ind w:left="462"/>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0.081</w:t>
            </w:r>
          </w:p>
        </w:tc>
        <w:tc>
          <w:tcPr>
            <w:tcW w:w="1390" w:type="dxa"/>
            <w:vAlign w:val="top"/>
          </w:tcPr>
          <w:p>
            <w:pPr>
              <w:pStyle w:val="TableText"/>
              <w:ind w:left="525"/>
              <w:spacing w:before="39" w:line="220" w:lineRule="auto"/>
              <w:rPr/>
            </w:pPr>
            <w:r>
              <w:rPr>
                <w:rFonts w:ascii="Times New Roman" w:hAnsi="Times New Roman" w:eastAsia="Times New Roman" w:cs="Times New Roman"/>
                <w:spacing w:val="4"/>
              </w:rPr>
              <w:t>Ⅱ</w:t>
            </w:r>
            <w:r>
              <w:rPr>
                <w:spacing w:val="4"/>
              </w:rPr>
              <w:t>类</w:t>
            </w:r>
          </w:p>
        </w:tc>
        <w:tc>
          <w:tcPr>
            <w:tcW w:w="1389" w:type="dxa"/>
            <w:vAlign w:val="top"/>
          </w:tcPr>
          <w:p>
            <w:pPr>
              <w:ind w:left="466"/>
              <w:spacing w:before="7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412" w:type="dxa"/>
            <w:vAlign w:val="top"/>
          </w:tcPr>
          <w:p>
            <w:pPr>
              <w:pStyle w:val="TableText"/>
              <w:ind w:left="1113"/>
              <w:spacing w:before="39" w:line="220" w:lineRule="auto"/>
              <w:rPr/>
            </w:pPr>
            <w:r>
              <w:rPr/>
              <w:t>铝</w:t>
            </w:r>
          </w:p>
        </w:tc>
        <w:tc>
          <w:tcPr>
            <w:tcW w:w="1385" w:type="dxa"/>
            <w:vAlign w:val="top"/>
          </w:tcPr>
          <w:p>
            <w:pPr>
              <w:ind w:left="447"/>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&lt;0.07</w:t>
            </w:r>
          </w:p>
        </w:tc>
        <w:tc>
          <w:tcPr>
            <w:tcW w:w="1385" w:type="dxa"/>
            <w:vAlign w:val="top"/>
          </w:tcPr>
          <w:p>
            <w:pPr>
              <w:pStyle w:val="TableText"/>
              <w:ind w:left="487"/>
              <w:spacing w:before="39" w:line="220" w:lineRule="auto"/>
              <w:rPr/>
            </w:pPr>
            <w:r>
              <w:rPr>
                <w:rFonts w:ascii="Times New Roman" w:hAnsi="Times New Roman" w:eastAsia="Times New Roman" w:cs="Times New Roman"/>
                <w:spacing w:val="6"/>
              </w:rPr>
              <w:t>Ⅲ</w:t>
            </w:r>
            <w:r>
              <w:rPr>
                <w:spacing w:val="6"/>
              </w:rPr>
              <w:t>类</w:t>
            </w:r>
          </w:p>
        </w:tc>
        <w:tc>
          <w:tcPr>
            <w:tcW w:w="1387" w:type="dxa"/>
            <w:vAlign w:val="top"/>
          </w:tcPr>
          <w:p>
            <w:pPr>
              <w:ind w:left="449"/>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&lt;0.07</w:t>
            </w:r>
          </w:p>
        </w:tc>
        <w:tc>
          <w:tcPr>
            <w:tcW w:w="1385" w:type="dxa"/>
            <w:vAlign w:val="top"/>
          </w:tcPr>
          <w:p>
            <w:pPr>
              <w:pStyle w:val="TableText"/>
              <w:ind w:left="489"/>
              <w:spacing w:before="39" w:line="220" w:lineRule="auto"/>
              <w:rPr/>
            </w:pPr>
            <w:r>
              <w:rPr>
                <w:rFonts w:ascii="Times New Roman" w:hAnsi="Times New Roman" w:eastAsia="Times New Roman" w:cs="Times New Roman"/>
                <w:spacing w:val="5"/>
              </w:rPr>
              <w:t>Ⅲ</w:t>
            </w:r>
            <w:r>
              <w:rPr>
                <w:spacing w:val="5"/>
              </w:rPr>
              <w:t>类</w:t>
            </w:r>
          </w:p>
        </w:tc>
        <w:tc>
          <w:tcPr>
            <w:tcW w:w="1387" w:type="dxa"/>
            <w:vAlign w:val="top"/>
          </w:tcPr>
          <w:p>
            <w:pPr>
              <w:ind w:left="451"/>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&lt;0.07</w:t>
            </w:r>
          </w:p>
        </w:tc>
        <w:tc>
          <w:tcPr>
            <w:tcW w:w="1385" w:type="dxa"/>
            <w:vAlign w:val="top"/>
          </w:tcPr>
          <w:p>
            <w:pPr>
              <w:pStyle w:val="TableText"/>
              <w:ind w:left="489"/>
              <w:spacing w:before="39" w:line="220" w:lineRule="auto"/>
              <w:rPr/>
            </w:pPr>
            <w:r>
              <w:rPr>
                <w:rFonts w:ascii="Times New Roman" w:hAnsi="Times New Roman" w:eastAsia="Times New Roman" w:cs="Times New Roman"/>
                <w:spacing w:val="6"/>
              </w:rPr>
              <w:t>Ⅲ</w:t>
            </w:r>
            <w:r>
              <w:rPr>
                <w:spacing w:val="6"/>
              </w:rPr>
              <w:t>类</w:t>
            </w:r>
          </w:p>
        </w:tc>
        <w:tc>
          <w:tcPr>
            <w:tcW w:w="1387" w:type="dxa"/>
            <w:vAlign w:val="top"/>
          </w:tcPr>
          <w:p>
            <w:pPr>
              <w:ind w:left="515"/>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0.08</w:t>
            </w:r>
          </w:p>
        </w:tc>
        <w:tc>
          <w:tcPr>
            <w:tcW w:w="1390" w:type="dxa"/>
            <w:vAlign w:val="top"/>
          </w:tcPr>
          <w:p>
            <w:pPr>
              <w:pStyle w:val="TableText"/>
              <w:ind w:left="494"/>
              <w:spacing w:before="39" w:line="220" w:lineRule="auto"/>
              <w:rPr/>
            </w:pPr>
            <w:r>
              <w:rPr>
                <w:rFonts w:ascii="Times New Roman" w:hAnsi="Times New Roman" w:eastAsia="Times New Roman" w:cs="Times New Roman"/>
                <w:spacing w:val="6"/>
              </w:rPr>
              <w:t>Ⅲ</w:t>
            </w:r>
            <w:r>
              <w:rPr>
                <w:spacing w:val="6"/>
              </w:rPr>
              <w:t>类</w:t>
            </w:r>
          </w:p>
        </w:tc>
        <w:tc>
          <w:tcPr>
            <w:tcW w:w="1389" w:type="dxa"/>
            <w:vAlign w:val="top"/>
          </w:tcPr>
          <w:p>
            <w:pPr>
              <w:ind w:left="466"/>
              <w:spacing w:before="7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412" w:type="dxa"/>
            <w:vAlign w:val="top"/>
          </w:tcPr>
          <w:p>
            <w:pPr>
              <w:pStyle w:val="TableText"/>
              <w:ind w:left="593"/>
              <w:spacing w:before="39" w:line="220" w:lineRule="auto"/>
              <w:rPr/>
            </w:pPr>
            <w:r>
              <w:rPr>
                <w:spacing w:val="6"/>
              </w:rPr>
              <w:t>高锰酸盐指数</w:t>
            </w:r>
          </w:p>
        </w:tc>
        <w:tc>
          <w:tcPr>
            <w:tcW w:w="1385" w:type="dxa"/>
            <w:vAlign w:val="top"/>
          </w:tcPr>
          <w:p>
            <w:pPr>
              <w:ind w:left="511"/>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0.54</w:t>
            </w:r>
          </w:p>
        </w:tc>
        <w:tc>
          <w:tcPr>
            <w:tcW w:w="1385" w:type="dxa"/>
            <w:vAlign w:val="top"/>
          </w:tcPr>
          <w:p>
            <w:pPr>
              <w:pStyle w:val="TableText"/>
              <w:ind w:left="552"/>
              <w:spacing w:before="39" w:line="220" w:lineRule="auto"/>
              <w:rPr/>
            </w:pPr>
            <w:r>
              <w:rPr>
                <w:rFonts w:ascii="Times New Roman" w:hAnsi="Times New Roman" w:eastAsia="Times New Roman" w:cs="Times New Roman"/>
                <w:spacing w:val="3"/>
              </w:rPr>
              <w:t>Ⅰ</w:t>
            </w:r>
            <w:r>
              <w:rPr>
                <w:spacing w:val="3"/>
              </w:rPr>
              <w:t>类</w:t>
            </w:r>
          </w:p>
        </w:tc>
        <w:tc>
          <w:tcPr>
            <w:tcW w:w="1387" w:type="dxa"/>
            <w:vAlign w:val="top"/>
          </w:tcPr>
          <w:p>
            <w:pPr>
              <w:ind w:left="530"/>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1.61</w:t>
            </w:r>
          </w:p>
        </w:tc>
        <w:tc>
          <w:tcPr>
            <w:tcW w:w="1385" w:type="dxa"/>
            <w:vAlign w:val="top"/>
          </w:tcPr>
          <w:p>
            <w:pPr>
              <w:pStyle w:val="TableText"/>
              <w:ind w:left="520"/>
              <w:spacing w:before="39" w:line="220" w:lineRule="auto"/>
              <w:rPr/>
            </w:pPr>
            <w:r>
              <w:rPr>
                <w:rFonts w:ascii="Times New Roman" w:hAnsi="Times New Roman" w:eastAsia="Times New Roman" w:cs="Times New Roman"/>
                <w:spacing w:val="4"/>
              </w:rPr>
              <w:t>Ⅱ</w:t>
            </w:r>
            <w:r>
              <w:rPr>
                <w:spacing w:val="4"/>
              </w:rPr>
              <w:t>类</w:t>
            </w:r>
          </w:p>
        </w:tc>
        <w:tc>
          <w:tcPr>
            <w:tcW w:w="1387" w:type="dxa"/>
            <w:vAlign w:val="top"/>
          </w:tcPr>
          <w:p>
            <w:pPr>
              <w:ind w:left="510"/>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3"/>
              </w:rPr>
              <w:t>12</w:t>
            </w:r>
          </w:p>
        </w:tc>
        <w:tc>
          <w:tcPr>
            <w:tcW w:w="1385" w:type="dxa"/>
            <w:vAlign w:val="top"/>
          </w:tcPr>
          <w:p>
            <w:pPr>
              <w:pStyle w:val="TableText"/>
              <w:ind w:left="489"/>
              <w:spacing w:before="39" w:line="220" w:lineRule="auto"/>
              <w:rPr/>
            </w:pPr>
            <w:r>
              <w:rPr>
                <w:rFonts w:ascii="Times New Roman" w:hAnsi="Times New Roman" w:eastAsia="Times New Roman" w:cs="Times New Roman"/>
                <w:spacing w:val="6"/>
              </w:rPr>
              <w:t>Ⅲ</w:t>
            </w:r>
            <w:r>
              <w:rPr>
                <w:spacing w:val="6"/>
              </w:rPr>
              <w:t>类</w:t>
            </w:r>
          </w:p>
        </w:tc>
        <w:tc>
          <w:tcPr>
            <w:tcW w:w="1387" w:type="dxa"/>
            <w:vAlign w:val="top"/>
          </w:tcPr>
          <w:p>
            <w:pPr>
              <w:ind w:left="583"/>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w:t>
            </w:r>
          </w:p>
        </w:tc>
        <w:tc>
          <w:tcPr>
            <w:tcW w:w="1390" w:type="dxa"/>
            <w:vAlign w:val="top"/>
          </w:tcPr>
          <w:p>
            <w:pPr>
              <w:pStyle w:val="TableText"/>
              <w:ind w:left="525"/>
              <w:spacing w:before="39" w:line="220" w:lineRule="auto"/>
              <w:rPr/>
            </w:pPr>
            <w:r>
              <w:rPr>
                <w:rFonts w:ascii="Times New Roman" w:hAnsi="Times New Roman" w:eastAsia="Times New Roman" w:cs="Times New Roman"/>
                <w:spacing w:val="4"/>
              </w:rPr>
              <w:t>Ⅱ</w:t>
            </w:r>
            <w:r>
              <w:rPr>
                <w:spacing w:val="4"/>
              </w:rPr>
              <w:t>类</w:t>
            </w:r>
          </w:p>
        </w:tc>
        <w:tc>
          <w:tcPr>
            <w:tcW w:w="1389" w:type="dxa"/>
            <w:vAlign w:val="top"/>
          </w:tcPr>
          <w:p>
            <w:pPr>
              <w:ind w:left="466"/>
              <w:spacing w:before="7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7" w:hRule="atLeast"/>
        </w:trPr>
        <w:tc>
          <w:tcPr>
            <w:tcW w:w="2412" w:type="dxa"/>
            <w:vAlign w:val="top"/>
          </w:tcPr>
          <w:p>
            <w:pPr>
              <w:pStyle w:val="TableText"/>
              <w:ind w:left="1014"/>
              <w:spacing w:before="39" w:line="219" w:lineRule="auto"/>
              <w:rPr/>
            </w:pPr>
            <w:r>
              <w:rPr>
                <w:spacing w:val="-2"/>
              </w:rPr>
              <w:t>氨氮</w:t>
            </w:r>
          </w:p>
        </w:tc>
        <w:tc>
          <w:tcPr>
            <w:tcW w:w="1385" w:type="dxa"/>
            <w:vAlign w:val="top"/>
          </w:tcPr>
          <w:p>
            <w:pPr>
              <w:ind w:left="458"/>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0.036</w:t>
            </w:r>
          </w:p>
        </w:tc>
        <w:tc>
          <w:tcPr>
            <w:tcW w:w="1385" w:type="dxa"/>
            <w:vAlign w:val="top"/>
          </w:tcPr>
          <w:p>
            <w:pPr>
              <w:pStyle w:val="TableText"/>
              <w:ind w:left="520"/>
              <w:spacing w:before="39" w:line="219" w:lineRule="auto"/>
              <w:rPr/>
            </w:pPr>
            <w:r>
              <w:rPr>
                <w:rFonts w:ascii="Times New Roman" w:hAnsi="Times New Roman" w:eastAsia="Times New Roman" w:cs="Times New Roman"/>
                <w:spacing w:val="4"/>
              </w:rPr>
              <w:t>Ⅱ</w:t>
            </w:r>
            <w:r>
              <w:rPr>
                <w:spacing w:val="4"/>
              </w:rPr>
              <w:t>类</w:t>
            </w:r>
          </w:p>
        </w:tc>
        <w:tc>
          <w:tcPr>
            <w:tcW w:w="1387" w:type="dxa"/>
            <w:vAlign w:val="top"/>
          </w:tcPr>
          <w:p>
            <w:pPr>
              <w:ind w:left="460"/>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0.235</w:t>
            </w:r>
          </w:p>
        </w:tc>
        <w:tc>
          <w:tcPr>
            <w:tcW w:w="1385" w:type="dxa"/>
            <w:vAlign w:val="top"/>
          </w:tcPr>
          <w:p>
            <w:pPr>
              <w:pStyle w:val="TableText"/>
              <w:ind w:left="489"/>
              <w:spacing w:before="39" w:line="219" w:lineRule="auto"/>
              <w:rPr/>
            </w:pPr>
            <w:r>
              <w:rPr>
                <w:rFonts w:ascii="Times New Roman" w:hAnsi="Times New Roman" w:eastAsia="Times New Roman" w:cs="Times New Roman"/>
                <w:spacing w:val="5"/>
              </w:rPr>
              <w:t>Ⅲ</w:t>
            </w:r>
            <w:r>
              <w:rPr>
                <w:spacing w:val="5"/>
              </w:rPr>
              <w:t>类</w:t>
            </w:r>
          </w:p>
        </w:tc>
        <w:tc>
          <w:tcPr>
            <w:tcW w:w="1387" w:type="dxa"/>
            <w:vAlign w:val="top"/>
          </w:tcPr>
          <w:p>
            <w:pPr>
              <w:ind w:left="460"/>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0.167</w:t>
            </w:r>
          </w:p>
        </w:tc>
        <w:tc>
          <w:tcPr>
            <w:tcW w:w="1385" w:type="dxa"/>
            <w:vAlign w:val="top"/>
          </w:tcPr>
          <w:p>
            <w:pPr>
              <w:pStyle w:val="TableText"/>
              <w:ind w:left="489"/>
              <w:spacing w:before="39" w:line="219" w:lineRule="auto"/>
              <w:rPr/>
            </w:pPr>
            <w:r>
              <w:rPr>
                <w:rFonts w:ascii="Times New Roman" w:hAnsi="Times New Roman" w:eastAsia="Times New Roman" w:cs="Times New Roman"/>
                <w:spacing w:val="6"/>
              </w:rPr>
              <w:t>Ⅲ</w:t>
            </w:r>
            <w:r>
              <w:rPr>
                <w:spacing w:val="6"/>
              </w:rPr>
              <w:t>类</w:t>
            </w:r>
          </w:p>
        </w:tc>
        <w:tc>
          <w:tcPr>
            <w:tcW w:w="1387" w:type="dxa"/>
            <w:vAlign w:val="top"/>
          </w:tcPr>
          <w:p>
            <w:pPr>
              <w:ind w:left="462"/>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spacing w:val="-3"/>
              </w:rPr>
              <w:t>121</w:t>
            </w:r>
          </w:p>
        </w:tc>
        <w:tc>
          <w:tcPr>
            <w:tcW w:w="1390" w:type="dxa"/>
            <w:vAlign w:val="top"/>
          </w:tcPr>
          <w:p>
            <w:pPr>
              <w:pStyle w:val="TableText"/>
              <w:ind w:left="494"/>
              <w:spacing w:before="39" w:line="219" w:lineRule="auto"/>
              <w:rPr/>
            </w:pPr>
            <w:r>
              <w:rPr>
                <w:rFonts w:ascii="Times New Roman" w:hAnsi="Times New Roman" w:eastAsia="Times New Roman" w:cs="Times New Roman"/>
                <w:spacing w:val="6"/>
              </w:rPr>
              <w:t>Ⅲ</w:t>
            </w:r>
            <w:r>
              <w:rPr>
                <w:spacing w:val="6"/>
              </w:rPr>
              <w:t>类</w:t>
            </w:r>
          </w:p>
        </w:tc>
        <w:tc>
          <w:tcPr>
            <w:tcW w:w="1389" w:type="dxa"/>
            <w:vAlign w:val="top"/>
          </w:tcPr>
          <w:p>
            <w:pPr>
              <w:ind w:left="466"/>
              <w:spacing w:before="7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412" w:type="dxa"/>
            <w:vAlign w:val="top"/>
          </w:tcPr>
          <w:p>
            <w:pPr>
              <w:pStyle w:val="TableText"/>
              <w:ind w:left="1112"/>
              <w:spacing w:before="39" w:line="220" w:lineRule="auto"/>
              <w:rPr/>
            </w:pPr>
            <w:r>
              <w:rPr/>
              <w:t>钠</w:t>
            </w:r>
          </w:p>
        </w:tc>
        <w:tc>
          <w:tcPr>
            <w:tcW w:w="1385" w:type="dxa"/>
            <w:vAlign w:val="top"/>
          </w:tcPr>
          <w:p>
            <w:pPr>
              <w:ind w:left="528"/>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17.4</w:t>
            </w:r>
          </w:p>
        </w:tc>
        <w:tc>
          <w:tcPr>
            <w:tcW w:w="1385" w:type="dxa"/>
            <w:vAlign w:val="top"/>
          </w:tcPr>
          <w:p>
            <w:pPr>
              <w:pStyle w:val="TableText"/>
              <w:ind w:left="552"/>
              <w:spacing w:before="39" w:line="220" w:lineRule="auto"/>
              <w:rPr/>
            </w:pPr>
            <w:r>
              <w:rPr>
                <w:rFonts w:ascii="Times New Roman" w:hAnsi="Times New Roman" w:eastAsia="Times New Roman" w:cs="Times New Roman"/>
                <w:spacing w:val="3"/>
              </w:rPr>
              <w:t>Ⅰ</w:t>
            </w:r>
            <w:r>
              <w:rPr>
                <w:spacing w:val="3"/>
              </w:rPr>
              <w:t>类</w:t>
            </w:r>
          </w:p>
        </w:tc>
        <w:tc>
          <w:tcPr>
            <w:tcW w:w="1387" w:type="dxa"/>
            <w:vAlign w:val="top"/>
          </w:tcPr>
          <w:p>
            <w:pPr>
              <w:ind w:left="589"/>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22</w:t>
            </w:r>
          </w:p>
        </w:tc>
        <w:tc>
          <w:tcPr>
            <w:tcW w:w="1385" w:type="dxa"/>
            <w:vAlign w:val="top"/>
          </w:tcPr>
          <w:p>
            <w:pPr>
              <w:pStyle w:val="TableText"/>
              <w:ind w:left="554"/>
              <w:spacing w:before="39" w:line="220" w:lineRule="auto"/>
              <w:rPr/>
            </w:pPr>
            <w:r>
              <w:rPr>
                <w:rFonts w:ascii="Times New Roman" w:hAnsi="Times New Roman" w:eastAsia="Times New Roman" w:cs="Times New Roman"/>
                <w:spacing w:val="3"/>
              </w:rPr>
              <w:t>Ⅰ</w:t>
            </w:r>
            <w:r>
              <w:rPr>
                <w:spacing w:val="3"/>
              </w:rPr>
              <w:t>类</w:t>
            </w:r>
          </w:p>
        </w:tc>
        <w:tc>
          <w:tcPr>
            <w:tcW w:w="1387" w:type="dxa"/>
            <w:vAlign w:val="top"/>
          </w:tcPr>
          <w:p>
            <w:pPr>
              <w:ind w:left="530"/>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15.8</w:t>
            </w:r>
          </w:p>
        </w:tc>
        <w:tc>
          <w:tcPr>
            <w:tcW w:w="1385" w:type="dxa"/>
            <w:vAlign w:val="top"/>
          </w:tcPr>
          <w:p>
            <w:pPr>
              <w:pStyle w:val="TableText"/>
              <w:ind w:left="554"/>
              <w:spacing w:before="39" w:line="220" w:lineRule="auto"/>
              <w:rPr/>
            </w:pPr>
            <w:r>
              <w:rPr>
                <w:rFonts w:ascii="Times New Roman" w:hAnsi="Times New Roman" w:eastAsia="Times New Roman" w:cs="Times New Roman"/>
                <w:spacing w:val="3"/>
              </w:rPr>
              <w:t>Ⅰ</w:t>
            </w:r>
            <w:r>
              <w:rPr>
                <w:spacing w:val="3"/>
              </w:rPr>
              <w:t>类</w:t>
            </w:r>
          </w:p>
        </w:tc>
        <w:tc>
          <w:tcPr>
            <w:tcW w:w="1387" w:type="dxa"/>
            <w:vAlign w:val="top"/>
          </w:tcPr>
          <w:p>
            <w:pPr>
              <w:ind w:left="512"/>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26.5</w:t>
            </w:r>
          </w:p>
        </w:tc>
        <w:tc>
          <w:tcPr>
            <w:tcW w:w="1390" w:type="dxa"/>
            <w:vAlign w:val="top"/>
          </w:tcPr>
          <w:p>
            <w:pPr>
              <w:pStyle w:val="TableText"/>
              <w:ind w:left="559"/>
              <w:spacing w:before="39" w:line="220" w:lineRule="auto"/>
              <w:rPr/>
            </w:pPr>
            <w:r>
              <w:rPr>
                <w:rFonts w:ascii="Times New Roman" w:hAnsi="Times New Roman" w:eastAsia="Times New Roman" w:cs="Times New Roman"/>
                <w:spacing w:val="3"/>
              </w:rPr>
              <w:t>Ⅰ</w:t>
            </w:r>
            <w:r>
              <w:rPr>
                <w:spacing w:val="3"/>
              </w:rPr>
              <w:t>类</w:t>
            </w:r>
          </w:p>
        </w:tc>
        <w:tc>
          <w:tcPr>
            <w:tcW w:w="1389" w:type="dxa"/>
            <w:vAlign w:val="top"/>
          </w:tcPr>
          <w:p>
            <w:pPr>
              <w:ind w:left="466"/>
              <w:spacing w:before="7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412" w:type="dxa"/>
            <w:vAlign w:val="top"/>
          </w:tcPr>
          <w:p>
            <w:pPr>
              <w:pStyle w:val="TableText"/>
              <w:ind w:left="696"/>
              <w:spacing w:before="39" w:line="220" w:lineRule="auto"/>
              <w:rPr/>
            </w:pPr>
            <w:r>
              <w:rPr>
                <w:spacing w:val="6"/>
              </w:rPr>
              <w:t>亚硝酸盐氮</w:t>
            </w:r>
          </w:p>
        </w:tc>
        <w:tc>
          <w:tcPr>
            <w:tcW w:w="1385" w:type="dxa"/>
            <w:vAlign w:val="top"/>
          </w:tcPr>
          <w:p>
            <w:pPr>
              <w:ind w:left="397"/>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&lt;0.003</w:t>
            </w:r>
          </w:p>
        </w:tc>
        <w:tc>
          <w:tcPr>
            <w:tcW w:w="1385" w:type="dxa"/>
            <w:vAlign w:val="top"/>
          </w:tcPr>
          <w:p>
            <w:pPr>
              <w:pStyle w:val="TableText"/>
              <w:ind w:left="552"/>
              <w:spacing w:before="39" w:line="220" w:lineRule="auto"/>
              <w:rPr/>
            </w:pPr>
            <w:r>
              <w:rPr>
                <w:rFonts w:ascii="Times New Roman" w:hAnsi="Times New Roman" w:eastAsia="Times New Roman" w:cs="Times New Roman"/>
                <w:spacing w:val="3"/>
              </w:rPr>
              <w:t>Ⅰ</w:t>
            </w:r>
            <w:r>
              <w:rPr>
                <w:spacing w:val="3"/>
              </w:rPr>
              <w:t>类</w:t>
            </w:r>
          </w:p>
        </w:tc>
        <w:tc>
          <w:tcPr>
            <w:tcW w:w="1387" w:type="dxa"/>
            <w:vAlign w:val="top"/>
          </w:tcPr>
          <w:p>
            <w:pPr>
              <w:ind w:left="396"/>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&lt;0.003</w:t>
            </w:r>
          </w:p>
        </w:tc>
        <w:tc>
          <w:tcPr>
            <w:tcW w:w="1385" w:type="dxa"/>
            <w:vAlign w:val="top"/>
          </w:tcPr>
          <w:p>
            <w:pPr>
              <w:pStyle w:val="TableText"/>
              <w:ind w:left="554"/>
              <w:spacing w:before="39" w:line="220" w:lineRule="auto"/>
              <w:rPr/>
            </w:pPr>
            <w:r>
              <w:rPr>
                <w:rFonts w:ascii="Times New Roman" w:hAnsi="Times New Roman" w:eastAsia="Times New Roman" w:cs="Times New Roman"/>
                <w:spacing w:val="3"/>
              </w:rPr>
              <w:t>Ⅰ</w:t>
            </w:r>
            <w:r>
              <w:rPr>
                <w:spacing w:val="3"/>
              </w:rPr>
              <w:t>类</w:t>
            </w:r>
          </w:p>
        </w:tc>
        <w:tc>
          <w:tcPr>
            <w:tcW w:w="1387" w:type="dxa"/>
            <w:vAlign w:val="top"/>
          </w:tcPr>
          <w:p>
            <w:pPr>
              <w:ind w:left="399"/>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&lt;0.003</w:t>
            </w:r>
          </w:p>
        </w:tc>
        <w:tc>
          <w:tcPr>
            <w:tcW w:w="1385" w:type="dxa"/>
            <w:vAlign w:val="top"/>
          </w:tcPr>
          <w:p>
            <w:pPr>
              <w:pStyle w:val="TableText"/>
              <w:ind w:left="554"/>
              <w:spacing w:before="39" w:line="220" w:lineRule="auto"/>
              <w:rPr/>
            </w:pPr>
            <w:r>
              <w:rPr>
                <w:rFonts w:ascii="Times New Roman" w:hAnsi="Times New Roman" w:eastAsia="Times New Roman" w:cs="Times New Roman"/>
                <w:spacing w:val="3"/>
              </w:rPr>
              <w:t>Ⅰ</w:t>
            </w:r>
            <w:r>
              <w:rPr>
                <w:spacing w:val="3"/>
              </w:rPr>
              <w:t>类</w:t>
            </w:r>
          </w:p>
        </w:tc>
        <w:tc>
          <w:tcPr>
            <w:tcW w:w="1387" w:type="dxa"/>
            <w:vAlign w:val="top"/>
          </w:tcPr>
          <w:p>
            <w:pPr>
              <w:ind w:left="515"/>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w:t>
            </w:r>
          </w:p>
        </w:tc>
        <w:tc>
          <w:tcPr>
            <w:tcW w:w="1390" w:type="dxa"/>
            <w:vAlign w:val="top"/>
          </w:tcPr>
          <w:p>
            <w:pPr>
              <w:pStyle w:val="TableText"/>
              <w:ind w:left="525"/>
              <w:spacing w:before="39" w:line="220" w:lineRule="auto"/>
              <w:rPr/>
            </w:pPr>
            <w:r>
              <w:rPr>
                <w:rFonts w:ascii="Times New Roman" w:hAnsi="Times New Roman" w:eastAsia="Times New Roman" w:cs="Times New Roman"/>
                <w:spacing w:val="4"/>
              </w:rPr>
              <w:t>Ⅱ</w:t>
            </w:r>
            <w:r>
              <w:rPr>
                <w:spacing w:val="4"/>
              </w:rPr>
              <w:t>类</w:t>
            </w:r>
          </w:p>
        </w:tc>
        <w:tc>
          <w:tcPr>
            <w:tcW w:w="1389" w:type="dxa"/>
            <w:vAlign w:val="top"/>
          </w:tcPr>
          <w:p>
            <w:pPr>
              <w:ind w:left="466"/>
              <w:spacing w:before="7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412" w:type="dxa"/>
            <w:vAlign w:val="top"/>
          </w:tcPr>
          <w:p>
            <w:pPr>
              <w:pStyle w:val="TableText"/>
              <w:ind w:left="798"/>
              <w:spacing w:before="39" w:line="220" w:lineRule="auto"/>
              <w:rPr/>
            </w:pPr>
            <w:r>
              <w:rPr>
                <w:spacing w:val="5"/>
              </w:rPr>
              <w:t>硝酸盐氮</w:t>
            </w:r>
          </w:p>
        </w:tc>
        <w:tc>
          <w:tcPr>
            <w:tcW w:w="1385" w:type="dxa"/>
            <w:vAlign w:val="top"/>
          </w:tcPr>
          <w:p>
            <w:pPr>
              <w:ind w:left="458"/>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0.287</w:t>
            </w:r>
          </w:p>
        </w:tc>
        <w:tc>
          <w:tcPr>
            <w:tcW w:w="1385" w:type="dxa"/>
            <w:vAlign w:val="top"/>
          </w:tcPr>
          <w:p>
            <w:pPr>
              <w:pStyle w:val="TableText"/>
              <w:ind w:left="552"/>
              <w:spacing w:before="39" w:line="220" w:lineRule="auto"/>
              <w:rPr/>
            </w:pPr>
            <w:r>
              <w:rPr>
                <w:rFonts w:ascii="Times New Roman" w:hAnsi="Times New Roman" w:eastAsia="Times New Roman" w:cs="Times New Roman"/>
                <w:spacing w:val="3"/>
              </w:rPr>
              <w:t>Ⅰ</w:t>
            </w:r>
            <w:r>
              <w:rPr>
                <w:spacing w:val="3"/>
              </w:rPr>
              <w:t>类</w:t>
            </w:r>
          </w:p>
        </w:tc>
        <w:tc>
          <w:tcPr>
            <w:tcW w:w="1387" w:type="dxa"/>
            <w:vAlign w:val="top"/>
          </w:tcPr>
          <w:p>
            <w:pPr>
              <w:ind w:left="530"/>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1.81</w:t>
            </w:r>
          </w:p>
        </w:tc>
        <w:tc>
          <w:tcPr>
            <w:tcW w:w="1385" w:type="dxa"/>
            <w:vAlign w:val="top"/>
          </w:tcPr>
          <w:p>
            <w:pPr>
              <w:pStyle w:val="TableText"/>
              <w:ind w:left="554"/>
              <w:spacing w:before="39" w:line="220" w:lineRule="auto"/>
              <w:rPr/>
            </w:pPr>
            <w:r>
              <w:rPr>
                <w:rFonts w:ascii="Times New Roman" w:hAnsi="Times New Roman" w:eastAsia="Times New Roman" w:cs="Times New Roman"/>
                <w:spacing w:val="3"/>
              </w:rPr>
              <w:t>Ⅰ</w:t>
            </w:r>
            <w:r>
              <w:rPr>
                <w:spacing w:val="3"/>
              </w:rPr>
              <w:t>类</w:t>
            </w:r>
          </w:p>
        </w:tc>
        <w:tc>
          <w:tcPr>
            <w:tcW w:w="1387" w:type="dxa"/>
            <w:vAlign w:val="top"/>
          </w:tcPr>
          <w:p>
            <w:pPr>
              <w:ind w:left="510"/>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2.28</w:t>
            </w:r>
          </w:p>
        </w:tc>
        <w:tc>
          <w:tcPr>
            <w:tcW w:w="1385" w:type="dxa"/>
            <w:vAlign w:val="top"/>
          </w:tcPr>
          <w:p>
            <w:pPr>
              <w:pStyle w:val="TableText"/>
              <w:ind w:left="520"/>
              <w:spacing w:before="39" w:line="220" w:lineRule="auto"/>
              <w:rPr/>
            </w:pPr>
            <w:r>
              <w:rPr>
                <w:rFonts w:ascii="Times New Roman" w:hAnsi="Times New Roman" w:eastAsia="Times New Roman" w:cs="Times New Roman"/>
                <w:spacing w:val="5"/>
              </w:rPr>
              <w:t>Ⅱ</w:t>
            </w:r>
            <w:r>
              <w:rPr>
                <w:spacing w:val="5"/>
              </w:rPr>
              <w:t>类</w:t>
            </w:r>
          </w:p>
        </w:tc>
        <w:tc>
          <w:tcPr>
            <w:tcW w:w="1387" w:type="dxa"/>
            <w:vAlign w:val="top"/>
          </w:tcPr>
          <w:p>
            <w:pPr>
              <w:ind w:left="512"/>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2.98</w:t>
            </w:r>
          </w:p>
        </w:tc>
        <w:tc>
          <w:tcPr>
            <w:tcW w:w="1390" w:type="dxa"/>
            <w:vAlign w:val="top"/>
          </w:tcPr>
          <w:p>
            <w:pPr>
              <w:pStyle w:val="TableText"/>
              <w:ind w:left="525"/>
              <w:spacing w:before="39" w:line="220" w:lineRule="auto"/>
              <w:rPr/>
            </w:pPr>
            <w:r>
              <w:rPr>
                <w:rFonts w:ascii="Times New Roman" w:hAnsi="Times New Roman" w:eastAsia="Times New Roman" w:cs="Times New Roman"/>
                <w:spacing w:val="4"/>
              </w:rPr>
              <w:t>Ⅱ</w:t>
            </w:r>
            <w:r>
              <w:rPr>
                <w:spacing w:val="4"/>
              </w:rPr>
              <w:t>类</w:t>
            </w:r>
          </w:p>
        </w:tc>
        <w:tc>
          <w:tcPr>
            <w:tcW w:w="1389" w:type="dxa"/>
            <w:vAlign w:val="top"/>
          </w:tcPr>
          <w:p>
            <w:pPr>
              <w:ind w:left="466"/>
              <w:spacing w:before="7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412" w:type="dxa"/>
            <w:vAlign w:val="top"/>
          </w:tcPr>
          <w:p>
            <w:pPr>
              <w:pStyle w:val="TableText"/>
              <w:ind w:left="907"/>
              <w:spacing w:before="39" w:line="220" w:lineRule="auto"/>
              <w:rPr/>
            </w:pPr>
            <w:r>
              <w:rPr>
                <w:spacing w:val="3"/>
              </w:rPr>
              <w:t>氟化物</w:t>
            </w:r>
          </w:p>
        </w:tc>
        <w:tc>
          <w:tcPr>
            <w:tcW w:w="1385" w:type="dxa"/>
            <w:vAlign w:val="top"/>
          </w:tcPr>
          <w:p>
            <w:pPr>
              <w:ind w:left="511"/>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0.44</w:t>
            </w:r>
          </w:p>
        </w:tc>
        <w:tc>
          <w:tcPr>
            <w:tcW w:w="1385" w:type="dxa"/>
            <w:vAlign w:val="top"/>
          </w:tcPr>
          <w:p>
            <w:pPr>
              <w:pStyle w:val="TableText"/>
              <w:ind w:left="552"/>
              <w:spacing w:before="39" w:line="220" w:lineRule="auto"/>
              <w:rPr/>
            </w:pPr>
            <w:r>
              <w:rPr>
                <w:rFonts w:ascii="Times New Roman" w:hAnsi="Times New Roman" w:eastAsia="Times New Roman" w:cs="Times New Roman"/>
                <w:spacing w:val="3"/>
              </w:rPr>
              <w:t>Ⅰ</w:t>
            </w:r>
            <w:r>
              <w:rPr>
                <w:spacing w:val="3"/>
              </w:rPr>
              <w:t>类</w:t>
            </w:r>
          </w:p>
        </w:tc>
        <w:tc>
          <w:tcPr>
            <w:tcW w:w="1387" w:type="dxa"/>
            <w:vAlign w:val="top"/>
          </w:tcPr>
          <w:p>
            <w:pPr>
              <w:ind w:left="513"/>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0.43</w:t>
            </w:r>
          </w:p>
        </w:tc>
        <w:tc>
          <w:tcPr>
            <w:tcW w:w="1385" w:type="dxa"/>
            <w:vAlign w:val="top"/>
          </w:tcPr>
          <w:p>
            <w:pPr>
              <w:pStyle w:val="TableText"/>
              <w:ind w:left="554"/>
              <w:spacing w:before="39" w:line="220" w:lineRule="auto"/>
              <w:rPr/>
            </w:pPr>
            <w:r>
              <w:rPr>
                <w:rFonts w:ascii="Times New Roman" w:hAnsi="Times New Roman" w:eastAsia="Times New Roman" w:cs="Times New Roman"/>
                <w:spacing w:val="3"/>
              </w:rPr>
              <w:t>Ⅰ</w:t>
            </w:r>
            <w:r>
              <w:rPr>
                <w:spacing w:val="3"/>
              </w:rPr>
              <w:t>类</w:t>
            </w:r>
          </w:p>
        </w:tc>
        <w:tc>
          <w:tcPr>
            <w:tcW w:w="1387" w:type="dxa"/>
            <w:vAlign w:val="top"/>
          </w:tcPr>
          <w:p>
            <w:pPr>
              <w:ind w:left="513"/>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0.48</w:t>
            </w:r>
          </w:p>
        </w:tc>
        <w:tc>
          <w:tcPr>
            <w:tcW w:w="1385" w:type="dxa"/>
            <w:vAlign w:val="top"/>
          </w:tcPr>
          <w:p>
            <w:pPr>
              <w:pStyle w:val="TableText"/>
              <w:ind w:left="554"/>
              <w:spacing w:before="39" w:line="220" w:lineRule="auto"/>
              <w:rPr/>
            </w:pPr>
            <w:r>
              <w:rPr>
                <w:rFonts w:ascii="Times New Roman" w:hAnsi="Times New Roman" w:eastAsia="Times New Roman" w:cs="Times New Roman"/>
                <w:spacing w:val="3"/>
              </w:rPr>
              <w:t>Ⅰ</w:t>
            </w:r>
            <w:r>
              <w:rPr>
                <w:spacing w:val="3"/>
              </w:rPr>
              <w:t>类</w:t>
            </w:r>
          </w:p>
        </w:tc>
        <w:tc>
          <w:tcPr>
            <w:tcW w:w="1387" w:type="dxa"/>
            <w:vAlign w:val="top"/>
          </w:tcPr>
          <w:p>
            <w:pPr>
              <w:ind w:left="515"/>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0.24</w:t>
            </w:r>
          </w:p>
        </w:tc>
        <w:tc>
          <w:tcPr>
            <w:tcW w:w="1390" w:type="dxa"/>
            <w:vAlign w:val="top"/>
          </w:tcPr>
          <w:p>
            <w:pPr>
              <w:pStyle w:val="TableText"/>
              <w:ind w:left="559"/>
              <w:spacing w:before="39" w:line="220" w:lineRule="auto"/>
              <w:rPr/>
            </w:pPr>
            <w:r>
              <w:rPr>
                <w:rFonts w:ascii="Times New Roman" w:hAnsi="Times New Roman" w:eastAsia="Times New Roman" w:cs="Times New Roman"/>
                <w:spacing w:val="3"/>
              </w:rPr>
              <w:t>Ⅰ</w:t>
            </w:r>
            <w:r>
              <w:rPr>
                <w:spacing w:val="3"/>
              </w:rPr>
              <w:t>类</w:t>
            </w:r>
          </w:p>
        </w:tc>
        <w:tc>
          <w:tcPr>
            <w:tcW w:w="1389" w:type="dxa"/>
            <w:vAlign w:val="top"/>
          </w:tcPr>
          <w:p>
            <w:pPr>
              <w:ind w:left="466"/>
              <w:spacing w:before="7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412" w:type="dxa"/>
            <w:vAlign w:val="top"/>
          </w:tcPr>
          <w:p>
            <w:pPr>
              <w:pStyle w:val="TableText"/>
              <w:ind w:left="1016"/>
              <w:spacing w:before="39" w:line="220" w:lineRule="auto"/>
              <w:rPr/>
            </w:pPr>
            <w:r>
              <w:rPr>
                <w:spacing w:val="-3"/>
              </w:rPr>
              <w:t>总汞</w:t>
            </w:r>
          </w:p>
        </w:tc>
        <w:tc>
          <w:tcPr>
            <w:tcW w:w="1385" w:type="dxa"/>
            <w:vAlign w:val="top"/>
          </w:tcPr>
          <w:p>
            <w:pPr>
              <w:ind w:left="405"/>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0.0001</w:t>
            </w:r>
          </w:p>
        </w:tc>
        <w:tc>
          <w:tcPr>
            <w:tcW w:w="1385" w:type="dxa"/>
            <w:vAlign w:val="top"/>
          </w:tcPr>
          <w:p>
            <w:pPr>
              <w:pStyle w:val="TableText"/>
              <w:ind w:left="552"/>
              <w:spacing w:before="39" w:line="220" w:lineRule="auto"/>
              <w:rPr/>
            </w:pPr>
            <w:r>
              <w:rPr>
                <w:rFonts w:ascii="Times New Roman" w:hAnsi="Times New Roman" w:eastAsia="Times New Roman" w:cs="Times New Roman"/>
                <w:spacing w:val="3"/>
              </w:rPr>
              <w:t>Ⅰ</w:t>
            </w:r>
            <w:r>
              <w:rPr>
                <w:spacing w:val="3"/>
              </w:rPr>
              <w:t>类</w:t>
            </w:r>
          </w:p>
        </w:tc>
        <w:tc>
          <w:tcPr>
            <w:tcW w:w="1387" w:type="dxa"/>
            <w:vAlign w:val="top"/>
          </w:tcPr>
          <w:p>
            <w:pPr>
              <w:ind w:left="293"/>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&lt;0.00004</w:t>
            </w:r>
          </w:p>
        </w:tc>
        <w:tc>
          <w:tcPr>
            <w:tcW w:w="1385" w:type="dxa"/>
            <w:vAlign w:val="top"/>
          </w:tcPr>
          <w:p>
            <w:pPr>
              <w:pStyle w:val="TableText"/>
              <w:ind w:left="554"/>
              <w:spacing w:before="39" w:line="220" w:lineRule="auto"/>
              <w:rPr/>
            </w:pPr>
            <w:r>
              <w:rPr>
                <w:rFonts w:ascii="Times New Roman" w:hAnsi="Times New Roman" w:eastAsia="Times New Roman" w:cs="Times New Roman"/>
                <w:spacing w:val="3"/>
              </w:rPr>
              <w:t>Ⅰ</w:t>
            </w:r>
            <w:r>
              <w:rPr>
                <w:spacing w:val="3"/>
              </w:rPr>
              <w:t>类</w:t>
            </w:r>
          </w:p>
        </w:tc>
        <w:tc>
          <w:tcPr>
            <w:tcW w:w="1387" w:type="dxa"/>
            <w:vAlign w:val="top"/>
          </w:tcPr>
          <w:p>
            <w:pPr>
              <w:ind w:left="293"/>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&lt;0.00004</w:t>
            </w:r>
          </w:p>
        </w:tc>
        <w:tc>
          <w:tcPr>
            <w:tcW w:w="1385" w:type="dxa"/>
            <w:vAlign w:val="top"/>
          </w:tcPr>
          <w:p>
            <w:pPr>
              <w:pStyle w:val="TableText"/>
              <w:ind w:left="554"/>
              <w:spacing w:before="39" w:line="220" w:lineRule="auto"/>
              <w:rPr/>
            </w:pPr>
            <w:r>
              <w:rPr>
                <w:rFonts w:ascii="Times New Roman" w:hAnsi="Times New Roman" w:eastAsia="Times New Roman" w:cs="Times New Roman"/>
                <w:spacing w:val="3"/>
              </w:rPr>
              <w:t>Ⅰ</w:t>
            </w:r>
            <w:r>
              <w:rPr>
                <w:spacing w:val="3"/>
              </w:rPr>
              <w:t>类</w:t>
            </w:r>
          </w:p>
        </w:tc>
        <w:tc>
          <w:tcPr>
            <w:tcW w:w="1387" w:type="dxa"/>
            <w:vAlign w:val="top"/>
          </w:tcPr>
          <w:p>
            <w:pPr>
              <w:ind w:left="293"/>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&lt;0.00004</w:t>
            </w:r>
          </w:p>
        </w:tc>
        <w:tc>
          <w:tcPr>
            <w:tcW w:w="1390" w:type="dxa"/>
            <w:vAlign w:val="top"/>
          </w:tcPr>
          <w:p>
            <w:pPr>
              <w:pStyle w:val="TableText"/>
              <w:ind w:left="559"/>
              <w:spacing w:before="39" w:line="220" w:lineRule="auto"/>
              <w:rPr/>
            </w:pPr>
            <w:r>
              <w:rPr>
                <w:rFonts w:ascii="Times New Roman" w:hAnsi="Times New Roman" w:eastAsia="Times New Roman" w:cs="Times New Roman"/>
                <w:spacing w:val="3"/>
              </w:rPr>
              <w:t>Ⅰ</w:t>
            </w:r>
            <w:r>
              <w:rPr>
                <w:spacing w:val="3"/>
              </w:rPr>
              <w:t>类</w:t>
            </w:r>
          </w:p>
        </w:tc>
        <w:tc>
          <w:tcPr>
            <w:tcW w:w="1389" w:type="dxa"/>
            <w:vAlign w:val="top"/>
          </w:tcPr>
          <w:p>
            <w:pPr>
              <w:ind w:left="466"/>
              <w:spacing w:before="7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412" w:type="dxa"/>
            <w:vAlign w:val="top"/>
          </w:tcPr>
          <w:p>
            <w:pPr>
              <w:pStyle w:val="TableText"/>
              <w:ind w:left="1016"/>
              <w:spacing w:before="41" w:line="218" w:lineRule="auto"/>
              <w:rPr/>
            </w:pPr>
            <w:r>
              <w:rPr>
                <w:spacing w:val="-3"/>
              </w:rPr>
              <w:t>总砷</w:t>
            </w:r>
          </w:p>
        </w:tc>
        <w:tc>
          <w:tcPr>
            <w:tcW w:w="1385" w:type="dxa"/>
            <w:vAlign w:val="top"/>
          </w:tcPr>
          <w:p>
            <w:pPr>
              <w:ind w:left="405"/>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0.0014</w:t>
            </w:r>
          </w:p>
        </w:tc>
        <w:tc>
          <w:tcPr>
            <w:tcW w:w="1385" w:type="dxa"/>
            <w:vAlign w:val="top"/>
          </w:tcPr>
          <w:p>
            <w:pPr>
              <w:pStyle w:val="TableText"/>
              <w:ind w:left="487"/>
              <w:spacing w:before="41" w:line="218" w:lineRule="auto"/>
              <w:rPr/>
            </w:pPr>
            <w:r>
              <w:rPr>
                <w:rFonts w:ascii="Times New Roman" w:hAnsi="Times New Roman" w:eastAsia="Times New Roman" w:cs="Times New Roman"/>
                <w:spacing w:val="6"/>
              </w:rPr>
              <w:t>Ⅲ</w:t>
            </w:r>
            <w:r>
              <w:rPr>
                <w:spacing w:val="6"/>
              </w:rPr>
              <w:t>类</w:t>
            </w:r>
          </w:p>
        </w:tc>
        <w:tc>
          <w:tcPr>
            <w:tcW w:w="1387" w:type="dxa"/>
            <w:vAlign w:val="top"/>
          </w:tcPr>
          <w:p>
            <w:pPr>
              <w:ind w:left="407"/>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0.0004</w:t>
            </w:r>
          </w:p>
        </w:tc>
        <w:tc>
          <w:tcPr>
            <w:tcW w:w="1385" w:type="dxa"/>
            <w:vAlign w:val="top"/>
          </w:tcPr>
          <w:p>
            <w:pPr>
              <w:pStyle w:val="TableText"/>
              <w:ind w:left="554"/>
              <w:spacing w:before="41" w:line="218" w:lineRule="auto"/>
              <w:rPr/>
            </w:pPr>
            <w:r>
              <w:rPr>
                <w:rFonts w:ascii="Times New Roman" w:hAnsi="Times New Roman" w:eastAsia="Times New Roman" w:cs="Times New Roman"/>
                <w:spacing w:val="3"/>
              </w:rPr>
              <w:t>Ⅰ</w:t>
            </w:r>
            <w:r>
              <w:rPr>
                <w:spacing w:val="3"/>
              </w:rPr>
              <w:t>类</w:t>
            </w:r>
          </w:p>
        </w:tc>
        <w:tc>
          <w:tcPr>
            <w:tcW w:w="1387" w:type="dxa"/>
            <w:vAlign w:val="top"/>
          </w:tcPr>
          <w:p>
            <w:pPr>
              <w:ind w:left="410"/>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0.0037</w:t>
            </w:r>
          </w:p>
        </w:tc>
        <w:tc>
          <w:tcPr>
            <w:tcW w:w="1385" w:type="dxa"/>
            <w:vAlign w:val="top"/>
          </w:tcPr>
          <w:p>
            <w:pPr>
              <w:pStyle w:val="TableText"/>
              <w:ind w:left="489"/>
              <w:spacing w:before="41" w:line="218" w:lineRule="auto"/>
              <w:rPr/>
            </w:pPr>
            <w:r>
              <w:rPr>
                <w:rFonts w:ascii="Times New Roman" w:hAnsi="Times New Roman" w:eastAsia="Times New Roman" w:cs="Times New Roman"/>
                <w:spacing w:val="6"/>
              </w:rPr>
              <w:t>Ⅲ</w:t>
            </w:r>
            <w:r>
              <w:rPr>
                <w:spacing w:val="6"/>
              </w:rPr>
              <w:t>类</w:t>
            </w:r>
          </w:p>
        </w:tc>
        <w:tc>
          <w:tcPr>
            <w:tcW w:w="1387" w:type="dxa"/>
            <w:vAlign w:val="top"/>
          </w:tcPr>
          <w:p>
            <w:pPr>
              <w:ind w:left="410"/>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0.0004</w:t>
            </w:r>
          </w:p>
        </w:tc>
        <w:tc>
          <w:tcPr>
            <w:tcW w:w="1390" w:type="dxa"/>
            <w:vAlign w:val="top"/>
          </w:tcPr>
          <w:p>
            <w:pPr>
              <w:pStyle w:val="TableText"/>
              <w:ind w:left="559"/>
              <w:spacing w:before="41" w:line="218" w:lineRule="auto"/>
              <w:rPr/>
            </w:pPr>
            <w:r>
              <w:rPr>
                <w:rFonts w:ascii="Times New Roman" w:hAnsi="Times New Roman" w:eastAsia="Times New Roman" w:cs="Times New Roman"/>
                <w:spacing w:val="3"/>
              </w:rPr>
              <w:t>Ⅰ</w:t>
            </w:r>
            <w:r>
              <w:rPr>
                <w:spacing w:val="3"/>
              </w:rPr>
              <w:t>类</w:t>
            </w:r>
          </w:p>
        </w:tc>
        <w:tc>
          <w:tcPr>
            <w:tcW w:w="1389" w:type="dxa"/>
            <w:vAlign w:val="top"/>
          </w:tcPr>
          <w:p>
            <w:pPr>
              <w:ind w:left="466"/>
              <w:spacing w:before="7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412" w:type="dxa"/>
            <w:vAlign w:val="top"/>
          </w:tcPr>
          <w:p>
            <w:pPr>
              <w:pStyle w:val="TableText"/>
              <w:ind w:left="1016"/>
              <w:spacing w:before="40" w:line="219" w:lineRule="auto"/>
              <w:rPr/>
            </w:pPr>
            <w:r>
              <w:rPr>
                <w:spacing w:val="-3"/>
              </w:rPr>
              <w:t>总硒</w:t>
            </w:r>
          </w:p>
        </w:tc>
        <w:tc>
          <w:tcPr>
            <w:tcW w:w="1385" w:type="dxa"/>
            <w:vAlign w:val="top"/>
          </w:tcPr>
          <w:p>
            <w:pPr>
              <w:ind w:left="405"/>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0.0018</w:t>
            </w:r>
          </w:p>
        </w:tc>
        <w:tc>
          <w:tcPr>
            <w:tcW w:w="1385" w:type="dxa"/>
            <w:vAlign w:val="top"/>
          </w:tcPr>
          <w:p>
            <w:pPr>
              <w:pStyle w:val="TableText"/>
              <w:ind w:left="552"/>
              <w:spacing w:before="40" w:line="219" w:lineRule="auto"/>
              <w:rPr/>
            </w:pPr>
            <w:r>
              <w:rPr>
                <w:rFonts w:ascii="Times New Roman" w:hAnsi="Times New Roman" w:eastAsia="Times New Roman" w:cs="Times New Roman"/>
                <w:spacing w:val="3"/>
              </w:rPr>
              <w:t>Ⅰ</w:t>
            </w:r>
            <w:r>
              <w:rPr>
                <w:spacing w:val="3"/>
              </w:rPr>
              <w:t>类</w:t>
            </w:r>
          </w:p>
        </w:tc>
        <w:tc>
          <w:tcPr>
            <w:tcW w:w="1387" w:type="dxa"/>
            <w:vAlign w:val="top"/>
          </w:tcPr>
          <w:p>
            <w:pPr>
              <w:ind w:left="346"/>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&lt;0.0004</w:t>
            </w:r>
          </w:p>
        </w:tc>
        <w:tc>
          <w:tcPr>
            <w:tcW w:w="1385" w:type="dxa"/>
            <w:vAlign w:val="top"/>
          </w:tcPr>
          <w:p>
            <w:pPr>
              <w:pStyle w:val="TableText"/>
              <w:ind w:left="554"/>
              <w:spacing w:before="40" w:line="219" w:lineRule="auto"/>
              <w:rPr/>
            </w:pPr>
            <w:r>
              <w:rPr>
                <w:rFonts w:ascii="Times New Roman" w:hAnsi="Times New Roman" w:eastAsia="Times New Roman" w:cs="Times New Roman"/>
                <w:spacing w:val="3"/>
              </w:rPr>
              <w:t>Ⅰ</w:t>
            </w:r>
            <w:r>
              <w:rPr>
                <w:spacing w:val="3"/>
              </w:rPr>
              <w:t>类</w:t>
            </w:r>
          </w:p>
        </w:tc>
        <w:tc>
          <w:tcPr>
            <w:tcW w:w="1387" w:type="dxa"/>
            <w:vAlign w:val="top"/>
          </w:tcPr>
          <w:p>
            <w:pPr>
              <w:ind w:left="410"/>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0.0014</w:t>
            </w:r>
          </w:p>
        </w:tc>
        <w:tc>
          <w:tcPr>
            <w:tcW w:w="1385" w:type="dxa"/>
            <w:vAlign w:val="top"/>
          </w:tcPr>
          <w:p>
            <w:pPr>
              <w:pStyle w:val="TableText"/>
              <w:ind w:left="554"/>
              <w:spacing w:before="40" w:line="219" w:lineRule="auto"/>
              <w:rPr/>
            </w:pPr>
            <w:r>
              <w:rPr>
                <w:rFonts w:ascii="Times New Roman" w:hAnsi="Times New Roman" w:eastAsia="Times New Roman" w:cs="Times New Roman"/>
                <w:spacing w:val="3"/>
              </w:rPr>
              <w:t>Ⅰ</w:t>
            </w:r>
            <w:r>
              <w:rPr>
                <w:spacing w:val="3"/>
              </w:rPr>
              <w:t>类</w:t>
            </w:r>
          </w:p>
        </w:tc>
        <w:tc>
          <w:tcPr>
            <w:tcW w:w="1387" w:type="dxa"/>
            <w:vAlign w:val="top"/>
          </w:tcPr>
          <w:p>
            <w:pPr>
              <w:ind w:left="410"/>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0.0017</w:t>
            </w:r>
          </w:p>
        </w:tc>
        <w:tc>
          <w:tcPr>
            <w:tcW w:w="1390" w:type="dxa"/>
            <w:vAlign w:val="top"/>
          </w:tcPr>
          <w:p>
            <w:pPr>
              <w:pStyle w:val="TableText"/>
              <w:ind w:left="559"/>
              <w:spacing w:before="40" w:line="219" w:lineRule="auto"/>
              <w:rPr/>
            </w:pPr>
            <w:r>
              <w:rPr>
                <w:rFonts w:ascii="Times New Roman" w:hAnsi="Times New Roman" w:eastAsia="Times New Roman" w:cs="Times New Roman"/>
                <w:spacing w:val="3"/>
              </w:rPr>
              <w:t>Ⅰ</w:t>
            </w:r>
            <w:r>
              <w:rPr>
                <w:spacing w:val="3"/>
              </w:rPr>
              <w:t>类</w:t>
            </w:r>
          </w:p>
        </w:tc>
        <w:tc>
          <w:tcPr>
            <w:tcW w:w="1389" w:type="dxa"/>
            <w:vAlign w:val="top"/>
          </w:tcPr>
          <w:p>
            <w:pPr>
              <w:ind w:left="466"/>
              <w:spacing w:before="7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412" w:type="dxa"/>
            <w:vAlign w:val="top"/>
          </w:tcPr>
          <w:p>
            <w:pPr>
              <w:pStyle w:val="TableText"/>
              <w:ind w:left="1113"/>
              <w:spacing w:before="40" w:line="219" w:lineRule="auto"/>
              <w:rPr/>
            </w:pPr>
            <w:r>
              <w:rPr/>
              <w:t>镉</w:t>
            </w:r>
          </w:p>
        </w:tc>
        <w:tc>
          <w:tcPr>
            <w:tcW w:w="1385" w:type="dxa"/>
            <w:vAlign w:val="top"/>
          </w:tcPr>
          <w:p>
            <w:pPr>
              <w:ind w:left="355"/>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0.00008</w:t>
            </w:r>
          </w:p>
        </w:tc>
        <w:tc>
          <w:tcPr>
            <w:tcW w:w="1385" w:type="dxa"/>
            <w:vAlign w:val="top"/>
          </w:tcPr>
          <w:p>
            <w:pPr>
              <w:pStyle w:val="TableText"/>
              <w:ind w:left="552"/>
              <w:spacing w:before="40" w:line="219" w:lineRule="auto"/>
              <w:rPr/>
            </w:pPr>
            <w:r>
              <w:rPr>
                <w:rFonts w:ascii="Times New Roman" w:hAnsi="Times New Roman" w:eastAsia="Times New Roman" w:cs="Times New Roman"/>
                <w:spacing w:val="3"/>
              </w:rPr>
              <w:t>Ⅰ</w:t>
            </w:r>
            <w:r>
              <w:rPr>
                <w:spacing w:val="3"/>
              </w:rPr>
              <w:t>类</w:t>
            </w:r>
          </w:p>
        </w:tc>
        <w:tc>
          <w:tcPr>
            <w:tcW w:w="1387" w:type="dxa"/>
            <w:vAlign w:val="top"/>
          </w:tcPr>
          <w:p>
            <w:pPr>
              <w:ind w:left="354"/>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0.00068</w:t>
            </w:r>
          </w:p>
        </w:tc>
        <w:tc>
          <w:tcPr>
            <w:tcW w:w="1385" w:type="dxa"/>
            <w:vAlign w:val="top"/>
          </w:tcPr>
          <w:p>
            <w:pPr>
              <w:pStyle w:val="TableText"/>
              <w:ind w:left="520"/>
              <w:spacing w:before="40" w:line="219" w:lineRule="auto"/>
              <w:rPr/>
            </w:pPr>
            <w:r>
              <w:rPr>
                <w:rFonts w:ascii="Times New Roman" w:hAnsi="Times New Roman" w:eastAsia="Times New Roman" w:cs="Times New Roman"/>
                <w:spacing w:val="4"/>
              </w:rPr>
              <w:t>Ⅱ</w:t>
            </w:r>
            <w:r>
              <w:rPr>
                <w:spacing w:val="4"/>
              </w:rPr>
              <w:t>类</w:t>
            </w:r>
          </w:p>
        </w:tc>
        <w:tc>
          <w:tcPr>
            <w:tcW w:w="1387" w:type="dxa"/>
            <w:vAlign w:val="top"/>
          </w:tcPr>
          <w:p>
            <w:pPr>
              <w:ind w:left="357"/>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0.00028</w:t>
            </w:r>
          </w:p>
        </w:tc>
        <w:tc>
          <w:tcPr>
            <w:tcW w:w="1385" w:type="dxa"/>
            <w:vAlign w:val="top"/>
          </w:tcPr>
          <w:p>
            <w:pPr>
              <w:pStyle w:val="TableText"/>
              <w:ind w:left="520"/>
              <w:spacing w:before="40" w:line="219" w:lineRule="auto"/>
              <w:rPr/>
            </w:pPr>
            <w:r>
              <w:rPr>
                <w:rFonts w:ascii="Times New Roman" w:hAnsi="Times New Roman" w:eastAsia="Times New Roman" w:cs="Times New Roman"/>
                <w:spacing w:val="5"/>
              </w:rPr>
              <w:t>Ⅱ</w:t>
            </w:r>
            <w:r>
              <w:rPr>
                <w:spacing w:val="5"/>
              </w:rPr>
              <w:t>类</w:t>
            </w:r>
          </w:p>
        </w:tc>
        <w:tc>
          <w:tcPr>
            <w:tcW w:w="1387" w:type="dxa"/>
            <w:vAlign w:val="top"/>
          </w:tcPr>
          <w:p>
            <w:pPr>
              <w:ind w:left="357"/>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0.00141</w:t>
            </w:r>
          </w:p>
        </w:tc>
        <w:tc>
          <w:tcPr>
            <w:tcW w:w="1390" w:type="dxa"/>
            <w:vAlign w:val="top"/>
          </w:tcPr>
          <w:p>
            <w:pPr>
              <w:pStyle w:val="TableText"/>
              <w:ind w:left="494"/>
              <w:spacing w:before="40" w:line="219" w:lineRule="auto"/>
              <w:rPr/>
            </w:pPr>
            <w:r>
              <w:rPr>
                <w:rFonts w:ascii="Times New Roman" w:hAnsi="Times New Roman" w:eastAsia="Times New Roman" w:cs="Times New Roman"/>
                <w:spacing w:val="6"/>
              </w:rPr>
              <w:t>Ⅲ</w:t>
            </w:r>
            <w:r>
              <w:rPr>
                <w:spacing w:val="6"/>
              </w:rPr>
              <w:t>类</w:t>
            </w:r>
          </w:p>
        </w:tc>
        <w:tc>
          <w:tcPr>
            <w:tcW w:w="1389" w:type="dxa"/>
            <w:vAlign w:val="top"/>
          </w:tcPr>
          <w:p>
            <w:pPr>
              <w:ind w:left="466"/>
              <w:spacing w:before="7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412" w:type="dxa"/>
            <w:vAlign w:val="top"/>
          </w:tcPr>
          <w:p>
            <w:pPr>
              <w:pStyle w:val="TableText"/>
              <w:ind w:left="1112"/>
              <w:spacing w:before="40" w:line="219" w:lineRule="auto"/>
              <w:rPr/>
            </w:pPr>
            <w:r>
              <w:rPr/>
              <w:t>铅</w:t>
            </w:r>
          </w:p>
        </w:tc>
        <w:tc>
          <w:tcPr>
            <w:tcW w:w="1385" w:type="dxa"/>
            <w:vAlign w:val="top"/>
          </w:tcPr>
          <w:p>
            <w:pPr>
              <w:ind w:left="355"/>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0.00013</w:t>
            </w:r>
          </w:p>
        </w:tc>
        <w:tc>
          <w:tcPr>
            <w:tcW w:w="1385" w:type="dxa"/>
            <w:vAlign w:val="top"/>
          </w:tcPr>
          <w:p>
            <w:pPr>
              <w:pStyle w:val="TableText"/>
              <w:ind w:left="552"/>
              <w:spacing w:before="40" w:line="219" w:lineRule="auto"/>
              <w:rPr/>
            </w:pPr>
            <w:r>
              <w:rPr>
                <w:rFonts w:ascii="Times New Roman" w:hAnsi="Times New Roman" w:eastAsia="Times New Roman" w:cs="Times New Roman"/>
                <w:spacing w:val="3"/>
              </w:rPr>
              <w:t>Ⅰ</w:t>
            </w:r>
            <w:r>
              <w:rPr>
                <w:spacing w:val="3"/>
              </w:rPr>
              <w:t>类</w:t>
            </w:r>
          </w:p>
        </w:tc>
        <w:tc>
          <w:tcPr>
            <w:tcW w:w="1387" w:type="dxa"/>
            <w:vAlign w:val="top"/>
          </w:tcPr>
          <w:p>
            <w:pPr>
              <w:ind w:left="407"/>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0.0023</w:t>
            </w:r>
          </w:p>
        </w:tc>
        <w:tc>
          <w:tcPr>
            <w:tcW w:w="1385" w:type="dxa"/>
            <w:vAlign w:val="top"/>
          </w:tcPr>
          <w:p>
            <w:pPr>
              <w:pStyle w:val="TableText"/>
              <w:ind w:left="554"/>
              <w:spacing w:before="40" w:line="219" w:lineRule="auto"/>
              <w:rPr/>
            </w:pPr>
            <w:r>
              <w:rPr>
                <w:rFonts w:ascii="Times New Roman" w:hAnsi="Times New Roman" w:eastAsia="Times New Roman" w:cs="Times New Roman"/>
                <w:spacing w:val="3"/>
              </w:rPr>
              <w:t>Ⅰ</w:t>
            </w:r>
            <w:r>
              <w:rPr>
                <w:spacing w:val="3"/>
              </w:rPr>
              <w:t>类</w:t>
            </w:r>
          </w:p>
        </w:tc>
        <w:tc>
          <w:tcPr>
            <w:tcW w:w="1387" w:type="dxa"/>
            <w:vAlign w:val="top"/>
          </w:tcPr>
          <w:p>
            <w:pPr>
              <w:ind w:left="357"/>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0.00072</w:t>
            </w:r>
          </w:p>
        </w:tc>
        <w:tc>
          <w:tcPr>
            <w:tcW w:w="1385" w:type="dxa"/>
            <w:vAlign w:val="top"/>
          </w:tcPr>
          <w:p>
            <w:pPr>
              <w:pStyle w:val="TableText"/>
              <w:ind w:left="554"/>
              <w:spacing w:before="40" w:line="219" w:lineRule="auto"/>
              <w:rPr/>
            </w:pPr>
            <w:r>
              <w:rPr>
                <w:rFonts w:ascii="Times New Roman" w:hAnsi="Times New Roman" w:eastAsia="Times New Roman" w:cs="Times New Roman"/>
                <w:spacing w:val="3"/>
              </w:rPr>
              <w:t>Ⅰ</w:t>
            </w:r>
            <w:r>
              <w:rPr>
                <w:spacing w:val="3"/>
              </w:rPr>
              <w:t>类</w:t>
            </w:r>
          </w:p>
        </w:tc>
        <w:tc>
          <w:tcPr>
            <w:tcW w:w="1387" w:type="dxa"/>
            <w:vAlign w:val="top"/>
          </w:tcPr>
          <w:p>
            <w:pPr>
              <w:ind w:left="357"/>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0.00157</w:t>
            </w:r>
          </w:p>
        </w:tc>
        <w:tc>
          <w:tcPr>
            <w:tcW w:w="1390" w:type="dxa"/>
            <w:vAlign w:val="top"/>
          </w:tcPr>
          <w:p>
            <w:pPr>
              <w:pStyle w:val="TableText"/>
              <w:ind w:left="559"/>
              <w:spacing w:before="40" w:line="219" w:lineRule="auto"/>
              <w:rPr/>
            </w:pPr>
            <w:r>
              <w:rPr>
                <w:rFonts w:ascii="Times New Roman" w:hAnsi="Times New Roman" w:eastAsia="Times New Roman" w:cs="Times New Roman"/>
                <w:spacing w:val="3"/>
              </w:rPr>
              <w:t>Ⅰ</w:t>
            </w:r>
            <w:r>
              <w:rPr>
                <w:spacing w:val="3"/>
              </w:rPr>
              <w:t>类</w:t>
            </w:r>
          </w:p>
        </w:tc>
        <w:tc>
          <w:tcPr>
            <w:tcW w:w="1389" w:type="dxa"/>
            <w:vAlign w:val="top"/>
          </w:tcPr>
          <w:p>
            <w:pPr>
              <w:ind w:left="466"/>
              <w:spacing w:before="7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7" w:hRule="atLeast"/>
        </w:trPr>
        <w:tc>
          <w:tcPr>
            <w:tcW w:w="2412" w:type="dxa"/>
            <w:vAlign w:val="top"/>
          </w:tcPr>
          <w:p>
            <w:pPr>
              <w:pStyle w:val="TableText"/>
              <w:ind w:left="1114"/>
              <w:spacing w:before="40" w:line="218" w:lineRule="auto"/>
              <w:rPr/>
            </w:pPr>
            <w:r>
              <w:rPr/>
              <w:t>镍</w:t>
            </w:r>
          </w:p>
        </w:tc>
        <w:tc>
          <w:tcPr>
            <w:tcW w:w="1385" w:type="dxa"/>
            <w:vAlign w:val="top"/>
          </w:tcPr>
          <w:p>
            <w:pPr>
              <w:ind w:left="355"/>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0.00084</w:t>
            </w:r>
          </w:p>
        </w:tc>
        <w:tc>
          <w:tcPr>
            <w:tcW w:w="1385" w:type="dxa"/>
            <w:vAlign w:val="top"/>
          </w:tcPr>
          <w:p>
            <w:pPr>
              <w:pStyle w:val="TableText"/>
              <w:ind w:left="552"/>
              <w:spacing w:before="40" w:line="218" w:lineRule="auto"/>
              <w:rPr/>
            </w:pPr>
            <w:r>
              <w:rPr>
                <w:rFonts w:ascii="Times New Roman" w:hAnsi="Times New Roman" w:eastAsia="Times New Roman" w:cs="Times New Roman"/>
                <w:spacing w:val="3"/>
              </w:rPr>
              <w:t>Ⅰ</w:t>
            </w:r>
            <w:r>
              <w:rPr>
                <w:spacing w:val="3"/>
              </w:rPr>
              <w:t>类</w:t>
            </w:r>
          </w:p>
        </w:tc>
        <w:tc>
          <w:tcPr>
            <w:tcW w:w="1387" w:type="dxa"/>
            <w:vAlign w:val="top"/>
          </w:tcPr>
          <w:p>
            <w:pPr>
              <w:ind w:left="354"/>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0.00756</w:t>
            </w:r>
          </w:p>
        </w:tc>
        <w:tc>
          <w:tcPr>
            <w:tcW w:w="1385" w:type="dxa"/>
            <w:vAlign w:val="top"/>
          </w:tcPr>
          <w:p>
            <w:pPr>
              <w:pStyle w:val="TableText"/>
              <w:ind w:left="489"/>
              <w:spacing w:before="40" w:line="218" w:lineRule="auto"/>
              <w:rPr/>
            </w:pPr>
            <w:r>
              <w:rPr>
                <w:rFonts w:ascii="Times New Roman" w:hAnsi="Times New Roman" w:eastAsia="Times New Roman" w:cs="Times New Roman"/>
                <w:spacing w:val="5"/>
              </w:rPr>
              <w:t>Ⅲ</w:t>
            </w:r>
            <w:r>
              <w:rPr>
                <w:spacing w:val="5"/>
              </w:rPr>
              <w:t>类</w:t>
            </w:r>
          </w:p>
        </w:tc>
        <w:tc>
          <w:tcPr>
            <w:tcW w:w="1387" w:type="dxa"/>
            <w:vAlign w:val="top"/>
          </w:tcPr>
          <w:p>
            <w:pPr>
              <w:ind w:left="357"/>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0.00677</w:t>
            </w:r>
          </w:p>
        </w:tc>
        <w:tc>
          <w:tcPr>
            <w:tcW w:w="1385" w:type="dxa"/>
            <w:vAlign w:val="top"/>
          </w:tcPr>
          <w:p>
            <w:pPr>
              <w:pStyle w:val="TableText"/>
              <w:ind w:left="489"/>
              <w:spacing w:before="40" w:line="218" w:lineRule="auto"/>
              <w:rPr/>
            </w:pPr>
            <w:r>
              <w:rPr>
                <w:rFonts w:ascii="Times New Roman" w:hAnsi="Times New Roman" w:eastAsia="Times New Roman" w:cs="Times New Roman"/>
                <w:spacing w:val="6"/>
              </w:rPr>
              <w:t>Ⅲ</w:t>
            </w:r>
            <w:r>
              <w:rPr>
                <w:spacing w:val="6"/>
              </w:rPr>
              <w:t>类</w:t>
            </w:r>
          </w:p>
        </w:tc>
        <w:tc>
          <w:tcPr>
            <w:tcW w:w="1387" w:type="dxa"/>
            <w:vAlign w:val="top"/>
          </w:tcPr>
          <w:p>
            <w:pPr>
              <w:ind w:left="410"/>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0.0154</w:t>
            </w:r>
          </w:p>
        </w:tc>
        <w:tc>
          <w:tcPr>
            <w:tcW w:w="1390" w:type="dxa"/>
            <w:vAlign w:val="top"/>
          </w:tcPr>
          <w:p>
            <w:pPr>
              <w:pStyle w:val="TableText"/>
              <w:ind w:left="494"/>
              <w:spacing w:before="40" w:line="218" w:lineRule="auto"/>
              <w:rPr/>
            </w:pPr>
            <w:r>
              <w:rPr>
                <w:rFonts w:ascii="Times New Roman" w:hAnsi="Times New Roman" w:eastAsia="Times New Roman" w:cs="Times New Roman"/>
                <w:spacing w:val="6"/>
              </w:rPr>
              <w:t>Ⅲ</w:t>
            </w:r>
            <w:r>
              <w:rPr>
                <w:spacing w:val="6"/>
              </w:rPr>
              <w:t>类</w:t>
            </w:r>
          </w:p>
        </w:tc>
        <w:tc>
          <w:tcPr>
            <w:tcW w:w="1389" w:type="dxa"/>
            <w:vAlign w:val="top"/>
          </w:tcPr>
          <w:p>
            <w:pPr>
              <w:ind w:left="466"/>
              <w:spacing w:before="7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412" w:type="dxa"/>
            <w:vAlign w:val="top"/>
          </w:tcPr>
          <w:p>
            <w:pPr>
              <w:pStyle w:val="TableText"/>
              <w:ind w:left="1113"/>
              <w:spacing w:before="41" w:line="218" w:lineRule="auto"/>
              <w:rPr/>
            </w:pPr>
            <w:r>
              <w:rPr/>
              <w:t>钡</w:t>
            </w:r>
          </w:p>
        </w:tc>
        <w:tc>
          <w:tcPr>
            <w:tcW w:w="1385" w:type="dxa"/>
            <w:vAlign w:val="top"/>
          </w:tcPr>
          <w:p>
            <w:pPr>
              <w:ind w:left="458"/>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0.212</w:t>
            </w:r>
          </w:p>
        </w:tc>
        <w:tc>
          <w:tcPr>
            <w:tcW w:w="1385" w:type="dxa"/>
            <w:vAlign w:val="top"/>
          </w:tcPr>
          <w:p>
            <w:pPr>
              <w:pStyle w:val="TableText"/>
              <w:ind w:left="487"/>
              <w:spacing w:before="41" w:line="218" w:lineRule="auto"/>
              <w:rPr/>
            </w:pPr>
            <w:r>
              <w:rPr>
                <w:rFonts w:ascii="Times New Roman" w:hAnsi="Times New Roman" w:eastAsia="Times New Roman" w:cs="Times New Roman"/>
                <w:spacing w:val="6"/>
              </w:rPr>
              <w:t>Ⅲ</w:t>
            </w:r>
            <w:r>
              <w:rPr>
                <w:spacing w:val="6"/>
              </w:rPr>
              <w:t>类</w:t>
            </w:r>
          </w:p>
        </w:tc>
        <w:tc>
          <w:tcPr>
            <w:tcW w:w="1387" w:type="dxa"/>
            <w:vAlign w:val="top"/>
          </w:tcPr>
          <w:p>
            <w:pPr>
              <w:ind w:left="460"/>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0.008</w:t>
            </w:r>
          </w:p>
        </w:tc>
        <w:tc>
          <w:tcPr>
            <w:tcW w:w="1385" w:type="dxa"/>
            <w:vAlign w:val="top"/>
          </w:tcPr>
          <w:p>
            <w:pPr>
              <w:pStyle w:val="TableText"/>
              <w:ind w:left="554"/>
              <w:spacing w:before="41" w:line="218" w:lineRule="auto"/>
              <w:rPr/>
            </w:pPr>
            <w:r>
              <w:rPr>
                <w:rFonts w:ascii="Times New Roman" w:hAnsi="Times New Roman" w:eastAsia="Times New Roman" w:cs="Times New Roman"/>
                <w:spacing w:val="3"/>
              </w:rPr>
              <w:t>Ⅰ</w:t>
            </w:r>
            <w:r>
              <w:rPr>
                <w:spacing w:val="3"/>
              </w:rPr>
              <w:t>类</w:t>
            </w:r>
          </w:p>
        </w:tc>
        <w:tc>
          <w:tcPr>
            <w:tcW w:w="1387" w:type="dxa"/>
            <w:vAlign w:val="top"/>
          </w:tcPr>
          <w:p>
            <w:pPr>
              <w:ind w:left="460"/>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0.314</w:t>
            </w:r>
          </w:p>
        </w:tc>
        <w:tc>
          <w:tcPr>
            <w:tcW w:w="1385" w:type="dxa"/>
            <w:vAlign w:val="top"/>
          </w:tcPr>
          <w:p>
            <w:pPr>
              <w:pStyle w:val="TableText"/>
              <w:ind w:left="489"/>
              <w:spacing w:before="41" w:line="218" w:lineRule="auto"/>
              <w:rPr/>
            </w:pPr>
            <w:r>
              <w:rPr>
                <w:rFonts w:ascii="Times New Roman" w:hAnsi="Times New Roman" w:eastAsia="Times New Roman" w:cs="Times New Roman"/>
                <w:spacing w:val="6"/>
              </w:rPr>
              <w:t>Ⅲ</w:t>
            </w:r>
            <w:r>
              <w:rPr>
                <w:spacing w:val="6"/>
              </w:rPr>
              <w:t>类</w:t>
            </w:r>
          </w:p>
        </w:tc>
        <w:tc>
          <w:tcPr>
            <w:tcW w:w="1387" w:type="dxa"/>
            <w:vAlign w:val="top"/>
          </w:tcPr>
          <w:p>
            <w:pPr>
              <w:ind w:left="462"/>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0.063</w:t>
            </w:r>
          </w:p>
        </w:tc>
        <w:tc>
          <w:tcPr>
            <w:tcW w:w="1390" w:type="dxa"/>
            <w:vAlign w:val="top"/>
          </w:tcPr>
          <w:p>
            <w:pPr>
              <w:pStyle w:val="TableText"/>
              <w:ind w:left="525"/>
              <w:spacing w:before="41" w:line="218" w:lineRule="auto"/>
              <w:rPr/>
            </w:pPr>
            <w:r>
              <w:rPr>
                <w:rFonts w:ascii="Times New Roman" w:hAnsi="Times New Roman" w:eastAsia="Times New Roman" w:cs="Times New Roman"/>
                <w:spacing w:val="4"/>
              </w:rPr>
              <w:t>Ⅱ</w:t>
            </w:r>
            <w:r>
              <w:rPr>
                <w:spacing w:val="4"/>
              </w:rPr>
              <w:t>类</w:t>
            </w:r>
          </w:p>
        </w:tc>
        <w:tc>
          <w:tcPr>
            <w:tcW w:w="1389" w:type="dxa"/>
            <w:vAlign w:val="top"/>
          </w:tcPr>
          <w:p>
            <w:pPr>
              <w:ind w:left="466"/>
              <w:spacing w:before="7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92" w:hRule="atLeast"/>
        </w:trPr>
        <w:tc>
          <w:tcPr>
            <w:tcW w:w="2412" w:type="dxa"/>
            <w:vAlign w:val="top"/>
          </w:tcPr>
          <w:p>
            <w:pPr>
              <w:pStyle w:val="TableText"/>
              <w:ind w:left="484"/>
              <w:spacing w:before="41" w:line="222" w:lineRule="auto"/>
              <w:rPr/>
            </w:pPr>
            <w:r>
              <w:rPr>
                <w:spacing w:val="7"/>
              </w:rPr>
              <w:t>可萃取性石油烃</w:t>
            </w:r>
          </w:p>
        </w:tc>
        <w:tc>
          <w:tcPr>
            <w:tcW w:w="1385" w:type="dxa"/>
            <w:vAlign w:val="top"/>
          </w:tcPr>
          <w:p>
            <w:pPr>
              <w:ind w:left="564"/>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c>
          <w:tcPr>
            <w:tcW w:w="1385" w:type="dxa"/>
            <w:vAlign w:val="top"/>
          </w:tcPr>
          <w:p>
            <w:pPr>
              <w:ind w:left="659"/>
              <w:spacing w:before="7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387" w:type="dxa"/>
            <w:vAlign w:val="top"/>
          </w:tcPr>
          <w:p>
            <w:pPr>
              <w:ind w:left="566"/>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c>
          <w:tcPr>
            <w:tcW w:w="1385" w:type="dxa"/>
            <w:vAlign w:val="top"/>
          </w:tcPr>
          <w:p>
            <w:pPr>
              <w:ind w:left="659"/>
              <w:spacing w:before="7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387" w:type="dxa"/>
            <w:vAlign w:val="top"/>
          </w:tcPr>
          <w:p>
            <w:pPr>
              <w:ind w:left="513"/>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0.13</w:t>
            </w:r>
          </w:p>
        </w:tc>
        <w:tc>
          <w:tcPr>
            <w:tcW w:w="1385" w:type="dxa"/>
            <w:vAlign w:val="top"/>
          </w:tcPr>
          <w:p>
            <w:pPr>
              <w:ind w:left="659"/>
              <w:spacing w:before="7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387" w:type="dxa"/>
            <w:vAlign w:val="top"/>
          </w:tcPr>
          <w:p>
            <w:pPr>
              <w:ind w:left="515"/>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0.08</w:t>
            </w:r>
          </w:p>
        </w:tc>
        <w:tc>
          <w:tcPr>
            <w:tcW w:w="1390" w:type="dxa"/>
            <w:vAlign w:val="top"/>
          </w:tcPr>
          <w:p>
            <w:pPr>
              <w:ind w:left="664"/>
              <w:spacing w:before="7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389" w:type="dxa"/>
            <w:vAlign w:val="top"/>
          </w:tcPr>
          <w:p>
            <w:pPr>
              <w:ind w:left="466"/>
              <w:spacing w:before="7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bl>
    <w:p>
      <w:pPr>
        <w:rPr>
          <w:rFonts w:ascii="Arial"/>
          <w:sz w:val="21"/>
        </w:rPr>
      </w:pPr>
      <w:r/>
    </w:p>
    <w:p>
      <w:pPr>
        <w:sectPr>
          <w:headerReference w:type="default" r:id="rId36"/>
          <w:footerReference w:type="default" r:id="rId37"/>
          <w:pgSz w:w="16839" w:h="11906"/>
          <w:pgMar w:top="1025" w:right="973" w:bottom="998" w:left="967" w:header="716" w:footer="835" w:gutter="0"/>
        </w:sectPr>
        <w:rPr>
          <w:rFonts w:ascii="Arial" w:hAnsi="Arial" w:eastAsia="Arial" w:cs="Arial"/>
          <w:sz w:val="21"/>
          <w:szCs w:val="21"/>
        </w:rPr>
      </w:pPr>
    </w:p>
    <w:p>
      <w:pPr>
        <w:spacing w:line="378" w:lineRule="auto"/>
        <w:rPr>
          <w:rFonts w:ascii="Arial"/>
          <w:sz w:val="21"/>
        </w:rPr>
      </w:pPr>
      <w:r/>
    </w:p>
    <w:p>
      <w:pPr>
        <w:pStyle w:val="BodyText"/>
        <w:ind w:left="4"/>
        <w:spacing w:before="91" w:line="221" w:lineRule="auto"/>
        <w:outlineLvl w:val="0"/>
        <w:rPr>
          <w:rFonts w:ascii="FangSong" w:hAnsi="FangSong" w:eastAsia="FangSong" w:cs="FangSong"/>
          <w:sz w:val="28"/>
          <w:szCs w:val="28"/>
        </w:rPr>
      </w:pPr>
      <w:bookmarkStart w:name="bookmark9" w:id="12"/>
      <w:bookmarkEnd w:id="12"/>
      <w:bookmarkStart w:name="bookmark10" w:id="13"/>
      <w:bookmarkEnd w:id="13"/>
      <w:r>
        <w:rPr>
          <w:sz w:val="28"/>
          <w:szCs w:val="28"/>
          <w:b/>
          <w:bCs/>
          <w:spacing w:val="-7"/>
        </w:rPr>
        <w:t>3</w:t>
      </w:r>
      <w:r>
        <w:rPr>
          <w:sz w:val="28"/>
          <w:szCs w:val="28"/>
          <w:b/>
          <w:bCs/>
          <w:spacing w:val="10"/>
        </w:rPr>
        <w:t xml:space="preserve">  </w:t>
      </w:r>
      <w:r>
        <w:rPr>
          <w:rFonts w:ascii="FangSong" w:hAnsi="FangSong" w:eastAsia="FangSong" w:cs="FangSong"/>
          <w:sz w:val="28"/>
          <w:szCs w:val="28"/>
          <w:b/>
          <w:bCs/>
          <w:spacing w:val="-7"/>
        </w:rPr>
        <w:t>地勘资料</w:t>
      </w:r>
    </w:p>
    <w:p>
      <w:pPr>
        <w:pStyle w:val="BodyText"/>
        <w:ind w:left="4"/>
        <w:spacing w:before="288" w:line="224" w:lineRule="auto"/>
        <w:outlineLvl w:val="1"/>
        <w:rPr>
          <w:rFonts w:ascii="FangSong" w:hAnsi="FangSong" w:eastAsia="FangSong" w:cs="FangSong"/>
          <w:sz w:val="28"/>
          <w:szCs w:val="28"/>
        </w:rPr>
      </w:pPr>
      <w:bookmarkStart w:name="bookmark46" w:id="14"/>
      <w:bookmarkEnd w:id="14"/>
      <w:r>
        <w:rPr>
          <w:sz w:val="28"/>
          <w:szCs w:val="28"/>
          <w:b/>
          <w:bCs/>
          <w:spacing w:val="-6"/>
        </w:rPr>
        <w:t>3.1</w:t>
      </w:r>
      <w:r>
        <w:rPr>
          <w:sz w:val="28"/>
          <w:szCs w:val="28"/>
          <w:b/>
          <w:bCs/>
          <w:spacing w:val="13"/>
        </w:rPr>
        <w:t xml:space="preserve">  </w:t>
      </w:r>
      <w:r>
        <w:rPr>
          <w:rFonts w:ascii="FangSong" w:hAnsi="FangSong" w:eastAsia="FangSong" w:cs="FangSong"/>
          <w:sz w:val="28"/>
          <w:szCs w:val="28"/>
          <w:b/>
          <w:bCs/>
          <w:spacing w:val="-6"/>
        </w:rPr>
        <w:t>工程地质</w:t>
      </w:r>
    </w:p>
    <w:p>
      <w:pPr>
        <w:pStyle w:val="BodyText"/>
        <w:ind w:left="20" w:right="83" w:firstLine="476"/>
        <w:spacing w:before="226" w:line="360" w:lineRule="auto"/>
        <w:rPr>
          <w:rFonts w:ascii="FangSong" w:hAnsi="FangSong" w:eastAsia="FangSong" w:cs="FangSong"/>
          <w:sz w:val="24"/>
          <w:szCs w:val="24"/>
        </w:rPr>
      </w:pPr>
      <w:r>
        <w:rPr>
          <w:rFonts w:ascii="FangSong" w:hAnsi="FangSong" w:eastAsia="FangSong" w:cs="FangSong"/>
          <w:sz w:val="24"/>
          <w:szCs w:val="24"/>
          <w:spacing w:val="-3"/>
        </w:rPr>
        <w:t>地勘资料参照《浙江环益资源利用有限公司新建工程详细勘察报告》（浙江省华厦工程勘</w:t>
      </w:r>
      <w:r>
        <w:rPr>
          <w:rFonts w:ascii="FangSong" w:hAnsi="FangSong" w:eastAsia="FangSong" w:cs="FangSong"/>
          <w:sz w:val="24"/>
          <w:szCs w:val="24"/>
          <w:spacing w:val="5"/>
        </w:rPr>
        <w:t xml:space="preserve"> </w:t>
      </w:r>
      <w:r>
        <w:rPr>
          <w:rFonts w:ascii="FangSong" w:hAnsi="FangSong" w:eastAsia="FangSong" w:cs="FangSong"/>
          <w:sz w:val="24"/>
          <w:szCs w:val="24"/>
          <w:spacing w:val="-1"/>
        </w:rPr>
        <w:t>察院，</w:t>
      </w:r>
      <w:r>
        <w:rPr>
          <w:sz w:val="24"/>
          <w:szCs w:val="24"/>
          <w:spacing w:val="-1"/>
        </w:rPr>
        <w:t>2007</w:t>
      </w:r>
      <w:r>
        <w:rPr>
          <w:rFonts w:ascii="FangSong" w:hAnsi="FangSong" w:eastAsia="FangSong" w:cs="FangSong"/>
          <w:sz w:val="24"/>
          <w:szCs w:val="24"/>
          <w:spacing w:val="-1"/>
        </w:rPr>
        <w:t>年</w:t>
      </w:r>
      <w:r>
        <w:rPr>
          <w:sz w:val="24"/>
          <w:szCs w:val="24"/>
          <w:spacing w:val="-1"/>
        </w:rPr>
        <w:t>7</w:t>
      </w:r>
      <w:r>
        <w:rPr>
          <w:rFonts w:ascii="FangSong" w:hAnsi="FangSong" w:eastAsia="FangSong" w:cs="FangSong"/>
          <w:sz w:val="24"/>
          <w:szCs w:val="24"/>
          <w:spacing w:val="-1"/>
        </w:rPr>
        <w:t>月）中工程地质条件内容。</w:t>
      </w:r>
    </w:p>
    <w:p>
      <w:pPr>
        <w:pStyle w:val="BodyText"/>
        <w:ind w:left="15" w:right="83" w:firstLine="481"/>
        <w:spacing w:before="3" w:line="359" w:lineRule="auto"/>
        <w:jc w:val="both"/>
        <w:rPr>
          <w:rFonts w:ascii="FangSong" w:hAnsi="FangSong" w:eastAsia="FangSong" w:cs="FangSong"/>
          <w:sz w:val="24"/>
          <w:szCs w:val="24"/>
        </w:rPr>
      </w:pPr>
      <w:r>
        <w:rPr>
          <w:rFonts w:ascii="FangSong" w:hAnsi="FangSong" w:eastAsia="FangSong" w:cs="FangSong"/>
          <w:sz w:val="24"/>
          <w:szCs w:val="24"/>
          <w:spacing w:val="-3"/>
        </w:rPr>
        <w:t>场地属山润沟谷平原、山陵低丘二地貌单元，地势起伏较大。按设计要求，应对两侧山坡</w:t>
      </w:r>
      <w:r>
        <w:rPr>
          <w:rFonts w:ascii="FangSong" w:hAnsi="FangSong" w:eastAsia="FangSong" w:cs="FangSong"/>
          <w:sz w:val="24"/>
          <w:szCs w:val="24"/>
          <w:spacing w:val="5"/>
        </w:rPr>
        <w:t xml:space="preserve"> </w:t>
      </w:r>
      <w:r>
        <w:rPr>
          <w:rFonts w:ascii="FangSong" w:hAnsi="FangSong" w:eastAsia="FangSong" w:cs="FangSong"/>
          <w:sz w:val="24"/>
          <w:szCs w:val="24"/>
          <w:spacing w:val="-3"/>
        </w:rPr>
        <w:t>进行开挖，对沟谷进行回填。经钻孔揭露，场地内地层结构较简单，根据岩、土层的结构、构</w:t>
      </w:r>
      <w:r>
        <w:rPr>
          <w:rFonts w:ascii="FangSong" w:hAnsi="FangSong" w:eastAsia="FangSong" w:cs="FangSong"/>
          <w:sz w:val="24"/>
          <w:szCs w:val="24"/>
          <w:spacing w:val="10"/>
        </w:rPr>
        <w:t xml:space="preserve"> </w:t>
      </w:r>
      <w:r>
        <w:rPr>
          <w:rFonts w:ascii="FangSong" w:hAnsi="FangSong" w:eastAsia="FangSong" w:cs="FangSong"/>
          <w:sz w:val="24"/>
          <w:szCs w:val="24"/>
          <w:spacing w:val="-1"/>
        </w:rPr>
        <w:t>造、特征及力学性质分为</w:t>
      </w:r>
      <w:r>
        <w:rPr>
          <w:sz w:val="24"/>
          <w:szCs w:val="24"/>
          <w:spacing w:val="-1"/>
        </w:rPr>
        <w:t>6</w:t>
      </w:r>
      <w:r>
        <w:rPr>
          <w:rFonts w:ascii="FangSong" w:hAnsi="FangSong" w:eastAsia="FangSong" w:cs="FangSong"/>
          <w:sz w:val="24"/>
          <w:szCs w:val="24"/>
          <w:spacing w:val="-1"/>
        </w:rPr>
        <w:t>层，现将场地各土层特征自上而下分述如下：</w:t>
      </w:r>
    </w:p>
    <w:p>
      <w:pPr>
        <w:pStyle w:val="BodyText"/>
        <w:ind w:left="15" w:right="83" w:firstLine="492"/>
        <w:spacing w:line="290" w:lineRule="auto"/>
        <w:rPr>
          <w:rFonts w:ascii="FangSong" w:hAnsi="FangSong" w:eastAsia="FangSong" w:cs="FangSong"/>
          <w:sz w:val="24"/>
          <w:szCs w:val="24"/>
        </w:rPr>
      </w:pPr>
      <w:r>
        <w:rPr>
          <w:sz w:val="24"/>
          <w:szCs w:val="24"/>
          <w:spacing w:val="-3"/>
        </w:rPr>
        <w:t>1</w:t>
      </w:r>
      <w:r>
        <w:rPr>
          <w:sz w:val="24"/>
          <w:szCs w:val="24"/>
          <w:spacing w:val="-20"/>
        </w:rPr>
        <w:t xml:space="preserve"> </w:t>
      </w:r>
      <w:r>
        <w:rPr>
          <w:rFonts w:ascii="FangSong" w:hAnsi="FangSong" w:eastAsia="FangSong" w:cs="FangSong"/>
          <w:sz w:val="24"/>
          <w:szCs w:val="24"/>
          <w:spacing w:val="-3"/>
        </w:rPr>
        <w:t>、第</w:t>
      </w:r>
      <w:r>
        <w:rPr>
          <w:sz w:val="24"/>
          <w:szCs w:val="24"/>
          <w:spacing w:val="-3"/>
        </w:rPr>
        <w:t>1-1</w:t>
      </w:r>
      <w:r>
        <w:rPr>
          <w:rFonts w:ascii="FangSong" w:hAnsi="FangSong" w:eastAsia="FangSong" w:cs="FangSong"/>
          <w:sz w:val="24"/>
          <w:szCs w:val="24"/>
          <w:spacing w:val="-3"/>
        </w:rPr>
        <w:t>层杂填土：灰黄色，主要由碎石、粘性土等组成，稍湿，松散状为主，少量压实</w:t>
      </w:r>
      <w:r>
        <w:rPr>
          <w:rFonts w:ascii="FangSong" w:hAnsi="FangSong" w:eastAsia="FangSong" w:cs="FangSong"/>
          <w:sz w:val="24"/>
          <w:szCs w:val="24"/>
        </w:rPr>
        <w:t xml:space="preserve"> </w:t>
      </w:r>
      <w:r>
        <w:rPr>
          <w:rFonts w:ascii="FangSong" w:hAnsi="FangSong" w:eastAsia="FangSong" w:cs="FangSong"/>
          <w:sz w:val="24"/>
          <w:szCs w:val="24"/>
          <w:spacing w:val="-2"/>
        </w:rPr>
        <w:t>状。该层另星分布地表（主要分布原有厂区地坪、道路、水堤等</w:t>
      </w:r>
      <w:r>
        <w:rPr>
          <w:rFonts w:ascii="FangSong" w:hAnsi="FangSong" w:eastAsia="FangSong" w:cs="FangSong"/>
          <w:sz w:val="24"/>
          <w:szCs w:val="24"/>
          <w:spacing w:val="18"/>
        </w:rPr>
        <w:t>），</w:t>
      </w:r>
      <w:r>
        <w:rPr>
          <w:rFonts w:ascii="FangSong" w:hAnsi="FangSong" w:eastAsia="FangSong" w:cs="FangSong"/>
          <w:sz w:val="24"/>
          <w:szCs w:val="24"/>
          <w:spacing w:val="-2"/>
        </w:rPr>
        <w:t>厚度</w:t>
      </w:r>
      <w:r>
        <w:rPr>
          <w:sz w:val="24"/>
          <w:szCs w:val="24"/>
          <w:spacing w:val="-2"/>
        </w:rPr>
        <w:t>0.30~</w:t>
      </w:r>
      <w:r>
        <w:rPr>
          <w:sz w:val="24"/>
          <w:szCs w:val="24"/>
          <w:spacing w:val="-32"/>
        </w:rPr>
        <w:t xml:space="preserve"> </w:t>
      </w:r>
      <w:r>
        <w:rPr>
          <w:sz w:val="24"/>
          <w:szCs w:val="24"/>
          <w:spacing w:val="-2"/>
        </w:rPr>
        <w:t>1.90</w:t>
      </w:r>
      <w:r>
        <w:rPr>
          <w:rFonts w:ascii="FangSong" w:hAnsi="FangSong" w:eastAsia="FangSong" w:cs="FangSong"/>
          <w:sz w:val="24"/>
          <w:szCs w:val="24"/>
          <w:spacing w:val="-2"/>
        </w:rPr>
        <w:t>米。</w:t>
      </w:r>
    </w:p>
    <w:p>
      <w:pPr>
        <w:pStyle w:val="BodyText"/>
        <w:ind w:left="16" w:right="83" w:firstLine="511"/>
        <w:spacing w:before="182" w:line="290" w:lineRule="auto"/>
        <w:rPr>
          <w:rFonts w:ascii="FangSong" w:hAnsi="FangSong" w:eastAsia="FangSong" w:cs="FangSong"/>
          <w:sz w:val="24"/>
          <w:szCs w:val="24"/>
        </w:rPr>
      </w:pPr>
      <w:r>
        <w:rPr>
          <w:sz w:val="24"/>
          <w:szCs w:val="24"/>
          <w:spacing w:val="-3"/>
        </w:rPr>
        <w:t>2</w:t>
      </w:r>
      <w:r>
        <w:rPr>
          <w:sz w:val="24"/>
          <w:szCs w:val="24"/>
          <w:spacing w:val="-26"/>
        </w:rPr>
        <w:t xml:space="preserve"> </w:t>
      </w:r>
      <w:r>
        <w:rPr>
          <w:rFonts w:ascii="FangSong" w:hAnsi="FangSong" w:eastAsia="FangSong" w:cs="FangSong"/>
          <w:sz w:val="24"/>
          <w:szCs w:val="24"/>
          <w:spacing w:val="-3"/>
        </w:rPr>
        <w:t>、第</w:t>
      </w:r>
      <w:r>
        <w:rPr>
          <w:sz w:val="24"/>
          <w:szCs w:val="24"/>
          <w:spacing w:val="-3"/>
        </w:rPr>
        <w:t>1-2</w:t>
      </w:r>
      <w:r>
        <w:rPr>
          <w:rFonts w:ascii="FangSong" w:hAnsi="FangSong" w:eastAsia="FangSong" w:cs="FangSong"/>
          <w:sz w:val="24"/>
          <w:szCs w:val="24"/>
          <w:spacing w:val="-3"/>
        </w:rPr>
        <w:t>层耕植土：灰色，含植物根茎，农田以粘性土为</w:t>
      </w:r>
      <w:r>
        <w:rPr>
          <w:rFonts w:ascii="FangSong" w:hAnsi="FangSong" w:eastAsia="FangSong" w:cs="FangSong"/>
          <w:sz w:val="24"/>
          <w:szCs w:val="24"/>
          <w:spacing w:val="-4"/>
        </w:rPr>
        <w:t>主、山坡地带以风化碎石与粘土</w:t>
      </w:r>
      <w:r>
        <w:rPr>
          <w:rFonts w:ascii="FangSong" w:hAnsi="FangSong" w:eastAsia="FangSong" w:cs="FangSong"/>
          <w:sz w:val="24"/>
          <w:szCs w:val="24"/>
        </w:rPr>
        <w:t xml:space="preserve"> </w:t>
      </w:r>
      <w:r>
        <w:rPr>
          <w:rFonts w:ascii="FangSong" w:hAnsi="FangSong" w:eastAsia="FangSong" w:cs="FangSong"/>
          <w:sz w:val="24"/>
          <w:szCs w:val="24"/>
          <w:spacing w:val="-1"/>
        </w:rPr>
        <w:t>组成为主。稍湿</w:t>
      </w:r>
      <w:r>
        <w:rPr>
          <w:sz w:val="24"/>
          <w:szCs w:val="24"/>
          <w:spacing w:val="-1"/>
        </w:rPr>
        <w:t>~</w:t>
      </w:r>
      <w:r>
        <w:rPr>
          <w:rFonts w:ascii="FangSong" w:hAnsi="FangSong" w:eastAsia="FangSong" w:cs="FangSong"/>
          <w:sz w:val="24"/>
          <w:szCs w:val="24"/>
          <w:spacing w:val="-1"/>
        </w:rPr>
        <w:t>饱和，松散状。该层分布场地山坡、农田、旱地等，厚度</w:t>
      </w:r>
      <w:r>
        <w:rPr>
          <w:sz w:val="24"/>
          <w:szCs w:val="24"/>
          <w:spacing w:val="-1"/>
        </w:rPr>
        <w:t>0.30~</w:t>
      </w:r>
      <w:r>
        <w:rPr>
          <w:sz w:val="24"/>
          <w:szCs w:val="24"/>
          <w:spacing w:val="-32"/>
        </w:rPr>
        <w:t xml:space="preserve"> </w:t>
      </w:r>
      <w:r>
        <w:rPr>
          <w:sz w:val="24"/>
          <w:szCs w:val="24"/>
          <w:spacing w:val="-1"/>
        </w:rPr>
        <w:t>1.2</w:t>
      </w:r>
      <w:r>
        <w:rPr>
          <w:sz w:val="24"/>
          <w:szCs w:val="24"/>
          <w:spacing w:val="-2"/>
        </w:rPr>
        <w:t>0</w:t>
      </w:r>
      <w:r>
        <w:rPr>
          <w:rFonts w:ascii="FangSong" w:hAnsi="FangSong" w:eastAsia="FangSong" w:cs="FangSong"/>
          <w:sz w:val="24"/>
          <w:szCs w:val="24"/>
          <w:spacing w:val="-2"/>
        </w:rPr>
        <w:t>米。</w:t>
      </w:r>
    </w:p>
    <w:p>
      <w:pPr>
        <w:pStyle w:val="BodyText"/>
        <w:ind w:left="15" w:right="17" w:firstLine="473"/>
        <w:spacing w:before="182" w:line="325" w:lineRule="auto"/>
        <w:rPr>
          <w:rFonts w:ascii="FangSong" w:hAnsi="FangSong" w:eastAsia="FangSong" w:cs="FangSong"/>
          <w:sz w:val="24"/>
          <w:szCs w:val="24"/>
        </w:rPr>
      </w:pPr>
      <w:r>
        <w:rPr>
          <w:sz w:val="24"/>
          <w:szCs w:val="24"/>
          <w:spacing w:val="-6"/>
        </w:rPr>
        <w:t>3</w:t>
      </w:r>
      <w:r>
        <w:rPr>
          <w:rFonts w:ascii="FangSong" w:hAnsi="FangSong" w:eastAsia="FangSong" w:cs="FangSong"/>
          <w:sz w:val="24"/>
          <w:szCs w:val="24"/>
          <w:spacing w:val="-6"/>
        </w:rPr>
        <w:t>、第</w:t>
      </w:r>
      <w:r>
        <w:rPr>
          <w:sz w:val="24"/>
          <w:szCs w:val="24"/>
          <w:spacing w:val="-6"/>
        </w:rPr>
        <w:t>2-1</w:t>
      </w:r>
      <w:r>
        <w:rPr>
          <w:rFonts w:ascii="FangSong" w:hAnsi="FangSong" w:eastAsia="FangSong" w:cs="FangSong"/>
          <w:sz w:val="24"/>
          <w:szCs w:val="24"/>
          <w:spacing w:val="-6"/>
        </w:rPr>
        <w:t>层（含碎石）粉质粘土：灰黄色，略带褐色斑点，其中山坡地带含少量风化碎石，</w:t>
      </w:r>
      <w:r>
        <w:rPr>
          <w:rFonts w:ascii="FangSong" w:hAnsi="FangSong" w:eastAsia="FangSong" w:cs="FangSong"/>
          <w:sz w:val="24"/>
          <w:szCs w:val="24"/>
          <w:spacing w:val="12"/>
        </w:rPr>
        <w:t xml:space="preserve"> </w:t>
      </w:r>
      <w:r>
        <w:rPr>
          <w:rFonts w:ascii="FangSong" w:hAnsi="FangSong" w:eastAsia="FangSong" w:cs="FangSong"/>
          <w:sz w:val="24"/>
          <w:szCs w:val="24"/>
          <w:spacing w:val="-7"/>
        </w:rPr>
        <w:t>分布不勾。土面光滑，稍有光泽，无摇振反应，干强度硬，韧性试验高。饱和，硬可塑状为主，</w:t>
      </w:r>
      <w:r>
        <w:rPr>
          <w:rFonts w:ascii="FangSong" w:hAnsi="FangSong" w:eastAsia="FangSong" w:cs="FangSong"/>
          <w:sz w:val="24"/>
          <w:szCs w:val="24"/>
          <w:spacing w:val="8"/>
        </w:rPr>
        <w:t xml:space="preserve"> </w:t>
      </w:r>
      <w:r>
        <w:rPr>
          <w:rFonts w:ascii="FangSong" w:hAnsi="FangSong" w:eastAsia="FangSong" w:cs="FangSong"/>
          <w:sz w:val="24"/>
          <w:szCs w:val="24"/>
          <w:spacing w:val="-2"/>
        </w:rPr>
        <w:t>少量可塑状（山坡地带硬可塑状，沟谷浅部可塑状为主</w:t>
      </w:r>
      <w:r>
        <w:rPr>
          <w:rFonts w:ascii="FangSong" w:hAnsi="FangSong" w:eastAsia="FangSong" w:cs="FangSong"/>
          <w:sz w:val="24"/>
          <w:szCs w:val="24"/>
          <w:spacing w:val="15"/>
        </w:rPr>
        <w:t>），</w:t>
      </w:r>
      <w:r>
        <w:rPr>
          <w:rFonts w:ascii="FangSong" w:hAnsi="FangSong" w:eastAsia="FangSong" w:cs="FangSong"/>
          <w:sz w:val="24"/>
          <w:szCs w:val="24"/>
          <w:spacing w:val="-2"/>
        </w:rPr>
        <w:t>属中等</w:t>
      </w:r>
      <w:r>
        <w:rPr>
          <w:sz w:val="24"/>
          <w:szCs w:val="24"/>
          <w:spacing w:val="-2"/>
        </w:rPr>
        <w:t>~</w:t>
      </w:r>
      <w:r>
        <w:rPr>
          <w:sz w:val="24"/>
          <w:szCs w:val="24"/>
          <w:spacing w:val="-13"/>
        </w:rPr>
        <w:t xml:space="preserve"> </w:t>
      </w:r>
      <w:r>
        <w:rPr>
          <w:rFonts w:ascii="FangSong" w:hAnsi="FangSong" w:eastAsia="FangSong" w:cs="FangSong"/>
          <w:sz w:val="24"/>
          <w:szCs w:val="24"/>
          <w:spacing w:val="-2"/>
        </w:rPr>
        <w:t>中等偏低压缩性土。该层</w:t>
      </w:r>
      <w:r>
        <w:rPr>
          <w:rFonts w:ascii="FangSong" w:hAnsi="FangSong" w:eastAsia="FangSong" w:cs="FangSong"/>
          <w:sz w:val="24"/>
          <w:szCs w:val="24"/>
        </w:rPr>
        <w:t xml:space="preserve"> </w:t>
      </w:r>
      <w:r>
        <w:rPr>
          <w:rFonts w:ascii="FangSong" w:hAnsi="FangSong" w:eastAsia="FangSong" w:cs="FangSong"/>
          <w:sz w:val="24"/>
          <w:szCs w:val="24"/>
          <w:spacing w:val="-1"/>
        </w:rPr>
        <w:t>主要分布场地沟谷、山坳、坡脚处等，顶界埋深</w:t>
      </w:r>
      <w:r>
        <w:rPr>
          <w:sz w:val="24"/>
          <w:szCs w:val="24"/>
          <w:spacing w:val="-1"/>
        </w:rPr>
        <w:t>0.30~</w:t>
      </w:r>
      <w:r>
        <w:rPr>
          <w:sz w:val="24"/>
          <w:szCs w:val="24"/>
          <w:spacing w:val="-33"/>
        </w:rPr>
        <w:t xml:space="preserve"> </w:t>
      </w:r>
      <w:r>
        <w:rPr>
          <w:sz w:val="24"/>
          <w:szCs w:val="24"/>
          <w:spacing w:val="-1"/>
        </w:rPr>
        <w:t>1.90</w:t>
      </w:r>
      <w:r>
        <w:rPr>
          <w:rFonts w:ascii="FangSong" w:hAnsi="FangSong" w:eastAsia="FangSong" w:cs="FangSong"/>
          <w:sz w:val="24"/>
          <w:szCs w:val="24"/>
          <w:spacing w:val="-1"/>
        </w:rPr>
        <w:t>米，厚度</w:t>
      </w:r>
      <w:r>
        <w:rPr>
          <w:sz w:val="24"/>
          <w:szCs w:val="24"/>
          <w:spacing w:val="-1"/>
        </w:rPr>
        <w:t>0.70~4.40</w:t>
      </w:r>
      <w:r>
        <w:rPr>
          <w:rFonts w:ascii="FangSong" w:hAnsi="FangSong" w:eastAsia="FangSong" w:cs="FangSong"/>
          <w:sz w:val="24"/>
          <w:szCs w:val="24"/>
          <w:spacing w:val="-1"/>
        </w:rPr>
        <w:t>米。</w:t>
      </w:r>
    </w:p>
    <w:p>
      <w:pPr>
        <w:pStyle w:val="BodyText"/>
        <w:ind w:left="17" w:firstLine="466"/>
        <w:spacing w:before="184" w:line="313" w:lineRule="auto"/>
        <w:rPr>
          <w:rFonts w:ascii="FangSong" w:hAnsi="FangSong" w:eastAsia="FangSong" w:cs="FangSong"/>
          <w:sz w:val="24"/>
          <w:szCs w:val="24"/>
        </w:rPr>
      </w:pPr>
      <w:r>
        <w:rPr>
          <w:sz w:val="24"/>
          <w:szCs w:val="24"/>
          <w:spacing w:val="-3"/>
        </w:rPr>
        <w:t>4</w:t>
      </w:r>
      <w:r>
        <w:rPr>
          <w:sz w:val="24"/>
          <w:szCs w:val="24"/>
          <w:spacing w:val="-25"/>
        </w:rPr>
        <w:t xml:space="preserve"> </w:t>
      </w:r>
      <w:r>
        <w:rPr>
          <w:rFonts w:ascii="FangSong" w:hAnsi="FangSong" w:eastAsia="FangSong" w:cs="FangSong"/>
          <w:sz w:val="24"/>
          <w:szCs w:val="24"/>
          <w:spacing w:val="-3"/>
        </w:rPr>
        <w:t>、第</w:t>
      </w:r>
      <w:r>
        <w:rPr>
          <w:sz w:val="24"/>
          <w:szCs w:val="24"/>
          <w:spacing w:val="-3"/>
        </w:rPr>
        <w:t>2-2</w:t>
      </w:r>
      <w:r>
        <w:rPr>
          <w:rFonts w:ascii="FangSong" w:hAnsi="FangSong" w:eastAsia="FangSong" w:cs="FangSong"/>
          <w:sz w:val="24"/>
          <w:szCs w:val="24"/>
          <w:spacing w:val="-3"/>
        </w:rPr>
        <w:t>层卵石：局部为含粘土卵石，灰黄色为主</w:t>
      </w:r>
      <w:r>
        <w:rPr>
          <w:sz w:val="24"/>
          <w:szCs w:val="24"/>
          <w:spacing w:val="-3"/>
        </w:rPr>
        <w:t>,</w:t>
      </w:r>
      <w:r>
        <w:rPr>
          <w:sz w:val="24"/>
          <w:szCs w:val="24"/>
          <w:spacing w:val="-31"/>
        </w:rPr>
        <w:t xml:space="preserve"> </w:t>
      </w:r>
      <w:r>
        <w:rPr>
          <w:rFonts w:ascii="FangSong" w:hAnsi="FangSong" w:eastAsia="FangSong" w:cs="FangSong"/>
          <w:sz w:val="24"/>
          <w:szCs w:val="24"/>
          <w:spacing w:val="-3"/>
        </w:rPr>
        <w:t>卵石含量</w:t>
      </w:r>
      <w:r>
        <w:rPr>
          <w:sz w:val="24"/>
          <w:szCs w:val="24"/>
          <w:spacing w:val="-3"/>
        </w:rPr>
        <w:t>50%~60%</w:t>
      </w:r>
      <w:r>
        <w:rPr>
          <w:sz w:val="24"/>
          <w:szCs w:val="24"/>
          <w:spacing w:val="-25"/>
        </w:rPr>
        <w:t xml:space="preserve"> </w:t>
      </w:r>
      <w:r>
        <w:rPr>
          <w:rFonts w:ascii="FangSong" w:hAnsi="FangSong" w:eastAsia="FangSong" w:cs="FangSong"/>
          <w:sz w:val="24"/>
          <w:szCs w:val="24"/>
          <w:spacing w:val="-3"/>
        </w:rPr>
        <w:t>，最大</w:t>
      </w:r>
      <w:r>
        <w:rPr>
          <w:sz w:val="24"/>
          <w:szCs w:val="24"/>
          <w:spacing w:val="-3"/>
        </w:rPr>
        <w:t>15cm</w:t>
      </w:r>
      <w:r>
        <w:rPr>
          <w:sz w:val="24"/>
          <w:szCs w:val="24"/>
          <w:spacing w:val="-27"/>
        </w:rPr>
        <w:t xml:space="preserve"> </w:t>
      </w:r>
      <w:r>
        <w:rPr>
          <w:rFonts w:ascii="FangSong" w:hAnsi="FangSong" w:eastAsia="FangSong" w:cs="FangSong"/>
          <w:sz w:val="24"/>
          <w:szCs w:val="24"/>
          <w:spacing w:val="-3"/>
        </w:rPr>
        <w:t>，呈次</w:t>
      </w:r>
      <w:r>
        <w:rPr>
          <w:rFonts w:ascii="FangSong" w:hAnsi="FangSong" w:eastAsia="FangSong" w:cs="FangSong"/>
          <w:sz w:val="24"/>
          <w:szCs w:val="24"/>
        </w:rPr>
        <w:t xml:space="preserve">  </w:t>
      </w:r>
      <w:r>
        <w:rPr>
          <w:rFonts w:ascii="FangSong" w:hAnsi="FangSong" w:eastAsia="FangSong" w:cs="FangSong"/>
          <w:sz w:val="24"/>
          <w:szCs w:val="24"/>
          <w:spacing w:val="-2"/>
        </w:rPr>
        <w:t>圆状、扁平状为主，成分以粉砂岩为主；砂粒含量</w:t>
      </w:r>
      <w:r>
        <w:rPr>
          <w:sz w:val="24"/>
          <w:szCs w:val="24"/>
          <w:spacing w:val="-2"/>
        </w:rPr>
        <w:t>3</w:t>
      </w:r>
      <w:r>
        <w:rPr>
          <w:sz w:val="24"/>
          <w:szCs w:val="24"/>
          <w:spacing w:val="-3"/>
        </w:rPr>
        <w:t>0~40%</w:t>
      </w:r>
      <w:r>
        <w:rPr>
          <w:sz w:val="24"/>
          <w:szCs w:val="24"/>
          <w:spacing w:val="-27"/>
        </w:rPr>
        <w:t xml:space="preserve"> </w:t>
      </w:r>
      <w:r>
        <w:rPr>
          <w:rFonts w:ascii="FangSong" w:hAnsi="FangSong" w:eastAsia="FangSong" w:cs="FangSong"/>
          <w:sz w:val="24"/>
          <w:szCs w:val="24"/>
          <w:spacing w:val="-3"/>
        </w:rPr>
        <w:t>，以石英砂为主，粘粉粒含量</w:t>
      </w:r>
      <w:r>
        <w:rPr>
          <w:sz w:val="24"/>
          <w:szCs w:val="24"/>
          <w:spacing w:val="-3"/>
        </w:rPr>
        <w:t>10%</w:t>
      </w:r>
      <w:r>
        <w:rPr>
          <w:rFonts w:ascii="FangSong" w:hAnsi="FangSong" w:eastAsia="FangSong" w:cs="FangSong"/>
          <w:sz w:val="24"/>
          <w:szCs w:val="24"/>
          <w:spacing w:val="-3"/>
        </w:rPr>
        <w:t>。</w:t>
      </w:r>
      <w:r>
        <w:rPr>
          <w:rFonts w:ascii="FangSong" w:hAnsi="FangSong" w:eastAsia="FangSong" w:cs="FangSong"/>
          <w:sz w:val="24"/>
          <w:szCs w:val="24"/>
        </w:rPr>
        <w:t xml:space="preserve"> </w:t>
      </w:r>
      <w:r>
        <w:rPr>
          <w:rFonts w:ascii="FangSong" w:hAnsi="FangSong" w:eastAsia="FangSong" w:cs="FangSong"/>
          <w:sz w:val="24"/>
          <w:szCs w:val="24"/>
          <w:spacing w:val="-1"/>
        </w:rPr>
        <w:t>饱和，中密状。该层仅分布沟谷一带，厚度变化大，顶界埋深</w:t>
      </w:r>
      <w:r>
        <w:rPr>
          <w:sz w:val="24"/>
          <w:szCs w:val="24"/>
          <w:spacing w:val="-1"/>
        </w:rPr>
        <w:t>0.30~3.80</w:t>
      </w:r>
      <w:r>
        <w:rPr>
          <w:rFonts w:ascii="FangSong" w:hAnsi="FangSong" w:eastAsia="FangSong" w:cs="FangSong"/>
          <w:sz w:val="24"/>
          <w:szCs w:val="24"/>
          <w:spacing w:val="-1"/>
        </w:rPr>
        <w:t>米，厚度</w:t>
      </w:r>
      <w:r>
        <w:rPr>
          <w:sz w:val="24"/>
          <w:szCs w:val="24"/>
          <w:spacing w:val="-1"/>
        </w:rPr>
        <w:t>0.60~3.30</w:t>
      </w:r>
      <w:r>
        <w:rPr>
          <w:rFonts w:ascii="FangSong" w:hAnsi="FangSong" w:eastAsia="FangSong" w:cs="FangSong"/>
          <w:sz w:val="24"/>
          <w:szCs w:val="24"/>
          <w:spacing w:val="-1"/>
        </w:rPr>
        <w:t>米。</w:t>
      </w:r>
    </w:p>
    <w:p>
      <w:pPr>
        <w:pStyle w:val="BodyText"/>
        <w:ind w:left="15" w:right="67" w:firstLine="475"/>
        <w:spacing w:before="182" w:line="314" w:lineRule="auto"/>
        <w:rPr>
          <w:rFonts w:ascii="FangSong" w:hAnsi="FangSong" w:eastAsia="FangSong" w:cs="FangSong"/>
          <w:sz w:val="24"/>
          <w:szCs w:val="24"/>
        </w:rPr>
      </w:pPr>
      <w:r>
        <w:rPr>
          <w:sz w:val="24"/>
          <w:szCs w:val="24"/>
          <w:spacing w:val="-2"/>
        </w:rPr>
        <w:t>5</w:t>
      </w:r>
      <w:r>
        <w:rPr>
          <w:sz w:val="24"/>
          <w:szCs w:val="24"/>
          <w:spacing w:val="-26"/>
        </w:rPr>
        <w:t xml:space="preserve"> </w:t>
      </w:r>
      <w:r>
        <w:rPr>
          <w:rFonts w:ascii="FangSong" w:hAnsi="FangSong" w:eastAsia="FangSong" w:cs="FangSong"/>
          <w:sz w:val="24"/>
          <w:szCs w:val="24"/>
          <w:spacing w:val="-2"/>
        </w:rPr>
        <w:t>、第</w:t>
      </w:r>
      <w:r>
        <w:rPr>
          <w:sz w:val="24"/>
          <w:szCs w:val="24"/>
          <w:spacing w:val="-2"/>
        </w:rPr>
        <w:t>3-1</w:t>
      </w:r>
      <w:r>
        <w:rPr>
          <w:rFonts w:ascii="FangSong" w:hAnsi="FangSong" w:eastAsia="FangSong" w:cs="FangSong"/>
          <w:sz w:val="24"/>
          <w:szCs w:val="24"/>
          <w:spacing w:val="-2"/>
        </w:rPr>
        <w:t>层强风化粉砂岩：灰黄、灰褐色，上部呈细碎状、碎块混粘土状，下部碎</w:t>
      </w:r>
      <w:r>
        <w:rPr>
          <w:rFonts w:ascii="FangSong" w:hAnsi="FangSong" w:eastAsia="FangSong" w:cs="FangSong"/>
          <w:sz w:val="24"/>
          <w:szCs w:val="24"/>
          <w:spacing w:val="-3"/>
        </w:rPr>
        <w:t>块状。</w:t>
      </w:r>
      <w:r>
        <w:rPr>
          <w:rFonts w:ascii="FangSong" w:hAnsi="FangSong" w:eastAsia="FangSong" w:cs="FangSong"/>
          <w:sz w:val="24"/>
          <w:szCs w:val="24"/>
        </w:rPr>
        <w:t xml:space="preserve"> </w:t>
      </w:r>
      <w:r>
        <w:rPr>
          <w:rFonts w:ascii="FangSong" w:hAnsi="FangSong" w:eastAsia="FangSong" w:cs="FangSong"/>
          <w:sz w:val="24"/>
          <w:szCs w:val="24"/>
        </w:rPr>
        <w:t>稍湿</w:t>
      </w:r>
      <w:r>
        <w:rPr>
          <w:sz w:val="24"/>
          <w:szCs w:val="24"/>
        </w:rPr>
        <w:t>~</w:t>
      </w:r>
      <w:r>
        <w:rPr>
          <w:rFonts w:ascii="FangSong" w:hAnsi="FangSong" w:eastAsia="FangSong" w:cs="FangSong"/>
          <w:sz w:val="24"/>
          <w:szCs w:val="24"/>
        </w:rPr>
        <w:t>湿，密实状。属极软岩，极破碎，岩体基本质</w:t>
      </w:r>
      <w:r>
        <w:rPr>
          <w:rFonts w:ascii="FangSong" w:hAnsi="FangSong" w:eastAsia="FangSong" w:cs="FangSong"/>
          <w:sz w:val="24"/>
          <w:szCs w:val="24"/>
          <w:spacing w:val="-1"/>
        </w:rPr>
        <w:t>量等级为</w:t>
      </w:r>
      <w:r>
        <w:rPr>
          <w:sz w:val="24"/>
          <w:szCs w:val="24"/>
          <w:spacing w:val="-1"/>
        </w:rPr>
        <w:t>V</w:t>
      </w:r>
      <w:r>
        <w:rPr>
          <w:rFonts w:ascii="FangSong" w:hAnsi="FangSong" w:eastAsia="FangSong" w:cs="FangSong"/>
          <w:sz w:val="24"/>
          <w:szCs w:val="24"/>
          <w:spacing w:val="-1"/>
        </w:rPr>
        <w:t>类，易碎。该层全区分布，顶</w:t>
      </w:r>
      <w:r>
        <w:rPr>
          <w:rFonts w:ascii="FangSong" w:hAnsi="FangSong" w:eastAsia="FangSong" w:cs="FangSong"/>
          <w:sz w:val="24"/>
          <w:szCs w:val="24"/>
        </w:rPr>
        <w:t xml:space="preserve"> </w:t>
      </w:r>
      <w:r>
        <w:rPr>
          <w:rFonts w:ascii="FangSong" w:hAnsi="FangSong" w:eastAsia="FangSong" w:cs="FangSong"/>
          <w:sz w:val="24"/>
          <w:szCs w:val="24"/>
          <w:spacing w:val="-1"/>
        </w:rPr>
        <w:t>界埋深</w:t>
      </w:r>
      <w:r>
        <w:rPr>
          <w:sz w:val="24"/>
          <w:szCs w:val="24"/>
          <w:spacing w:val="-1"/>
        </w:rPr>
        <w:t>0.30~5.40</w:t>
      </w:r>
      <w:r>
        <w:rPr>
          <w:rFonts w:ascii="FangSong" w:hAnsi="FangSong" w:eastAsia="FangSong" w:cs="FangSong"/>
          <w:sz w:val="24"/>
          <w:szCs w:val="24"/>
          <w:spacing w:val="-1"/>
        </w:rPr>
        <w:t>米，厚度</w:t>
      </w:r>
      <w:r>
        <w:rPr>
          <w:sz w:val="24"/>
          <w:szCs w:val="24"/>
          <w:spacing w:val="-1"/>
        </w:rPr>
        <w:t>0.30~2.70</w:t>
      </w:r>
      <w:r>
        <w:rPr>
          <w:rFonts w:ascii="FangSong" w:hAnsi="FangSong" w:eastAsia="FangSong" w:cs="FangSong"/>
          <w:sz w:val="24"/>
          <w:szCs w:val="24"/>
          <w:spacing w:val="-1"/>
        </w:rPr>
        <w:t>米。</w:t>
      </w:r>
    </w:p>
    <w:p>
      <w:pPr>
        <w:pStyle w:val="BodyText"/>
        <w:ind w:left="16" w:right="17" w:firstLine="473"/>
        <w:spacing w:before="178" w:line="311" w:lineRule="auto"/>
        <w:rPr>
          <w:rFonts w:ascii="FangSong" w:hAnsi="FangSong" w:eastAsia="FangSong" w:cs="FangSong"/>
          <w:sz w:val="24"/>
          <w:szCs w:val="24"/>
        </w:rPr>
      </w:pPr>
      <w:r>
        <w:rPr>
          <w:sz w:val="24"/>
          <w:szCs w:val="24"/>
          <w:spacing w:val="-2"/>
        </w:rPr>
        <w:t>6</w:t>
      </w:r>
      <w:r>
        <w:rPr>
          <w:sz w:val="24"/>
          <w:szCs w:val="24"/>
          <w:spacing w:val="-26"/>
        </w:rPr>
        <w:t xml:space="preserve"> </w:t>
      </w:r>
      <w:r>
        <w:rPr>
          <w:rFonts w:ascii="FangSong" w:hAnsi="FangSong" w:eastAsia="FangSong" w:cs="FangSong"/>
          <w:sz w:val="24"/>
          <w:szCs w:val="24"/>
          <w:spacing w:val="-2"/>
        </w:rPr>
        <w:t>、第</w:t>
      </w:r>
      <w:r>
        <w:rPr>
          <w:sz w:val="24"/>
          <w:szCs w:val="24"/>
          <w:spacing w:val="-2"/>
        </w:rPr>
        <w:t>3-2</w:t>
      </w:r>
      <w:r>
        <w:rPr>
          <w:rFonts w:ascii="FangSong" w:hAnsi="FangSong" w:eastAsia="FangSong" w:cs="FangSong"/>
          <w:sz w:val="24"/>
          <w:szCs w:val="24"/>
          <w:spacing w:val="-2"/>
        </w:rPr>
        <w:t>层中等风化粉砂岩：灰色为主，粉砂结构</w:t>
      </w:r>
      <w:r>
        <w:rPr>
          <w:rFonts w:ascii="FangSong" w:hAnsi="FangSong" w:eastAsia="FangSong" w:cs="FangSong"/>
          <w:sz w:val="24"/>
          <w:szCs w:val="24"/>
          <w:spacing w:val="-3"/>
        </w:rPr>
        <w:t>，夹大量泥质粉砂岩薄层，地表浅部风</w:t>
      </w:r>
      <w:r>
        <w:rPr>
          <w:rFonts w:ascii="FangSong" w:hAnsi="FangSong" w:eastAsia="FangSong" w:cs="FangSong"/>
          <w:sz w:val="24"/>
          <w:szCs w:val="24"/>
        </w:rPr>
        <w:t xml:space="preserve"> </w:t>
      </w:r>
      <w:r>
        <w:rPr>
          <w:rFonts w:ascii="FangSong" w:hAnsi="FangSong" w:eastAsia="FangSong" w:cs="FangSong"/>
          <w:sz w:val="24"/>
          <w:szCs w:val="24"/>
          <w:spacing w:val="-7"/>
        </w:rPr>
        <w:t>化裂隙极发育，芯呈碎块状、短柱状为主。岩性较坚硬，属较软岩，岩体基本质量等级为Ⅳ类，</w:t>
      </w:r>
      <w:r>
        <w:rPr>
          <w:rFonts w:ascii="FangSong" w:hAnsi="FangSong" w:eastAsia="FangSong" w:cs="FangSong"/>
          <w:sz w:val="24"/>
          <w:szCs w:val="24"/>
          <w:spacing w:val="7"/>
        </w:rPr>
        <w:t xml:space="preserve"> </w:t>
      </w:r>
      <w:r>
        <w:rPr>
          <w:rFonts w:ascii="FangSong" w:hAnsi="FangSong" w:eastAsia="FangSong" w:cs="FangSong"/>
          <w:sz w:val="24"/>
          <w:szCs w:val="24"/>
          <w:spacing w:val="-1"/>
        </w:rPr>
        <w:t>不易软化。该层全区分布，顶界埋深</w:t>
      </w:r>
      <w:r>
        <w:rPr>
          <w:sz w:val="24"/>
          <w:szCs w:val="24"/>
          <w:spacing w:val="-1"/>
        </w:rPr>
        <w:t>1.20~6.</w:t>
      </w:r>
      <w:r>
        <w:rPr>
          <w:sz w:val="24"/>
          <w:szCs w:val="24"/>
          <w:spacing w:val="-32"/>
        </w:rPr>
        <w:t xml:space="preserve"> </w:t>
      </w:r>
      <w:r>
        <w:rPr>
          <w:sz w:val="24"/>
          <w:szCs w:val="24"/>
          <w:spacing w:val="-1"/>
        </w:rPr>
        <w:t>10</w:t>
      </w:r>
      <w:r>
        <w:rPr>
          <w:rFonts w:ascii="FangSong" w:hAnsi="FangSong" w:eastAsia="FangSong" w:cs="FangSong"/>
          <w:sz w:val="24"/>
          <w:szCs w:val="24"/>
          <w:spacing w:val="-1"/>
        </w:rPr>
        <w:t>米</w:t>
      </w:r>
      <w:r>
        <w:rPr>
          <w:sz w:val="24"/>
          <w:szCs w:val="24"/>
          <w:spacing w:val="-1"/>
        </w:rPr>
        <w:t>,</w:t>
      </w:r>
      <w:r>
        <w:rPr>
          <w:rFonts w:ascii="FangSong" w:hAnsi="FangSong" w:eastAsia="FangSong" w:cs="FangSong"/>
          <w:sz w:val="24"/>
          <w:szCs w:val="24"/>
          <w:spacing w:val="-1"/>
        </w:rPr>
        <w:t>控制厚度</w:t>
      </w:r>
      <w:r>
        <w:rPr>
          <w:sz w:val="24"/>
          <w:szCs w:val="24"/>
          <w:spacing w:val="-1"/>
        </w:rPr>
        <w:t>1.90~8</w:t>
      </w:r>
      <w:r>
        <w:rPr>
          <w:sz w:val="24"/>
          <w:szCs w:val="24"/>
          <w:spacing w:val="-2"/>
        </w:rPr>
        <w:t>.50</w:t>
      </w:r>
      <w:r>
        <w:rPr>
          <w:rFonts w:ascii="FangSong" w:hAnsi="FangSong" w:eastAsia="FangSong" w:cs="FangSong"/>
          <w:sz w:val="24"/>
          <w:szCs w:val="24"/>
          <w:spacing w:val="-2"/>
        </w:rPr>
        <w:t>米。</w:t>
      </w:r>
    </w:p>
    <w:p>
      <w:pPr>
        <w:pStyle w:val="BodyText"/>
        <w:ind w:left="496"/>
        <w:spacing w:before="192" w:line="220" w:lineRule="auto"/>
        <w:rPr>
          <w:rFonts w:ascii="FangSong" w:hAnsi="FangSong" w:eastAsia="FangSong" w:cs="FangSong"/>
          <w:sz w:val="24"/>
          <w:szCs w:val="24"/>
        </w:rPr>
      </w:pPr>
      <w:r>
        <w:rPr>
          <w:rFonts w:ascii="FangSong" w:hAnsi="FangSong" w:eastAsia="FangSong" w:cs="FangSong"/>
          <w:sz w:val="24"/>
          <w:szCs w:val="24"/>
          <w:spacing w:val="-1"/>
        </w:rPr>
        <w:t>各地层分布情况详见钻探孔布置平面图</w:t>
      </w:r>
      <w:r>
        <w:rPr>
          <w:sz w:val="24"/>
          <w:szCs w:val="24"/>
          <w:spacing w:val="-1"/>
        </w:rPr>
        <w:t>3.</w:t>
      </w:r>
      <w:r>
        <w:rPr>
          <w:sz w:val="24"/>
          <w:szCs w:val="24"/>
          <w:spacing w:val="-2"/>
        </w:rPr>
        <w:t>1-1</w:t>
      </w:r>
      <w:r>
        <w:rPr>
          <w:sz w:val="24"/>
          <w:szCs w:val="24"/>
          <w:spacing w:val="-27"/>
        </w:rPr>
        <w:t xml:space="preserve"> </w:t>
      </w:r>
      <w:r>
        <w:rPr>
          <w:rFonts w:ascii="FangSong" w:hAnsi="FangSong" w:eastAsia="FangSong" w:cs="FangSong"/>
          <w:sz w:val="24"/>
          <w:szCs w:val="24"/>
          <w:spacing w:val="-2"/>
        </w:rPr>
        <w:t>，工程地质剖面图</w:t>
      </w:r>
      <w:r>
        <w:rPr>
          <w:sz w:val="24"/>
          <w:szCs w:val="24"/>
          <w:spacing w:val="-2"/>
        </w:rPr>
        <w:t>3.1-2</w:t>
      </w:r>
      <w:r>
        <w:rPr>
          <w:rFonts w:ascii="FangSong" w:hAnsi="FangSong" w:eastAsia="FangSong" w:cs="FangSong"/>
          <w:sz w:val="24"/>
          <w:szCs w:val="24"/>
          <w:spacing w:val="-2"/>
        </w:rPr>
        <w:t>。</w:t>
      </w:r>
    </w:p>
    <w:p>
      <w:pPr>
        <w:spacing w:line="220" w:lineRule="auto"/>
        <w:sectPr>
          <w:headerReference w:type="default" r:id="rId38"/>
          <w:footerReference w:type="default" r:id="rId39"/>
          <w:pgSz w:w="11906" w:h="16839"/>
          <w:pgMar w:top="1139" w:right="996" w:bottom="1252" w:left="1080" w:header="831" w:footer="1090" w:gutter="0"/>
        </w:sectPr>
        <w:rPr>
          <w:rFonts w:ascii="FangSong" w:hAnsi="FangSong" w:eastAsia="FangSong" w:cs="FangSong"/>
          <w:sz w:val="24"/>
          <w:szCs w:val="24"/>
        </w:rPr>
      </w:pPr>
    </w:p>
    <w:p>
      <w:pPr>
        <w:spacing w:line="393" w:lineRule="auto"/>
        <w:rPr>
          <w:rFonts w:ascii="Arial"/>
          <w:sz w:val="21"/>
        </w:rPr>
      </w:pPr>
      <w:r/>
    </w:p>
    <w:p>
      <w:pPr>
        <w:ind w:firstLine="9"/>
        <w:spacing w:line="12912" w:lineRule="exact"/>
        <w:rPr/>
      </w:pPr>
      <w:r>
        <w:rPr>
          <w:position w:val="-258"/>
        </w:rPr>
        <w:drawing>
          <wp:inline distT="0" distB="0" distL="0" distR="0">
            <wp:extent cx="6176771" cy="8199119"/>
            <wp:effectExtent l="0" t="0" r="0" b="0"/>
            <wp:docPr id="26" name="IM 26"/>
            <wp:cNvGraphicFramePr/>
            <a:graphic>
              <a:graphicData uri="http://schemas.openxmlformats.org/drawingml/2006/picture">
                <pic:pic>
                  <pic:nvPicPr>
                    <pic:cNvPr id="26" name="IM 26"/>
                    <pic:cNvPicPr/>
                  </pic:nvPicPr>
                  <pic:blipFill>
                    <a:blip r:embed="rId41"/>
                    <a:stretch>
                      <a:fillRect/>
                    </a:stretch>
                  </pic:blipFill>
                  <pic:spPr>
                    <a:xfrm rot="0">
                      <a:off x="0" y="0"/>
                      <a:ext cx="6176771" cy="8199119"/>
                    </a:xfrm>
                    <a:prstGeom prst="rect">
                      <a:avLst/>
                    </a:prstGeom>
                  </pic:spPr>
                </pic:pic>
              </a:graphicData>
            </a:graphic>
          </wp:inline>
        </w:drawing>
      </w:r>
    </w:p>
    <w:p>
      <w:pPr>
        <w:pStyle w:val="BodyText"/>
        <w:ind w:left="3519"/>
        <w:spacing w:before="210" w:line="220" w:lineRule="auto"/>
        <w:rPr>
          <w:rFonts w:ascii="FangSong" w:hAnsi="FangSong" w:eastAsia="FangSong" w:cs="FangSong"/>
          <w:sz w:val="24"/>
          <w:szCs w:val="24"/>
        </w:rPr>
      </w:pPr>
      <w:r>
        <w:rPr>
          <w:rFonts w:ascii="FangSong" w:hAnsi="FangSong" w:eastAsia="FangSong" w:cs="FangSong"/>
          <w:sz w:val="24"/>
          <w:szCs w:val="24"/>
          <w:b/>
          <w:bCs/>
          <w:spacing w:val="-4"/>
        </w:rPr>
        <w:t>图</w:t>
      </w:r>
      <w:r>
        <w:rPr>
          <w:sz w:val="24"/>
          <w:szCs w:val="24"/>
          <w:b/>
          <w:bCs/>
          <w:spacing w:val="-4"/>
        </w:rPr>
        <w:t>3.1-1  </w:t>
      </w:r>
      <w:r>
        <w:rPr>
          <w:rFonts w:ascii="FangSong" w:hAnsi="FangSong" w:eastAsia="FangSong" w:cs="FangSong"/>
          <w:sz w:val="24"/>
          <w:szCs w:val="24"/>
          <w:b/>
          <w:bCs/>
          <w:spacing w:val="-4"/>
        </w:rPr>
        <w:t>钻探孔布置平面图</w:t>
      </w:r>
    </w:p>
    <w:p>
      <w:pPr>
        <w:spacing w:line="220" w:lineRule="auto"/>
        <w:sectPr>
          <w:headerReference w:type="default" r:id="rId29"/>
          <w:footerReference w:type="default" r:id="rId40"/>
          <w:pgSz w:w="11906" w:h="16839"/>
          <w:pgMar w:top="1139" w:right="1080" w:bottom="1252" w:left="1080" w:header="831" w:footer="1090" w:gutter="0"/>
        </w:sectPr>
        <w:rPr>
          <w:rFonts w:ascii="FangSong" w:hAnsi="FangSong" w:eastAsia="FangSong" w:cs="FangSong"/>
          <w:sz w:val="24"/>
          <w:szCs w:val="24"/>
        </w:rPr>
      </w:pPr>
    </w:p>
    <w:p>
      <w:pPr>
        <w:spacing w:before="58"/>
        <w:rPr/>
      </w:pPr>
      <w:r/>
    </w:p>
    <w:tbl>
      <w:tblPr>
        <w:tblStyle w:val="TableNormal"/>
        <w:tblW w:w="99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966"/>
      </w:tblGrid>
      <w:tr>
        <w:trPr>
          <w:trHeight w:val="6559" w:hRule="atLeast"/>
        </w:trPr>
        <w:tc>
          <w:tcPr>
            <w:tcW w:w="9966" w:type="dxa"/>
            <w:vAlign w:val="top"/>
          </w:tcPr>
          <w:p>
            <w:pPr>
              <w:ind w:firstLine="578"/>
              <w:spacing w:before="16" w:line="6528" w:lineRule="exact"/>
              <w:rPr/>
            </w:pPr>
            <w:r>
              <w:rPr>
                <w:position w:val="-130"/>
              </w:rPr>
              <w:drawing>
                <wp:inline distT="0" distB="0" distL="0" distR="0">
                  <wp:extent cx="5591555" cy="4145280"/>
                  <wp:effectExtent l="0" t="0" r="0" b="0"/>
                  <wp:docPr id="28" name="IM 28"/>
                  <wp:cNvGraphicFramePr/>
                  <a:graphic>
                    <a:graphicData uri="http://schemas.openxmlformats.org/drawingml/2006/picture">
                      <pic:pic>
                        <pic:nvPicPr>
                          <pic:cNvPr id="28" name="IM 28"/>
                          <pic:cNvPicPr/>
                        </pic:nvPicPr>
                        <pic:blipFill>
                          <a:blip r:embed="rId44"/>
                          <a:stretch>
                            <a:fillRect/>
                          </a:stretch>
                        </pic:blipFill>
                        <pic:spPr>
                          <a:xfrm rot="0">
                            <a:off x="0" y="0"/>
                            <a:ext cx="5591555" cy="4145280"/>
                          </a:xfrm>
                          <a:prstGeom prst="rect">
                            <a:avLst/>
                          </a:prstGeom>
                        </pic:spPr>
                      </pic:pic>
                    </a:graphicData>
                  </a:graphic>
                </wp:inline>
              </w:drawing>
            </w:r>
          </w:p>
        </w:tc>
      </w:tr>
      <w:tr>
        <w:trPr>
          <w:trHeight w:val="6869" w:hRule="atLeast"/>
        </w:trPr>
        <w:tc>
          <w:tcPr>
            <w:tcW w:w="9966" w:type="dxa"/>
            <w:vAlign w:val="top"/>
          </w:tcPr>
          <w:p>
            <w:pPr>
              <w:ind w:firstLine="578"/>
              <w:spacing w:before="141" w:line="6585" w:lineRule="exact"/>
              <w:rPr/>
            </w:pPr>
            <w:r>
              <w:rPr>
                <w:position w:val="-131"/>
              </w:rPr>
              <w:drawing>
                <wp:inline distT="0" distB="0" distL="0" distR="0">
                  <wp:extent cx="5591555" cy="4181855"/>
                  <wp:effectExtent l="0" t="0" r="0" b="0"/>
                  <wp:docPr id="30" name="IM 30"/>
                  <wp:cNvGraphicFramePr/>
                  <a:graphic>
                    <a:graphicData uri="http://schemas.openxmlformats.org/drawingml/2006/picture">
                      <pic:pic>
                        <pic:nvPicPr>
                          <pic:cNvPr id="30" name="IM 30"/>
                          <pic:cNvPicPr/>
                        </pic:nvPicPr>
                        <pic:blipFill>
                          <a:blip r:embed="rId45"/>
                          <a:stretch>
                            <a:fillRect/>
                          </a:stretch>
                        </pic:blipFill>
                        <pic:spPr>
                          <a:xfrm rot="0">
                            <a:off x="0" y="0"/>
                            <a:ext cx="5591555" cy="4181855"/>
                          </a:xfrm>
                          <a:prstGeom prst="rect">
                            <a:avLst/>
                          </a:prstGeom>
                        </pic:spPr>
                      </pic:pic>
                    </a:graphicData>
                  </a:graphic>
                </wp:inline>
              </w:drawing>
            </w:r>
          </w:p>
        </w:tc>
      </w:tr>
    </w:tbl>
    <w:p>
      <w:pPr>
        <w:rPr>
          <w:rFonts w:ascii="Arial"/>
          <w:sz w:val="21"/>
        </w:rPr>
      </w:pPr>
      <w:r/>
    </w:p>
    <w:p>
      <w:pPr>
        <w:sectPr>
          <w:headerReference w:type="default" r:id="rId42"/>
          <w:footerReference w:type="default" r:id="rId43"/>
          <w:pgSz w:w="11906" w:h="16839"/>
          <w:pgMar w:top="1139" w:right="967" w:bottom="1252" w:left="967" w:header="831" w:footer="1090" w:gutter="0"/>
        </w:sectPr>
        <w:rPr>
          <w:rFonts w:ascii="Arial" w:hAnsi="Arial" w:eastAsia="Arial" w:cs="Arial"/>
          <w:sz w:val="21"/>
          <w:szCs w:val="21"/>
        </w:rPr>
      </w:pPr>
    </w:p>
    <w:p>
      <w:pPr>
        <w:spacing w:before="58"/>
        <w:rPr/>
      </w:pPr>
      <w:r/>
    </w:p>
    <w:tbl>
      <w:tblPr>
        <w:tblStyle w:val="TableNormal"/>
        <w:tblW w:w="99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966"/>
      </w:tblGrid>
      <w:tr>
        <w:trPr>
          <w:trHeight w:val="6871" w:hRule="atLeast"/>
        </w:trPr>
        <w:tc>
          <w:tcPr>
            <w:tcW w:w="9966" w:type="dxa"/>
            <w:vAlign w:val="top"/>
          </w:tcPr>
          <w:p>
            <w:pPr>
              <w:ind w:firstLine="544"/>
              <w:spacing w:before="158" w:line="6557" w:lineRule="exact"/>
              <w:rPr/>
            </w:pPr>
            <w:r>
              <w:rPr>
                <w:position w:val="-131"/>
              </w:rPr>
              <w:drawing>
                <wp:inline distT="0" distB="0" distL="0" distR="0">
                  <wp:extent cx="5635752" cy="4163567"/>
                  <wp:effectExtent l="0" t="0" r="0" b="0"/>
                  <wp:docPr id="32" name="IM 32"/>
                  <wp:cNvGraphicFramePr/>
                  <a:graphic>
                    <a:graphicData uri="http://schemas.openxmlformats.org/drawingml/2006/picture">
                      <pic:pic>
                        <pic:nvPicPr>
                          <pic:cNvPr id="32" name="IM 32"/>
                          <pic:cNvPicPr/>
                        </pic:nvPicPr>
                        <pic:blipFill>
                          <a:blip r:embed="rId47"/>
                          <a:stretch>
                            <a:fillRect/>
                          </a:stretch>
                        </pic:blipFill>
                        <pic:spPr>
                          <a:xfrm rot="0">
                            <a:off x="0" y="0"/>
                            <a:ext cx="5635752" cy="4163567"/>
                          </a:xfrm>
                          <a:prstGeom prst="rect">
                            <a:avLst/>
                          </a:prstGeom>
                        </pic:spPr>
                      </pic:pic>
                    </a:graphicData>
                  </a:graphic>
                </wp:inline>
              </w:drawing>
            </w:r>
          </w:p>
        </w:tc>
      </w:tr>
      <w:tr>
        <w:trPr>
          <w:trHeight w:val="6557" w:hRule="atLeast"/>
        </w:trPr>
        <w:tc>
          <w:tcPr>
            <w:tcW w:w="9966" w:type="dxa"/>
            <w:vAlign w:val="top"/>
          </w:tcPr>
          <w:p>
            <w:pPr>
              <w:ind w:firstLine="544"/>
              <w:spacing w:before="57" w:line="6444" w:lineRule="exact"/>
              <w:rPr/>
            </w:pPr>
            <w:r>
              <w:rPr>
                <w:position w:val="-128"/>
              </w:rPr>
              <w:drawing>
                <wp:inline distT="0" distB="0" distL="0" distR="0">
                  <wp:extent cx="5634228" cy="4091940"/>
                  <wp:effectExtent l="0" t="0" r="0" b="0"/>
                  <wp:docPr id="34" name="IM 34"/>
                  <wp:cNvGraphicFramePr/>
                  <a:graphic>
                    <a:graphicData uri="http://schemas.openxmlformats.org/drawingml/2006/picture">
                      <pic:pic>
                        <pic:nvPicPr>
                          <pic:cNvPr id="34" name="IM 34"/>
                          <pic:cNvPicPr/>
                        </pic:nvPicPr>
                        <pic:blipFill>
                          <a:blip r:embed="rId48"/>
                          <a:stretch>
                            <a:fillRect/>
                          </a:stretch>
                        </pic:blipFill>
                        <pic:spPr>
                          <a:xfrm rot="0">
                            <a:off x="0" y="0"/>
                            <a:ext cx="5634228" cy="4091940"/>
                          </a:xfrm>
                          <a:prstGeom prst="rect">
                            <a:avLst/>
                          </a:prstGeom>
                        </pic:spPr>
                      </pic:pic>
                    </a:graphicData>
                  </a:graphic>
                </wp:inline>
              </w:drawing>
            </w:r>
          </w:p>
        </w:tc>
      </w:tr>
    </w:tbl>
    <w:p>
      <w:pPr>
        <w:rPr>
          <w:rFonts w:ascii="Arial"/>
          <w:sz w:val="21"/>
        </w:rPr>
      </w:pPr>
      <w:r/>
    </w:p>
    <w:p>
      <w:pPr>
        <w:sectPr>
          <w:footerReference w:type="default" r:id="rId46"/>
          <w:pgSz w:w="11906" w:h="16839"/>
          <w:pgMar w:top="1139" w:right="967" w:bottom="1252" w:left="967" w:header="831" w:footer="1090" w:gutter="0"/>
        </w:sectPr>
        <w:rPr>
          <w:rFonts w:ascii="Arial" w:hAnsi="Arial" w:eastAsia="Arial" w:cs="Arial"/>
          <w:sz w:val="21"/>
          <w:szCs w:val="21"/>
        </w:rPr>
      </w:pPr>
    </w:p>
    <w:p>
      <w:pPr>
        <w:spacing w:before="58"/>
        <w:rPr/>
      </w:pPr>
      <w:r/>
    </w:p>
    <w:tbl>
      <w:tblPr>
        <w:tblStyle w:val="TableNormal"/>
        <w:tblW w:w="99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966"/>
      </w:tblGrid>
      <w:tr>
        <w:trPr>
          <w:trHeight w:val="6871" w:hRule="atLeast"/>
        </w:trPr>
        <w:tc>
          <w:tcPr>
            <w:tcW w:w="9966" w:type="dxa"/>
            <w:vAlign w:val="top"/>
          </w:tcPr>
          <w:p>
            <w:pPr>
              <w:ind w:firstLine="554"/>
              <w:spacing w:before="160" w:line="6555" w:lineRule="exact"/>
              <w:rPr/>
            </w:pPr>
            <w:r>
              <w:rPr>
                <w:position w:val="-131"/>
              </w:rPr>
              <w:drawing>
                <wp:inline distT="0" distB="0" distL="0" distR="0">
                  <wp:extent cx="5622035" cy="4162043"/>
                  <wp:effectExtent l="0" t="0" r="0" b="0"/>
                  <wp:docPr id="36" name="IM 36"/>
                  <wp:cNvGraphicFramePr/>
                  <a:graphic>
                    <a:graphicData uri="http://schemas.openxmlformats.org/drawingml/2006/picture">
                      <pic:pic>
                        <pic:nvPicPr>
                          <pic:cNvPr id="36" name="IM 36"/>
                          <pic:cNvPicPr/>
                        </pic:nvPicPr>
                        <pic:blipFill>
                          <a:blip r:embed="rId50"/>
                          <a:stretch>
                            <a:fillRect/>
                          </a:stretch>
                        </pic:blipFill>
                        <pic:spPr>
                          <a:xfrm rot="0">
                            <a:off x="0" y="0"/>
                            <a:ext cx="5622035" cy="4162043"/>
                          </a:xfrm>
                          <a:prstGeom prst="rect">
                            <a:avLst/>
                          </a:prstGeom>
                        </pic:spPr>
                      </pic:pic>
                    </a:graphicData>
                  </a:graphic>
                </wp:inline>
              </w:drawing>
            </w:r>
          </w:p>
        </w:tc>
      </w:tr>
      <w:tr>
        <w:trPr>
          <w:trHeight w:val="6557" w:hRule="atLeast"/>
        </w:trPr>
        <w:tc>
          <w:tcPr>
            <w:tcW w:w="9966" w:type="dxa"/>
            <w:vAlign w:val="top"/>
          </w:tcPr>
          <w:p>
            <w:pPr>
              <w:ind w:firstLine="575"/>
              <w:spacing w:before="42" w:line="6468" w:lineRule="exact"/>
              <w:rPr/>
            </w:pPr>
            <w:r>
              <w:rPr>
                <w:position w:val="-129"/>
              </w:rPr>
              <w:drawing>
                <wp:inline distT="0" distB="0" distL="0" distR="0">
                  <wp:extent cx="5593079" cy="4107179"/>
                  <wp:effectExtent l="0" t="0" r="0" b="0"/>
                  <wp:docPr id="38" name="IM 38"/>
                  <wp:cNvGraphicFramePr/>
                  <a:graphic>
                    <a:graphicData uri="http://schemas.openxmlformats.org/drawingml/2006/picture">
                      <pic:pic>
                        <pic:nvPicPr>
                          <pic:cNvPr id="38" name="IM 38"/>
                          <pic:cNvPicPr/>
                        </pic:nvPicPr>
                        <pic:blipFill>
                          <a:blip r:embed="rId51"/>
                          <a:stretch>
                            <a:fillRect/>
                          </a:stretch>
                        </pic:blipFill>
                        <pic:spPr>
                          <a:xfrm rot="0">
                            <a:off x="0" y="0"/>
                            <a:ext cx="5593079" cy="4107179"/>
                          </a:xfrm>
                          <a:prstGeom prst="rect">
                            <a:avLst/>
                          </a:prstGeom>
                        </pic:spPr>
                      </pic:pic>
                    </a:graphicData>
                  </a:graphic>
                </wp:inline>
              </w:drawing>
            </w:r>
          </w:p>
        </w:tc>
      </w:tr>
    </w:tbl>
    <w:p>
      <w:pPr>
        <w:rPr>
          <w:rFonts w:ascii="Arial"/>
          <w:sz w:val="21"/>
        </w:rPr>
      </w:pPr>
      <w:r/>
    </w:p>
    <w:p>
      <w:pPr>
        <w:sectPr>
          <w:footerReference w:type="default" r:id="rId49"/>
          <w:pgSz w:w="11906" w:h="16839"/>
          <w:pgMar w:top="1139" w:right="967" w:bottom="1252" w:left="967" w:header="831" w:footer="1090" w:gutter="0"/>
        </w:sectPr>
        <w:rPr>
          <w:rFonts w:ascii="Arial" w:hAnsi="Arial" w:eastAsia="Arial" w:cs="Arial"/>
          <w:sz w:val="21"/>
          <w:szCs w:val="21"/>
        </w:rPr>
      </w:pPr>
    </w:p>
    <w:p>
      <w:pPr>
        <w:spacing w:before="58"/>
        <w:rPr/>
      </w:pPr>
      <w:r/>
    </w:p>
    <w:tbl>
      <w:tblPr>
        <w:tblStyle w:val="TableNormal"/>
        <w:tblW w:w="99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966"/>
      </w:tblGrid>
      <w:tr>
        <w:trPr>
          <w:trHeight w:val="6559" w:hRule="atLeast"/>
        </w:trPr>
        <w:tc>
          <w:tcPr>
            <w:tcW w:w="9966" w:type="dxa"/>
            <w:vAlign w:val="top"/>
          </w:tcPr>
          <w:p>
            <w:pPr>
              <w:ind w:firstLine="559"/>
              <w:spacing w:before="83" w:line="6394" w:lineRule="exact"/>
              <w:rPr/>
            </w:pPr>
            <w:r>
              <w:rPr>
                <w:position w:val="-127"/>
              </w:rPr>
              <w:drawing>
                <wp:inline distT="0" distB="0" distL="0" distR="0">
                  <wp:extent cx="5614416" cy="4059935"/>
                  <wp:effectExtent l="0" t="0" r="0" b="0"/>
                  <wp:docPr id="40" name="IM 40"/>
                  <wp:cNvGraphicFramePr/>
                  <a:graphic>
                    <a:graphicData uri="http://schemas.openxmlformats.org/drawingml/2006/picture">
                      <pic:pic>
                        <pic:nvPicPr>
                          <pic:cNvPr id="40" name="IM 40"/>
                          <pic:cNvPicPr/>
                        </pic:nvPicPr>
                        <pic:blipFill>
                          <a:blip r:embed="rId53"/>
                          <a:stretch>
                            <a:fillRect/>
                          </a:stretch>
                        </pic:blipFill>
                        <pic:spPr>
                          <a:xfrm rot="0">
                            <a:off x="0" y="0"/>
                            <a:ext cx="5614416" cy="4059935"/>
                          </a:xfrm>
                          <a:prstGeom prst="rect">
                            <a:avLst/>
                          </a:prstGeom>
                        </pic:spPr>
                      </pic:pic>
                    </a:graphicData>
                  </a:graphic>
                </wp:inline>
              </w:drawing>
            </w:r>
          </w:p>
        </w:tc>
      </w:tr>
      <w:tr>
        <w:trPr>
          <w:trHeight w:val="6557" w:hRule="atLeast"/>
        </w:trPr>
        <w:tc>
          <w:tcPr>
            <w:tcW w:w="9966" w:type="dxa"/>
            <w:vAlign w:val="top"/>
          </w:tcPr>
          <w:p>
            <w:pPr>
              <w:ind w:firstLine="518"/>
              <w:spacing w:before="45" w:line="6468" w:lineRule="exact"/>
              <w:rPr/>
            </w:pPr>
            <w:r>
              <w:rPr>
                <w:position w:val="-129"/>
              </w:rPr>
              <w:drawing>
                <wp:inline distT="0" distB="0" distL="0" distR="0">
                  <wp:extent cx="5666232" cy="4107179"/>
                  <wp:effectExtent l="0" t="0" r="0" b="0"/>
                  <wp:docPr id="42" name="IM 42"/>
                  <wp:cNvGraphicFramePr/>
                  <a:graphic>
                    <a:graphicData uri="http://schemas.openxmlformats.org/drawingml/2006/picture">
                      <pic:pic>
                        <pic:nvPicPr>
                          <pic:cNvPr id="42" name="IM 42"/>
                          <pic:cNvPicPr/>
                        </pic:nvPicPr>
                        <pic:blipFill>
                          <a:blip r:embed="rId54"/>
                          <a:stretch>
                            <a:fillRect/>
                          </a:stretch>
                        </pic:blipFill>
                        <pic:spPr>
                          <a:xfrm rot="0">
                            <a:off x="0" y="0"/>
                            <a:ext cx="5666232" cy="4107179"/>
                          </a:xfrm>
                          <a:prstGeom prst="rect">
                            <a:avLst/>
                          </a:prstGeom>
                        </pic:spPr>
                      </pic:pic>
                    </a:graphicData>
                  </a:graphic>
                </wp:inline>
              </w:drawing>
            </w:r>
          </w:p>
        </w:tc>
      </w:tr>
    </w:tbl>
    <w:p>
      <w:pPr>
        <w:rPr>
          <w:rFonts w:ascii="Arial"/>
          <w:sz w:val="21"/>
        </w:rPr>
      </w:pPr>
      <w:r/>
    </w:p>
    <w:p>
      <w:pPr>
        <w:sectPr>
          <w:footerReference w:type="default" r:id="rId52"/>
          <w:pgSz w:w="11906" w:h="16839"/>
          <w:pgMar w:top="1139" w:right="967" w:bottom="1252" w:left="967" w:header="831" w:footer="1090" w:gutter="0"/>
        </w:sectPr>
        <w:rPr>
          <w:rFonts w:ascii="Arial" w:hAnsi="Arial" w:eastAsia="Arial" w:cs="Arial"/>
          <w:sz w:val="21"/>
          <w:szCs w:val="21"/>
        </w:rPr>
      </w:pPr>
    </w:p>
    <w:p>
      <w:pPr>
        <w:spacing w:before="58"/>
        <w:rPr/>
      </w:pPr>
      <w:r/>
    </w:p>
    <w:tbl>
      <w:tblPr>
        <w:tblStyle w:val="TableNormal"/>
        <w:tblW w:w="99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966"/>
      </w:tblGrid>
      <w:tr>
        <w:trPr>
          <w:trHeight w:val="6559" w:hRule="atLeast"/>
        </w:trPr>
        <w:tc>
          <w:tcPr>
            <w:tcW w:w="9966" w:type="dxa"/>
            <w:vAlign w:val="top"/>
          </w:tcPr>
          <w:p>
            <w:pPr>
              <w:ind w:firstLine="570"/>
              <w:spacing w:before="62" w:line="6439" w:lineRule="exact"/>
              <w:rPr/>
            </w:pPr>
            <w:r>
              <w:rPr>
                <w:position w:val="-128"/>
              </w:rPr>
              <w:drawing>
                <wp:inline distT="0" distB="0" distL="0" distR="0">
                  <wp:extent cx="5602223" cy="4088891"/>
                  <wp:effectExtent l="0" t="0" r="0" b="0"/>
                  <wp:docPr id="44" name="IM 44"/>
                  <wp:cNvGraphicFramePr/>
                  <a:graphic>
                    <a:graphicData uri="http://schemas.openxmlformats.org/drawingml/2006/picture">
                      <pic:pic>
                        <pic:nvPicPr>
                          <pic:cNvPr id="44" name="IM 44"/>
                          <pic:cNvPicPr/>
                        </pic:nvPicPr>
                        <pic:blipFill>
                          <a:blip r:embed="rId56"/>
                          <a:stretch>
                            <a:fillRect/>
                          </a:stretch>
                        </pic:blipFill>
                        <pic:spPr>
                          <a:xfrm rot="0">
                            <a:off x="0" y="0"/>
                            <a:ext cx="5602223" cy="4088891"/>
                          </a:xfrm>
                          <a:prstGeom prst="rect">
                            <a:avLst/>
                          </a:prstGeom>
                        </pic:spPr>
                      </pic:pic>
                    </a:graphicData>
                  </a:graphic>
                </wp:inline>
              </w:drawing>
            </w:r>
          </w:p>
        </w:tc>
      </w:tr>
      <w:tr>
        <w:trPr>
          <w:trHeight w:val="6557" w:hRule="atLeast"/>
        </w:trPr>
        <w:tc>
          <w:tcPr>
            <w:tcW w:w="9966" w:type="dxa"/>
            <w:vAlign w:val="top"/>
          </w:tcPr>
          <w:p>
            <w:pPr>
              <w:ind w:firstLine="527"/>
              <w:spacing w:before="38" w:line="6482" w:lineRule="exact"/>
              <w:rPr/>
            </w:pPr>
            <w:r>
              <w:rPr>
                <w:position w:val="-129"/>
              </w:rPr>
              <w:drawing>
                <wp:inline distT="0" distB="0" distL="0" distR="0">
                  <wp:extent cx="5654040" cy="4116323"/>
                  <wp:effectExtent l="0" t="0" r="0" b="0"/>
                  <wp:docPr id="46" name="IM 46"/>
                  <wp:cNvGraphicFramePr/>
                  <a:graphic>
                    <a:graphicData uri="http://schemas.openxmlformats.org/drawingml/2006/picture">
                      <pic:pic>
                        <pic:nvPicPr>
                          <pic:cNvPr id="46" name="IM 46"/>
                          <pic:cNvPicPr/>
                        </pic:nvPicPr>
                        <pic:blipFill>
                          <a:blip r:embed="rId57"/>
                          <a:stretch>
                            <a:fillRect/>
                          </a:stretch>
                        </pic:blipFill>
                        <pic:spPr>
                          <a:xfrm rot="0">
                            <a:off x="0" y="0"/>
                            <a:ext cx="5654040" cy="4116323"/>
                          </a:xfrm>
                          <a:prstGeom prst="rect">
                            <a:avLst/>
                          </a:prstGeom>
                        </pic:spPr>
                      </pic:pic>
                    </a:graphicData>
                  </a:graphic>
                </wp:inline>
              </w:drawing>
            </w:r>
          </w:p>
        </w:tc>
      </w:tr>
    </w:tbl>
    <w:p>
      <w:pPr>
        <w:rPr>
          <w:rFonts w:ascii="Arial"/>
          <w:sz w:val="21"/>
        </w:rPr>
      </w:pPr>
      <w:r/>
    </w:p>
    <w:p>
      <w:pPr>
        <w:sectPr>
          <w:footerReference w:type="default" r:id="rId55"/>
          <w:pgSz w:w="11906" w:h="16839"/>
          <w:pgMar w:top="1139" w:right="967" w:bottom="1252" w:left="967" w:header="831" w:footer="1090" w:gutter="0"/>
        </w:sectPr>
        <w:rPr>
          <w:rFonts w:ascii="Arial" w:hAnsi="Arial" w:eastAsia="Arial" w:cs="Arial"/>
          <w:sz w:val="21"/>
          <w:szCs w:val="21"/>
        </w:rPr>
      </w:pPr>
    </w:p>
    <w:p>
      <w:pPr>
        <w:spacing w:before="58"/>
        <w:rPr/>
      </w:pPr>
      <w:r/>
    </w:p>
    <w:tbl>
      <w:tblPr>
        <w:tblStyle w:val="TableNormal"/>
        <w:tblW w:w="9966" w:type="dxa"/>
        <w:tblInd w:w="2" w:type="dxa"/>
        <w:tblLayout w:type="fixed"/>
        <w:tblBorders>
          <w:left w:val="single" w:color="000000" w:sz="2" w:space="0"/>
          <w:bottom w:val="single" w:color="000000" w:sz="2" w:space="0"/>
          <w:right w:val="single" w:color="000000" w:sz="2" w:space="0"/>
          <w:top w:val="single" w:color="000000" w:sz="2" w:space="0"/>
        </w:tblBorders>
      </w:tblPr>
      <w:tblGrid>
        <w:gridCol w:w="9966"/>
      </w:tblGrid>
      <w:tr>
        <w:trPr>
          <w:trHeight w:val="6561" w:hRule="atLeast"/>
        </w:trPr>
        <w:tc>
          <w:tcPr>
            <w:tcW w:w="9966" w:type="dxa"/>
            <w:vAlign w:val="top"/>
          </w:tcPr>
          <w:p>
            <w:pPr>
              <w:ind w:firstLine="547"/>
              <w:spacing w:before="107" w:line="6346" w:lineRule="exact"/>
              <w:rPr/>
            </w:pPr>
            <w:r>
              <w:rPr>
                <w:position w:val="-126"/>
              </w:rPr>
              <w:drawing>
                <wp:inline distT="0" distB="0" distL="0" distR="0">
                  <wp:extent cx="5629655" cy="4029455"/>
                  <wp:effectExtent l="0" t="0" r="0" b="0"/>
                  <wp:docPr id="48" name="IM 48"/>
                  <wp:cNvGraphicFramePr/>
                  <a:graphic>
                    <a:graphicData uri="http://schemas.openxmlformats.org/drawingml/2006/picture">
                      <pic:pic>
                        <pic:nvPicPr>
                          <pic:cNvPr id="48" name="IM 48"/>
                          <pic:cNvPicPr/>
                        </pic:nvPicPr>
                        <pic:blipFill>
                          <a:blip r:embed="rId59"/>
                          <a:stretch>
                            <a:fillRect/>
                          </a:stretch>
                        </pic:blipFill>
                        <pic:spPr>
                          <a:xfrm rot="0">
                            <a:off x="0" y="0"/>
                            <a:ext cx="5629655" cy="4029455"/>
                          </a:xfrm>
                          <a:prstGeom prst="rect">
                            <a:avLst/>
                          </a:prstGeom>
                        </pic:spPr>
                      </pic:pic>
                    </a:graphicData>
                  </a:graphic>
                </wp:inline>
              </w:drawing>
            </w:r>
          </w:p>
        </w:tc>
      </w:tr>
    </w:tbl>
    <w:p>
      <w:pPr>
        <w:pStyle w:val="BodyText"/>
        <w:ind w:left="3692"/>
        <w:spacing w:before="116" w:line="223" w:lineRule="auto"/>
        <w:rPr>
          <w:rFonts w:ascii="FangSong" w:hAnsi="FangSong" w:eastAsia="FangSong" w:cs="FangSong"/>
          <w:sz w:val="24"/>
          <w:szCs w:val="24"/>
        </w:rPr>
      </w:pPr>
      <w:r>
        <w:rPr>
          <w:rFonts w:ascii="FangSong" w:hAnsi="FangSong" w:eastAsia="FangSong" w:cs="FangSong"/>
          <w:sz w:val="24"/>
          <w:szCs w:val="24"/>
          <w:b/>
          <w:bCs/>
          <w:spacing w:val="-6"/>
        </w:rPr>
        <w:t>图</w:t>
      </w:r>
      <w:r>
        <w:rPr>
          <w:sz w:val="24"/>
          <w:szCs w:val="24"/>
          <w:b/>
          <w:bCs/>
          <w:spacing w:val="-6"/>
        </w:rPr>
        <w:t>3.1-2</w:t>
      </w:r>
      <w:r>
        <w:rPr>
          <w:sz w:val="24"/>
          <w:szCs w:val="24"/>
          <w:b/>
          <w:bCs/>
          <w:spacing w:val="5"/>
        </w:rPr>
        <w:t xml:space="preserve">    </w:t>
      </w:r>
      <w:r>
        <w:rPr>
          <w:rFonts w:ascii="FangSong" w:hAnsi="FangSong" w:eastAsia="FangSong" w:cs="FangSong"/>
          <w:sz w:val="24"/>
          <w:szCs w:val="24"/>
          <w:b/>
          <w:bCs/>
          <w:spacing w:val="-6"/>
        </w:rPr>
        <w:t>工程地质剖面图</w:t>
      </w:r>
    </w:p>
    <w:p>
      <w:pPr>
        <w:pStyle w:val="BodyText"/>
        <w:ind w:left="117"/>
        <w:spacing w:before="234" w:line="222" w:lineRule="auto"/>
        <w:outlineLvl w:val="1"/>
        <w:rPr>
          <w:rFonts w:ascii="FangSong" w:hAnsi="FangSong" w:eastAsia="FangSong" w:cs="FangSong"/>
          <w:sz w:val="28"/>
          <w:szCs w:val="28"/>
        </w:rPr>
      </w:pPr>
      <w:bookmarkStart w:name="bookmark11" w:id="15"/>
      <w:bookmarkEnd w:id="15"/>
      <w:r>
        <w:rPr>
          <w:sz w:val="28"/>
          <w:szCs w:val="28"/>
          <w:b/>
          <w:bCs/>
          <w:spacing w:val="-2"/>
        </w:rPr>
        <w:t>3.2  </w:t>
      </w:r>
      <w:r>
        <w:rPr>
          <w:rFonts w:ascii="FangSong" w:hAnsi="FangSong" w:eastAsia="FangSong" w:cs="FangSong"/>
          <w:sz w:val="28"/>
          <w:szCs w:val="28"/>
          <w:b/>
          <w:bCs/>
          <w:spacing w:val="-2"/>
        </w:rPr>
        <w:t>水文地质信息</w:t>
      </w:r>
    </w:p>
    <w:p>
      <w:pPr>
        <w:pStyle w:val="BodyText"/>
        <w:ind w:left="127" w:right="47" w:firstLine="481"/>
        <w:spacing w:before="233" w:line="360" w:lineRule="auto"/>
        <w:jc w:val="both"/>
        <w:rPr>
          <w:rFonts w:ascii="FangSong" w:hAnsi="FangSong" w:eastAsia="FangSong" w:cs="FangSong"/>
          <w:sz w:val="24"/>
          <w:szCs w:val="24"/>
        </w:rPr>
      </w:pPr>
      <w:r>
        <w:rPr>
          <w:rFonts w:ascii="FangSong" w:hAnsi="FangSong" w:eastAsia="FangSong" w:cs="FangSong"/>
          <w:sz w:val="24"/>
          <w:szCs w:val="24"/>
          <w:spacing w:val="-3"/>
        </w:rPr>
        <w:t>地内地下水以第四系松散层孔隙潜水为主，少量风化裂隙水。主要含水层为第</w:t>
      </w:r>
      <w:r>
        <w:rPr>
          <w:sz w:val="24"/>
          <w:szCs w:val="24"/>
          <w:spacing w:val="-3"/>
        </w:rPr>
        <w:t>2-2</w:t>
      </w:r>
      <w:r>
        <w:rPr>
          <w:rFonts w:ascii="FangSong" w:hAnsi="FangSong" w:eastAsia="FangSong" w:cs="FangSong"/>
          <w:sz w:val="24"/>
          <w:szCs w:val="24"/>
          <w:spacing w:val="-4"/>
        </w:rPr>
        <w:t>层卵石，</w:t>
      </w:r>
      <w:r>
        <w:rPr>
          <w:rFonts w:ascii="FangSong" w:hAnsi="FangSong" w:eastAsia="FangSong" w:cs="FangSong"/>
          <w:sz w:val="24"/>
          <w:szCs w:val="24"/>
        </w:rPr>
        <w:t xml:space="preserve"> </w:t>
      </w:r>
      <w:r>
        <w:rPr>
          <w:rFonts w:ascii="FangSong" w:hAnsi="FangSong" w:eastAsia="FangSong" w:cs="FangSong"/>
          <w:sz w:val="24"/>
          <w:szCs w:val="24"/>
          <w:spacing w:val="-3"/>
        </w:rPr>
        <w:t>含水量中等，经验渗透系数为</w:t>
      </w:r>
      <w:r>
        <w:rPr>
          <w:sz w:val="24"/>
          <w:szCs w:val="24"/>
          <w:spacing w:val="-3"/>
        </w:rPr>
        <w:t>120m/d</w:t>
      </w:r>
      <w:r>
        <w:rPr>
          <w:rFonts w:ascii="FangSong" w:hAnsi="FangSong" w:eastAsia="FangSong" w:cs="FangSong"/>
          <w:sz w:val="24"/>
          <w:szCs w:val="24"/>
          <w:spacing w:val="-3"/>
        </w:rPr>
        <w:t>。地下水主要受大气降水、地表水迳流补给，随季节不同</w:t>
      </w:r>
      <w:r>
        <w:rPr>
          <w:rFonts w:ascii="FangSong" w:hAnsi="FangSong" w:eastAsia="FangSong" w:cs="FangSong"/>
          <w:sz w:val="24"/>
          <w:szCs w:val="24"/>
          <w:spacing w:val="8"/>
        </w:rPr>
        <w:t xml:space="preserve"> </w:t>
      </w:r>
      <w:r>
        <w:rPr>
          <w:rFonts w:ascii="FangSong" w:hAnsi="FangSong" w:eastAsia="FangSong" w:cs="FangSong"/>
          <w:sz w:val="24"/>
          <w:szCs w:val="24"/>
          <w:spacing w:val="-6"/>
        </w:rPr>
        <w:t>的影响，水位将略有变化，其变化幅度为</w:t>
      </w:r>
      <w:r>
        <w:rPr>
          <w:sz w:val="24"/>
          <w:szCs w:val="24"/>
          <w:spacing w:val="-6"/>
        </w:rPr>
        <w:t>0.50~2.00</w:t>
      </w:r>
      <w:r>
        <w:rPr>
          <w:rFonts w:ascii="FangSong" w:hAnsi="FangSong" w:eastAsia="FangSong" w:cs="FangSong"/>
          <w:sz w:val="24"/>
          <w:szCs w:val="24"/>
          <w:spacing w:val="-6"/>
        </w:rPr>
        <w:t>米之间，勘察期间地下水埋深</w:t>
      </w:r>
      <w:r>
        <w:rPr>
          <w:sz w:val="24"/>
          <w:szCs w:val="24"/>
          <w:spacing w:val="-6"/>
        </w:rPr>
        <w:t>1.49</w:t>
      </w:r>
      <w:r>
        <w:rPr>
          <w:sz w:val="24"/>
          <w:szCs w:val="24"/>
          <w:spacing w:val="-7"/>
        </w:rPr>
        <w:t>-4.00</w:t>
      </w:r>
      <w:r>
        <w:rPr>
          <w:rFonts w:ascii="FangSong" w:hAnsi="FangSong" w:eastAsia="FangSong" w:cs="FangSong"/>
          <w:sz w:val="24"/>
          <w:szCs w:val="24"/>
          <w:spacing w:val="-7"/>
        </w:rPr>
        <w:t>米（沟</w:t>
      </w:r>
      <w:r>
        <w:rPr>
          <w:rFonts w:ascii="FangSong" w:hAnsi="FangSong" w:eastAsia="FangSong" w:cs="FangSong"/>
          <w:sz w:val="24"/>
          <w:szCs w:val="24"/>
        </w:rPr>
        <w:t xml:space="preserve"> </w:t>
      </w:r>
      <w:r>
        <w:rPr>
          <w:rFonts w:ascii="FangSong" w:hAnsi="FangSong" w:eastAsia="FangSong" w:cs="FangSong"/>
          <w:sz w:val="24"/>
          <w:szCs w:val="24"/>
        </w:rPr>
        <w:t>谷一带）。周边无明显污染源，根据场地（</w:t>
      </w:r>
      <w:r>
        <w:rPr>
          <w:sz w:val="24"/>
          <w:szCs w:val="24"/>
        </w:rPr>
        <w:t>Z66</w:t>
      </w:r>
      <w:r>
        <w:rPr>
          <w:rFonts w:ascii="FangSong" w:hAnsi="FangSong" w:eastAsia="FangSong" w:cs="FangSong"/>
          <w:sz w:val="24"/>
          <w:szCs w:val="24"/>
        </w:rPr>
        <w:t>孔取水</w:t>
      </w:r>
      <w:r>
        <w:rPr>
          <w:rFonts w:ascii="FangSong" w:hAnsi="FangSong" w:eastAsia="FangSong" w:cs="FangSong"/>
          <w:sz w:val="24"/>
          <w:szCs w:val="24"/>
          <w:spacing w:val="-1"/>
        </w:rPr>
        <w:t>）水质化验分析结果表明，场地内地下</w:t>
      </w:r>
      <w:r>
        <w:rPr>
          <w:rFonts w:ascii="FangSong" w:hAnsi="FangSong" w:eastAsia="FangSong" w:cs="FangSong"/>
          <w:sz w:val="24"/>
          <w:szCs w:val="24"/>
        </w:rPr>
        <w:t xml:space="preserve"> </w:t>
      </w:r>
      <w:r>
        <w:rPr>
          <w:rFonts w:ascii="FangSong" w:hAnsi="FangSong" w:eastAsia="FangSong" w:cs="FangSong"/>
          <w:sz w:val="24"/>
          <w:szCs w:val="24"/>
          <w:spacing w:val="-2"/>
        </w:rPr>
        <w:t>水</w:t>
      </w:r>
      <w:r>
        <w:rPr>
          <w:sz w:val="24"/>
          <w:szCs w:val="24"/>
          <w:spacing w:val="-2"/>
        </w:rPr>
        <w:t>PH</w:t>
      </w:r>
      <w:r>
        <w:rPr>
          <w:rFonts w:ascii="FangSong" w:hAnsi="FangSong" w:eastAsia="FangSong" w:cs="FangSong"/>
          <w:sz w:val="24"/>
          <w:szCs w:val="24"/>
          <w:spacing w:val="-2"/>
        </w:rPr>
        <w:t>值</w:t>
      </w:r>
      <w:r>
        <w:rPr>
          <w:sz w:val="24"/>
          <w:szCs w:val="24"/>
          <w:spacing w:val="-2"/>
        </w:rPr>
        <w:t>6.0</w:t>
      </w:r>
      <w:r>
        <w:rPr>
          <w:sz w:val="24"/>
          <w:szCs w:val="24"/>
          <w:spacing w:val="-27"/>
        </w:rPr>
        <w:t xml:space="preserve"> </w:t>
      </w:r>
      <w:r>
        <w:rPr>
          <w:rFonts w:ascii="FangSong" w:hAnsi="FangSong" w:eastAsia="FangSong" w:cs="FangSong"/>
          <w:sz w:val="24"/>
          <w:szCs w:val="24"/>
          <w:spacing w:val="-2"/>
        </w:rPr>
        <w:t>，侵蚀性</w:t>
      </w:r>
      <w:r>
        <w:rPr>
          <w:sz w:val="24"/>
          <w:szCs w:val="24"/>
          <w:spacing w:val="-2"/>
        </w:rPr>
        <w:t>CO2</w:t>
      </w:r>
      <w:r>
        <w:rPr>
          <w:rFonts w:ascii="FangSong" w:hAnsi="FangSong" w:eastAsia="FangSong" w:cs="FangSong"/>
          <w:sz w:val="24"/>
          <w:szCs w:val="24"/>
          <w:spacing w:val="-2"/>
        </w:rPr>
        <w:t>含量为</w:t>
      </w:r>
      <w:r>
        <w:rPr>
          <w:sz w:val="24"/>
          <w:szCs w:val="24"/>
          <w:spacing w:val="-2"/>
        </w:rPr>
        <w:t>11.0</w:t>
      </w:r>
      <w:r>
        <w:rPr>
          <w:rFonts w:ascii="FangSong" w:hAnsi="FangSong" w:eastAsia="FangSong" w:cs="FangSong"/>
          <w:sz w:val="24"/>
          <w:szCs w:val="24"/>
          <w:spacing w:val="-2"/>
        </w:rPr>
        <w:t>毫克</w:t>
      </w:r>
      <w:r>
        <w:rPr>
          <w:sz w:val="24"/>
          <w:szCs w:val="24"/>
          <w:spacing w:val="-2"/>
        </w:rPr>
        <w:t>/</w:t>
      </w:r>
      <w:r>
        <w:rPr>
          <w:rFonts w:ascii="FangSong" w:hAnsi="FangSong" w:eastAsia="FangSong" w:cs="FangSong"/>
          <w:sz w:val="24"/>
          <w:szCs w:val="24"/>
          <w:spacing w:val="-2"/>
        </w:rPr>
        <w:t>升，在弱透水条件下地下水对砼无腐蚀性</w:t>
      </w:r>
      <w:r>
        <w:rPr>
          <w:rFonts w:ascii="FangSong" w:hAnsi="FangSong" w:eastAsia="FangSong" w:cs="FangSong"/>
          <w:sz w:val="24"/>
          <w:szCs w:val="24"/>
          <w:spacing w:val="-3"/>
        </w:rPr>
        <w:t>。由于该地</w:t>
      </w:r>
      <w:r>
        <w:rPr>
          <w:rFonts w:ascii="FangSong" w:hAnsi="FangSong" w:eastAsia="FangSong" w:cs="FangSong"/>
          <w:sz w:val="24"/>
          <w:szCs w:val="24"/>
        </w:rPr>
        <w:t xml:space="preserve">  </w:t>
      </w:r>
      <w:r>
        <w:rPr>
          <w:rFonts w:ascii="FangSong" w:hAnsi="FangSong" w:eastAsia="FangSong" w:cs="FangSong"/>
          <w:sz w:val="24"/>
          <w:szCs w:val="24"/>
          <w:spacing w:val="-3"/>
        </w:rPr>
        <w:t>块地势南高北低，东西向为两侧高、中间（厂区主干道）低，则初步判断地下水流向为自南向</w:t>
      </w:r>
      <w:r>
        <w:rPr>
          <w:rFonts w:ascii="FangSong" w:hAnsi="FangSong" w:eastAsia="FangSong" w:cs="FangSong"/>
          <w:sz w:val="24"/>
          <w:szCs w:val="24"/>
          <w:spacing w:val="13"/>
        </w:rPr>
        <w:t xml:space="preserve"> </w:t>
      </w:r>
      <w:r>
        <w:rPr>
          <w:rFonts w:ascii="FangSong" w:hAnsi="FangSong" w:eastAsia="FangSong" w:cs="FangSong"/>
          <w:sz w:val="24"/>
          <w:szCs w:val="24"/>
          <w:spacing w:val="-4"/>
        </w:rPr>
        <w:t>北流径。</w:t>
      </w:r>
    </w:p>
    <w:p>
      <w:pPr>
        <w:spacing w:line="360" w:lineRule="auto"/>
        <w:sectPr>
          <w:footerReference w:type="default" r:id="rId58"/>
          <w:pgSz w:w="11906" w:h="16839"/>
          <w:pgMar w:top="1139" w:right="967" w:bottom="1252" w:left="967" w:header="831" w:footer="1090" w:gutter="0"/>
        </w:sectPr>
        <w:rPr>
          <w:rFonts w:ascii="FangSong" w:hAnsi="FangSong" w:eastAsia="FangSong" w:cs="FangSong"/>
          <w:sz w:val="24"/>
          <w:szCs w:val="24"/>
        </w:rPr>
      </w:pPr>
    </w:p>
    <w:p>
      <w:pPr>
        <w:spacing w:line="378" w:lineRule="auto"/>
        <w:rPr>
          <w:rFonts w:ascii="Arial"/>
          <w:sz w:val="21"/>
        </w:rPr>
      </w:pPr>
      <w:r/>
    </w:p>
    <w:p>
      <w:pPr>
        <w:pStyle w:val="BodyText"/>
        <w:ind w:left="7"/>
        <w:spacing w:before="91" w:line="222" w:lineRule="auto"/>
        <w:outlineLvl w:val="0"/>
        <w:rPr>
          <w:rFonts w:ascii="FangSong" w:hAnsi="FangSong" w:eastAsia="FangSong" w:cs="FangSong"/>
          <w:sz w:val="28"/>
          <w:szCs w:val="28"/>
        </w:rPr>
      </w:pPr>
      <w:bookmarkStart w:name="bookmark12" w:id="16"/>
      <w:bookmarkEnd w:id="16"/>
      <w:r>
        <w:rPr>
          <w:sz w:val="28"/>
          <w:szCs w:val="28"/>
          <w:b/>
          <w:bCs/>
          <w:spacing w:val="-2"/>
        </w:rPr>
        <w:t>4  </w:t>
      </w:r>
      <w:r>
        <w:rPr>
          <w:rFonts w:ascii="FangSong" w:hAnsi="FangSong" w:eastAsia="FangSong" w:cs="FangSong"/>
          <w:sz w:val="28"/>
          <w:szCs w:val="28"/>
          <w:b/>
          <w:bCs/>
          <w:spacing w:val="-2"/>
        </w:rPr>
        <w:t>企业生产及污染物防治情况</w:t>
      </w:r>
    </w:p>
    <w:p>
      <w:pPr>
        <w:pStyle w:val="BodyText"/>
        <w:ind w:left="7"/>
        <w:spacing w:before="287" w:line="223" w:lineRule="auto"/>
        <w:outlineLvl w:val="1"/>
        <w:rPr>
          <w:rFonts w:ascii="FangSong" w:hAnsi="FangSong" w:eastAsia="FangSong" w:cs="FangSong"/>
          <w:sz w:val="28"/>
          <w:szCs w:val="28"/>
        </w:rPr>
      </w:pPr>
      <w:bookmarkStart w:name="bookmark13" w:id="17"/>
      <w:bookmarkEnd w:id="17"/>
      <w:r>
        <w:rPr>
          <w:sz w:val="28"/>
          <w:szCs w:val="28"/>
          <w:b/>
          <w:bCs/>
          <w:spacing w:val="-2"/>
        </w:rPr>
        <w:t>4.1  </w:t>
      </w:r>
      <w:r>
        <w:rPr>
          <w:rFonts w:ascii="FangSong" w:hAnsi="FangSong" w:eastAsia="FangSong" w:cs="FangSong"/>
          <w:sz w:val="28"/>
          <w:szCs w:val="28"/>
          <w:b/>
          <w:bCs/>
          <w:spacing w:val="-2"/>
        </w:rPr>
        <w:t>企业生产概括</w:t>
      </w:r>
    </w:p>
    <w:p>
      <w:pPr>
        <w:pStyle w:val="BodyText"/>
        <w:ind w:left="5"/>
        <w:spacing w:before="227" w:line="222" w:lineRule="auto"/>
        <w:outlineLvl w:val="2"/>
        <w:rPr>
          <w:rFonts w:ascii="FangSong" w:hAnsi="FangSong" w:eastAsia="FangSong" w:cs="FangSong"/>
          <w:sz w:val="24"/>
          <w:szCs w:val="24"/>
        </w:rPr>
      </w:pPr>
      <w:r>
        <w:rPr>
          <w:sz w:val="24"/>
          <w:szCs w:val="24"/>
          <w:b/>
          <w:bCs/>
          <w:spacing w:val="-4"/>
        </w:rPr>
        <w:t>4.1.1</w:t>
      </w:r>
      <w:r>
        <w:rPr>
          <w:sz w:val="24"/>
          <w:szCs w:val="24"/>
          <w:b/>
          <w:bCs/>
          <w:spacing w:val="13"/>
        </w:rPr>
        <w:t xml:space="preserve">  </w:t>
      </w:r>
      <w:r>
        <w:rPr>
          <w:rFonts w:ascii="FangSong" w:hAnsi="FangSong" w:eastAsia="FangSong" w:cs="FangSong"/>
          <w:sz w:val="24"/>
          <w:szCs w:val="24"/>
          <w:b/>
          <w:bCs/>
          <w:spacing w:val="-4"/>
        </w:rPr>
        <w:t>工艺流程情况</w:t>
      </w:r>
    </w:p>
    <w:p>
      <w:pPr>
        <w:pStyle w:val="BodyText"/>
        <w:ind w:left="495"/>
        <w:spacing w:before="179" w:line="223" w:lineRule="auto"/>
        <w:rPr>
          <w:rFonts w:ascii="FangSong" w:hAnsi="FangSong" w:eastAsia="FangSong" w:cs="FangSong"/>
          <w:sz w:val="24"/>
          <w:szCs w:val="24"/>
        </w:rPr>
      </w:pPr>
      <w:r>
        <w:rPr>
          <w:sz w:val="24"/>
          <w:szCs w:val="24"/>
          <w:b/>
          <w:bCs/>
          <w:spacing w:val="-8"/>
        </w:rPr>
        <w:t>1</w:t>
      </w:r>
      <w:r>
        <w:rPr>
          <w:sz w:val="24"/>
          <w:szCs w:val="24"/>
          <w:b/>
          <w:bCs/>
          <w:spacing w:val="-26"/>
        </w:rPr>
        <w:t xml:space="preserve"> </w:t>
      </w:r>
      <w:r>
        <w:rPr>
          <w:rFonts w:ascii="FangSong" w:hAnsi="FangSong" w:eastAsia="FangSong" w:cs="FangSong"/>
          <w:sz w:val="24"/>
          <w:szCs w:val="24"/>
          <w:b/>
          <w:bCs/>
          <w:spacing w:val="-8"/>
        </w:rPr>
        <w:t>、项目工艺流程</w:t>
      </w:r>
    </w:p>
    <w:p>
      <w:pPr>
        <w:ind w:left="501"/>
        <w:spacing w:before="178" w:line="223" w:lineRule="auto"/>
        <w:rPr>
          <w:rFonts w:ascii="FangSong" w:hAnsi="FangSong" w:eastAsia="FangSong" w:cs="FangSong"/>
          <w:sz w:val="24"/>
          <w:szCs w:val="24"/>
        </w:rPr>
      </w:pPr>
      <w:r>
        <w:rPr>
          <w:rFonts w:ascii="FangSong" w:hAnsi="FangSong" w:eastAsia="FangSong" w:cs="FangSong"/>
          <w:sz w:val="24"/>
          <w:szCs w:val="24"/>
          <w:b/>
          <w:bCs/>
          <w:spacing w:val="-5"/>
        </w:rPr>
        <w:t>工艺流程说明：</w:t>
      </w:r>
    </w:p>
    <w:p>
      <w:pPr>
        <w:pStyle w:val="BodyText"/>
        <w:ind w:left="500"/>
        <w:spacing w:before="178" w:line="221" w:lineRule="auto"/>
        <w:rPr>
          <w:rFonts w:ascii="FangSong" w:hAnsi="FangSong" w:eastAsia="FangSong" w:cs="FangSong"/>
          <w:sz w:val="24"/>
          <w:szCs w:val="24"/>
        </w:rPr>
      </w:pPr>
      <w:r>
        <w:rPr>
          <w:rFonts w:ascii="FangSong" w:hAnsi="FangSong" w:eastAsia="FangSong" w:cs="FangSong"/>
          <w:sz w:val="24"/>
          <w:szCs w:val="24"/>
          <w:spacing w:val="-2"/>
        </w:rPr>
        <w:t>（</w:t>
      </w:r>
      <w:r>
        <w:rPr>
          <w:sz w:val="24"/>
          <w:szCs w:val="24"/>
          <w:spacing w:val="-2"/>
        </w:rPr>
        <w:t>1</w:t>
      </w:r>
      <w:r>
        <w:rPr>
          <w:rFonts w:ascii="FangSong" w:hAnsi="FangSong" w:eastAsia="FangSong" w:cs="FangSong"/>
          <w:sz w:val="24"/>
          <w:szCs w:val="24"/>
          <w:spacing w:val="-2"/>
        </w:rPr>
        <w:t>）含金属废物化验配比</w:t>
      </w:r>
    </w:p>
    <w:p>
      <w:pPr>
        <w:ind w:left="16" w:right="83" w:firstLine="479"/>
        <w:spacing w:before="180" w:line="360" w:lineRule="auto"/>
        <w:rPr>
          <w:rFonts w:ascii="FangSong" w:hAnsi="FangSong" w:eastAsia="FangSong" w:cs="FangSong"/>
          <w:sz w:val="24"/>
          <w:szCs w:val="24"/>
        </w:rPr>
      </w:pPr>
      <w:r>
        <w:rPr>
          <w:rFonts w:ascii="FangSong" w:hAnsi="FangSong" w:eastAsia="FangSong" w:cs="FangSong"/>
          <w:sz w:val="24"/>
          <w:szCs w:val="24"/>
          <w:spacing w:val="-3"/>
        </w:rPr>
        <w:t>各批进厂原料先进行抽样分析、化验，根据物料成分以及含水率进行相互掺配，确定需要</w:t>
      </w:r>
      <w:r>
        <w:rPr>
          <w:rFonts w:ascii="FangSong" w:hAnsi="FangSong" w:eastAsia="FangSong" w:cs="FangSong"/>
          <w:sz w:val="24"/>
          <w:szCs w:val="24"/>
          <w:spacing w:val="5"/>
        </w:rPr>
        <w:t xml:space="preserve"> </w:t>
      </w:r>
      <w:r>
        <w:rPr>
          <w:rFonts w:ascii="FangSong" w:hAnsi="FangSong" w:eastAsia="FangSong" w:cs="FangSong"/>
          <w:sz w:val="24"/>
          <w:szCs w:val="24"/>
          <w:spacing w:val="-1"/>
        </w:rPr>
        <w:t>掺入的还原剂和造渣剂的比例，并确定合理的工艺参数。</w:t>
      </w:r>
    </w:p>
    <w:p>
      <w:pPr>
        <w:ind w:left="18" w:right="83" w:firstLine="478"/>
        <w:spacing w:line="360" w:lineRule="auto"/>
        <w:jc w:val="both"/>
        <w:rPr>
          <w:rFonts w:ascii="FangSong" w:hAnsi="FangSong" w:eastAsia="FangSong" w:cs="FangSong"/>
          <w:sz w:val="24"/>
          <w:szCs w:val="24"/>
        </w:rPr>
      </w:pPr>
      <w:r>
        <w:rPr>
          <w:rFonts w:ascii="FangSong" w:hAnsi="FangSong" w:eastAsia="FangSong" w:cs="FangSong"/>
          <w:sz w:val="24"/>
          <w:szCs w:val="24"/>
          <w:spacing w:val="-3"/>
        </w:rPr>
        <w:t>根据废物中金属成分、金属品味以及含水率的不同将废物将物料进行分类堆存，方便后续</w:t>
      </w:r>
      <w:r>
        <w:rPr>
          <w:rFonts w:ascii="FangSong" w:hAnsi="FangSong" w:eastAsia="FangSong" w:cs="FangSong"/>
          <w:sz w:val="24"/>
          <w:szCs w:val="24"/>
          <w:spacing w:val="5"/>
        </w:rPr>
        <w:t xml:space="preserve"> </w:t>
      </w:r>
      <w:r>
        <w:rPr>
          <w:rFonts w:ascii="FangSong" w:hAnsi="FangSong" w:eastAsia="FangSong" w:cs="FangSong"/>
          <w:sz w:val="24"/>
          <w:szCs w:val="24"/>
          <w:spacing w:val="-3"/>
        </w:rPr>
        <w:t>的生产。同时对于不相容的危险废物，企业进行分开堆存。其目的：①将高低品位含金属废物</w:t>
      </w:r>
      <w:r>
        <w:rPr>
          <w:rFonts w:ascii="FangSong" w:hAnsi="FangSong" w:eastAsia="FangSong" w:cs="FangSong"/>
          <w:sz w:val="24"/>
          <w:szCs w:val="24"/>
          <w:spacing w:val="9"/>
        </w:rPr>
        <w:t xml:space="preserve"> </w:t>
      </w:r>
      <w:r>
        <w:rPr>
          <w:rFonts w:ascii="FangSong" w:hAnsi="FangSong" w:eastAsia="FangSong" w:cs="FangSong"/>
          <w:sz w:val="24"/>
          <w:szCs w:val="24"/>
        </w:rPr>
        <w:t>分别熔炼，提高有价金属的回收率。②高水分</w:t>
      </w:r>
      <w:r>
        <w:rPr>
          <w:rFonts w:ascii="FangSong" w:hAnsi="FangSong" w:eastAsia="FangSong" w:cs="FangSong"/>
          <w:sz w:val="24"/>
          <w:szCs w:val="24"/>
          <w:spacing w:val="-1"/>
        </w:rPr>
        <w:t>物料经干燥后熔炼，低水分物料制球后熔炼。</w:t>
      </w:r>
    </w:p>
    <w:p>
      <w:pPr>
        <w:pStyle w:val="BodyText"/>
        <w:ind w:left="17" w:right="6" w:firstLine="479"/>
        <w:spacing w:before="5" w:line="359" w:lineRule="auto"/>
        <w:jc w:val="both"/>
        <w:rPr>
          <w:rFonts w:ascii="FangSong" w:hAnsi="FangSong" w:eastAsia="FangSong" w:cs="FangSong"/>
          <w:sz w:val="24"/>
          <w:szCs w:val="24"/>
        </w:rPr>
      </w:pPr>
      <w:r>
        <w:rPr>
          <w:rFonts w:ascii="FangSong" w:hAnsi="FangSong" w:eastAsia="FangSong" w:cs="FangSong"/>
          <w:sz w:val="24"/>
          <w:szCs w:val="24"/>
          <w:spacing w:val="-1"/>
        </w:rPr>
        <w:t>根据原料中的含铜量、含水率不同，</w:t>
      </w:r>
      <w:r>
        <w:rPr>
          <w:sz w:val="24"/>
          <w:szCs w:val="24"/>
          <w:spacing w:val="-1"/>
        </w:rPr>
        <w:t>90%</w:t>
      </w:r>
      <w:r>
        <w:rPr>
          <w:rFonts w:ascii="FangSong" w:hAnsi="FangSong" w:eastAsia="FangSong" w:cs="FangSong"/>
          <w:sz w:val="24"/>
          <w:szCs w:val="24"/>
          <w:spacing w:val="-1"/>
        </w:rPr>
        <w:t>的危险废物进入滚筒造粒后进入烘干炉，</w:t>
      </w:r>
      <w:r>
        <w:rPr>
          <w:sz w:val="24"/>
          <w:szCs w:val="24"/>
          <w:spacing w:val="-1"/>
        </w:rPr>
        <w:t>10%</w:t>
      </w:r>
      <w:r>
        <w:rPr>
          <w:rFonts w:ascii="FangSong" w:hAnsi="FangSong" w:eastAsia="FangSong" w:cs="FangSong"/>
          <w:sz w:val="24"/>
          <w:szCs w:val="24"/>
          <w:spacing w:val="-1"/>
        </w:rPr>
        <w:t>的</w:t>
      </w:r>
      <w:r>
        <w:rPr>
          <w:rFonts w:ascii="FangSong" w:hAnsi="FangSong" w:eastAsia="FangSong" w:cs="FangSong"/>
          <w:sz w:val="24"/>
          <w:szCs w:val="24"/>
          <w:spacing w:val="9"/>
        </w:rPr>
        <w:t xml:space="preserve"> </w:t>
      </w:r>
      <w:r>
        <w:rPr>
          <w:rFonts w:ascii="FangSong" w:hAnsi="FangSong" w:eastAsia="FangSong" w:cs="FangSong"/>
          <w:sz w:val="24"/>
          <w:szCs w:val="24"/>
          <w:spacing w:val="2"/>
        </w:rPr>
        <w:t>危险废物进入制球工序，制球后的铜球块和烘干炉后的</w:t>
      </w:r>
      <w:r>
        <w:rPr>
          <w:rFonts w:ascii="FangSong" w:hAnsi="FangSong" w:eastAsia="FangSong" w:cs="FangSong"/>
          <w:sz w:val="24"/>
          <w:szCs w:val="24"/>
          <w:spacing w:val="1"/>
        </w:rPr>
        <w:t>烧结块进竖炉熔炼</w:t>
      </w:r>
      <w:r>
        <w:rPr>
          <w:sz w:val="24"/>
          <w:szCs w:val="24"/>
          <w:spacing w:val="1"/>
        </w:rPr>
        <w:t>,</w:t>
      </w:r>
      <w:r>
        <w:rPr>
          <w:rFonts w:ascii="FangSong" w:hAnsi="FangSong" w:eastAsia="FangSong" w:cs="FangSong"/>
          <w:sz w:val="24"/>
          <w:szCs w:val="24"/>
          <w:spacing w:val="1"/>
        </w:rPr>
        <w:t>烘干炉产出烧结块</w:t>
      </w:r>
      <w:r>
        <w:rPr>
          <w:rFonts w:ascii="FangSong" w:hAnsi="FangSong" w:eastAsia="FangSong" w:cs="FangSong"/>
          <w:sz w:val="24"/>
          <w:szCs w:val="24"/>
        </w:rPr>
        <w:t xml:space="preserve"> </w:t>
      </w:r>
      <w:r>
        <w:rPr>
          <w:rFonts w:ascii="FangSong" w:hAnsi="FangSong" w:eastAsia="FangSong" w:cs="FangSong"/>
          <w:sz w:val="24"/>
          <w:szCs w:val="24"/>
          <w:spacing w:val="-7"/>
        </w:rPr>
        <w:t>的同时会有烧结粉，烧结粉也进入制球工序，增加了制球工序。进入烘干炉中的物料与杂铜料、</w:t>
      </w:r>
      <w:r>
        <w:rPr>
          <w:rFonts w:ascii="FangSong" w:hAnsi="FangSong" w:eastAsia="FangSong" w:cs="FangSong"/>
          <w:sz w:val="24"/>
          <w:szCs w:val="24"/>
          <w:spacing w:val="18"/>
        </w:rPr>
        <w:t xml:space="preserve"> </w:t>
      </w:r>
      <w:r>
        <w:rPr>
          <w:rFonts w:ascii="FangSong" w:hAnsi="FangSong" w:eastAsia="FangSong" w:cs="FangSong"/>
          <w:sz w:val="24"/>
          <w:szCs w:val="24"/>
          <w:spacing w:val="2"/>
        </w:rPr>
        <w:t>炭精等辅料的比例约为</w:t>
      </w:r>
      <w:r>
        <w:rPr>
          <w:sz w:val="24"/>
          <w:szCs w:val="24"/>
          <w:spacing w:val="2"/>
        </w:rPr>
        <w:t>7:3</w:t>
      </w:r>
      <w:r>
        <w:rPr>
          <w:sz w:val="24"/>
          <w:szCs w:val="24"/>
          <w:spacing w:val="-25"/>
        </w:rPr>
        <w:t xml:space="preserve"> </w:t>
      </w:r>
      <w:r>
        <w:rPr>
          <w:rFonts w:ascii="FangSong" w:hAnsi="FangSong" w:eastAsia="FangSong" w:cs="FangSong"/>
          <w:sz w:val="24"/>
          <w:szCs w:val="24"/>
          <w:spacing w:val="2"/>
        </w:rPr>
        <w:t>，含水率约为</w:t>
      </w:r>
      <w:r>
        <w:rPr>
          <w:sz w:val="24"/>
          <w:szCs w:val="24"/>
          <w:spacing w:val="2"/>
        </w:rPr>
        <w:t>4</w:t>
      </w:r>
      <w:r>
        <w:rPr>
          <w:sz w:val="24"/>
          <w:szCs w:val="24"/>
          <w:spacing w:val="1"/>
        </w:rPr>
        <w:t>0%</w:t>
      </w:r>
      <w:r>
        <w:rPr>
          <w:rFonts w:ascii="FangSong" w:hAnsi="FangSong" w:eastAsia="FangSong" w:cs="FangSong"/>
          <w:sz w:val="24"/>
          <w:szCs w:val="24"/>
          <w:spacing w:val="1"/>
        </w:rPr>
        <w:t>；进入竖炉中的物料与杂铜料、铁粉等辅料的比</w:t>
      </w:r>
    </w:p>
    <w:p>
      <w:pPr>
        <w:pStyle w:val="BodyText"/>
        <w:ind w:left="15"/>
        <w:spacing w:before="1" w:line="223" w:lineRule="auto"/>
        <w:rPr>
          <w:rFonts w:ascii="FangSong" w:hAnsi="FangSong" w:eastAsia="FangSong" w:cs="FangSong"/>
          <w:sz w:val="24"/>
          <w:szCs w:val="24"/>
        </w:rPr>
      </w:pPr>
      <w:r>
        <w:rPr>
          <w:rFonts w:ascii="FangSong" w:hAnsi="FangSong" w:eastAsia="FangSong" w:cs="FangSong"/>
          <w:sz w:val="24"/>
          <w:szCs w:val="24"/>
          <w:spacing w:val="-3"/>
        </w:rPr>
        <w:t>例约为</w:t>
      </w:r>
      <w:r>
        <w:rPr>
          <w:sz w:val="24"/>
          <w:szCs w:val="24"/>
          <w:spacing w:val="-3"/>
        </w:rPr>
        <w:t>7:3</w:t>
      </w:r>
      <w:r>
        <w:rPr>
          <w:sz w:val="24"/>
          <w:szCs w:val="24"/>
          <w:spacing w:val="-30"/>
        </w:rPr>
        <w:t xml:space="preserve"> </w:t>
      </w:r>
      <w:r>
        <w:rPr>
          <w:rFonts w:ascii="FangSong" w:hAnsi="FangSong" w:eastAsia="FangSong" w:cs="FangSong"/>
          <w:sz w:val="24"/>
          <w:szCs w:val="24"/>
          <w:spacing w:val="-3"/>
        </w:rPr>
        <w:t>，含水率约为</w:t>
      </w:r>
      <w:r>
        <w:rPr>
          <w:sz w:val="24"/>
          <w:szCs w:val="24"/>
          <w:spacing w:val="-3"/>
        </w:rPr>
        <w:t>35%</w:t>
      </w:r>
      <w:r>
        <w:rPr>
          <w:rFonts w:ascii="FangSong" w:hAnsi="FangSong" w:eastAsia="FangSong" w:cs="FangSong"/>
          <w:sz w:val="24"/>
          <w:szCs w:val="24"/>
          <w:spacing w:val="-3"/>
        </w:rPr>
        <w:t>。</w:t>
      </w:r>
    </w:p>
    <w:p>
      <w:pPr>
        <w:pStyle w:val="BodyText"/>
        <w:ind w:left="500"/>
        <w:spacing w:before="178" w:line="221" w:lineRule="auto"/>
        <w:rPr>
          <w:rFonts w:ascii="FangSong" w:hAnsi="FangSong" w:eastAsia="FangSong" w:cs="FangSong"/>
          <w:sz w:val="24"/>
          <w:szCs w:val="24"/>
        </w:rPr>
      </w:pPr>
      <w:r>
        <w:rPr>
          <w:rFonts w:ascii="FangSong" w:hAnsi="FangSong" w:eastAsia="FangSong" w:cs="FangSong"/>
          <w:sz w:val="24"/>
          <w:szCs w:val="24"/>
          <w:spacing w:val="-2"/>
        </w:rPr>
        <w:t>（</w:t>
      </w:r>
      <w:r>
        <w:rPr>
          <w:sz w:val="24"/>
          <w:szCs w:val="24"/>
          <w:spacing w:val="-2"/>
        </w:rPr>
        <w:t>2</w:t>
      </w:r>
      <w:r>
        <w:rPr>
          <w:rFonts w:ascii="FangSong" w:hAnsi="FangSong" w:eastAsia="FangSong" w:cs="FangSong"/>
          <w:sz w:val="24"/>
          <w:szCs w:val="24"/>
          <w:spacing w:val="-2"/>
        </w:rPr>
        <w:t>）含金属废物干燥预处理</w:t>
      </w:r>
    </w:p>
    <w:p>
      <w:pPr>
        <w:pStyle w:val="BodyText"/>
        <w:ind w:left="15" w:firstLine="511"/>
        <w:spacing w:before="180" w:line="360" w:lineRule="auto"/>
        <w:rPr>
          <w:rFonts w:ascii="FangSong" w:hAnsi="FangSong" w:eastAsia="FangSong" w:cs="FangSong"/>
          <w:sz w:val="24"/>
          <w:szCs w:val="24"/>
        </w:rPr>
      </w:pPr>
      <w:r>
        <w:rPr>
          <w:rFonts w:ascii="FangSong" w:hAnsi="FangSong" w:eastAsia="FangSong" w:cs="FangSong"/>
          <w:sz w:val="24"/>
          <w:szCs w:val="24"/>
          <w:spacing w:val="-2"/>
        </w:rPr>
        <w:t>向需要烘干的混合物料中添加炭精作为燃料，燃料投加占比约为</w:t>
      </w:r>
      <w:r>
        <w:rPr>
          <w:sz w:val="24"/>
          <w:szCs w:val="24"/>
          <w:spacing w:val="-2"/>
        </w:rPr>
        <w:t>2-8%</w:t>
      </w:r>
      <w:r>
        <w:rPr>
          <w:sz w:val="24"/>
          <w:szCs w:val="24"/>
          <w:spacing w:val="-27"/>
        </w:rPr>
        <w:t xml:space="preserve"> </w:t>
      </w:r>
      <w:r>
        <w:rPr>
          <w:rFonts w:ascii="FangSong" w:hAnsi="FangSong" w:eastAsia="FangSong" w:cs="FangSong"/>
          <w:sz w:val="24"/>
          <w:szCs w:val="24"/>
          <w:spacing w:val="-2"/>
        </w:rPr>
        <w:t>。完成混合</w:t>
      </w:r>
      <w:r>
        <w:rPr>
          <w:rFonts w:ascii="FangSong" w:hAnsi="FangSong" w:eastAsia="FangSong" w:cs="FangSong"/>
          <w:sz w:val="24"/>
          <w:szCs w:val="24"/>
          <w:spacing w:val="-3"/>
        </w:rPr>
        <w:t>后的物</w:t>
      </w:r>
      <w:r>
        <w:rPr>
          <w:rFonts w:ascii="FangSong" w:hAnsi="FangSong" w:eastAsia="FangSong" w:cs="FangSong"/>
          <w:sz w:val="24"/>
          <w:szCs w:val="24"/>
        </w:rPr>
        <w:t xml:space="preserve">  </w:t>
      </w:r>
      <w:r>
        <w:rPr>
          <w:rFonts w:ascii="FangSong" w:hAnsi="FangSong" w:eastAsia="FangSong" w:cs="FangSong"/>
          <w:sz w:val="24"/>
          <w:szCs w:val="24"/>
          <w:spacing w:val="-4"/>
        </w:rPr>
        <w:t>料通过双轴搅拌机搅拌均匀，经皮带输送至滚筒造粒机进行混合造粒，得到粒径</w:t>
      </w:r>
      <w:r>
        <w:rPr>
          <w:sz w:val="24"/>
          <w:szCs w:val="24"/>
          <w:spacing w:val="-4"/>
        </w:rPr>
        <w:t>3-5cm</w:t>
      </w:r>
      <w:r>
        <w:rPr>
          <w:rFonts w:ascii="FangSong" w:hAnsi="FangSong" w:eastAsia="FangSong" w:cs="FangSong"/>
          <w:sz w:val="24"/>
          <w:szCs w:val="24"/>
          <w:spacing w:val="-4"/>
        </w:rPr>
        <w:t>的颗粒。</w:t>
      </w:r>
      <w:r>
        <w:rPr>
          <w:rFonts w:ascii="FangSong" w:hAnsi="FangSong" w:eastAsia="FangSong" w:cs="FangSong"/>
          <w:sz w:val="24"/>
          <w:szCs w:val="24"/>
          <w:spacing w:val="16"/>
        </w:rPr>
        <w:t xml:space="preserve"> </w:t>
      </w:r>
      <w:r>
        <w:rPr>
          <w:rFonts w:ascii="FangSong" w:hAnsi="FangSong" w:eastAsia="FangSong" w:cs="FangSong"/>
          <w:sz w:val="24"/>
          <w:szCs w:val="24"/>
          <w:spacing w:val="-3"/>
        </w:rPr>
        <w:t>制粒后的物料经过皮带运输机向逆流烘干机炉内均匀布料，罗茨鼓风机将风鼓入逆流烘干机的</w:t>
      </w:r>
      <w:r>
        <w:rPr>
          <w:rFonts w:ascii="FangSong" w:hAnsi="FangSong" w:eastAsia="FangSong" w:cs="FangSong"/>
          <w:sz w:val="24"/>
          <w:szCs w:val="24"/>
          <w:spacing w:val="13"/>
        </w:rPr>
        <w:t xml:space="preserve"> </w:t>
      </w:r>
      <w:r>
        <w:rPr>
          <w:rFonts w:ascii="FangSong" w:hAnsi="FangSong" w:eastAsia="FangSong" w:cs="FangSong"/>
          <w:sz w:val="24"/>
          <w:szCs w:val="24"/>
          <w:spacing w:val="-3"/>
        </w:rPr>
        <w:t>底部，自下而上地与物料进行热交换，充分利用热能，使鼓入的冷风充分加热后进入炉内节约</w:t>
      </w:r>
      <w:r>
        <w:rPr>
          <w:rFonts w:ascii="FangSong" w:hAnsi="FangSong" w:eastAsia="FangSong" w:cs="FangSong"/>
          <w:sz w:val="24"/>
          <w:szCs w:val="24"/>
          <w:spacing w:val="10"/>
        </w:rPr>
        <w:t xml:space="preserve"> </w:t>
      </w:r>
      <w:r>
        <w:rPr>
          <w:rFonts w:ascii="FangSong" w:hAnsi="FangSong" w:eastAsia="FangSong" w:cs="FangSong"/>
          <w:sz w:val="24"/>
          <w:szCs w:val="24"/>
          <w:spacing w:val="-2"/>
        </w:rPr>
        <w:t>能源，使得从底部排除的烘干物料可以处于常温状态。颗粒在窑体内停留</w:t>
      </w:r>
      <w:r>
        <w:rPr>
          <w:rFonts w:ascii="FangSong" w:hAnsi="FangSong" w:eastAsia="FangSong" w:cs="FangSong"/>
          <w:sz w:val="24"/>
          <w:szCs w:val="24"/>
          <w:spacing w:val="-3"/>
        </w:rPr>
        <w:t>约</w:t>
      </w:r>
      <w:r>
        <w:rPr>
          <w:sz w:val="24"/>
          <w:szCs w:val="24"/>
          <w:spacing w:val="-3"/>
        </w:rPr>
        <w:t>12h,</w:t>
      </w:r>
      <w:r>
        <w:rPr>
          <w:sz w:val="24"/>
          <w:szCs w:val="24"/>
          <w:spacing w:val="-13"/>
        </w:rPr>
        <w:t xml:space="preserve"> </w:t>
      </w:r>
      <w:r>
        <w:rPr>
          <w:rFonts w:ascii="FangSong" w:hAnsi="FangSong" w:eastAsia="FangSong" w:cs="FangSong"/>
          <w:sz w:val="24"/>
          <w:szCs w:val="24"/>
          <w:spacing w:val="-3"/>
        </w:rPr>
        <w:t>中心温度控制</w:t>
      </w:r>
      <w:r>
        <w:rPr>
          <w:rFonts w:ascii="FangSong" w:hAnsi="FangSong" w:eastAsia="FangSong" w:cs="FangSong"/>
          <w:sz w:val="24"/>
          <w:szCs w:val="24"/>
        </w:rPr>
        <w:t xml:space="preserve"> </w:t>
      </w:r>
      <w:r>
        <w:rPr>
          <w:rFonts w:ascii="FangSong" w:hAnsi="FangSong" w:eastAsia="FangSong" w:cs="FangSong"/>
          <w:sz w:val="24"/>
          <w:szCs w:val="24"/>
          <w:spacing w:val="-2"/>
        </w:rPr>
        <w:t>在</w:t>
      </w:r>
      <w:r>
        <w:rPr>
          <w:sz w:val="24"/>
          <w:szCs w:val="24"/>
          <w:spacing w:val="-2"/>
        </w:rPr>
        <w:t>900-1000℃</w:t>
      </w:r>
      <w:r>
        <w:rPr>
          <w:rFonts w:ascii="FangSong" w:hAnsi="FangSong" w:eastAsia="FangSong" w:cs="FangSong"/>
          <w:sz w:val="24"/>
          <w:szCs w:val="24"/>
          <w:spacing w:val="-2"/>
        </w:rPr>
        <w:t>。烘干过程中热量主要来源于炭精。烘干后物料从炉底排出，通过链板输送机输</w:t>
      </w:r>
      <w:r>
        <w:rPr>
          <w:rFonts w:ascii="FangSong" w:hAnsi="FangSong" w:eastAsia="FangSong" w:cs="FangSong"/>
          <w:sz w:val="24"/>
          <w:szCs w:val="24"/>
          <w:spacing w:val="14"/>
        </w:rPr>
        <w:t xml:space="preserve"> </w:t>
      </w:r>
      <w:r>
        <w:rPr>
          <w:rFonts w:ascii="FangSong" w:hAnsi="FangSong" w:eastAsia="FangSong" w:cs="FangSong"/>
          <w:sz w:val="24"/>
          <w:szCs w:val="24"/>
          <w:spacing w:val="-1"/>
        </w:rPr>
        <w:t>送到料仓，烘干后物料中水分基本烘干，为用于下一步竖炉熔炼使用。</w:t>
      </w:r>
    </w:p>
    <w:p>
      <w:pPr>
        <w:ind w:left="499"/>
        <w:spacing w:before="1" w:line="223" w:lineRule="auto"/>
        <w:rPr>
          <w:rFonts w:ascii="FangSong" w:hAnsi="FangSong" w:eastAsia="FangSong" w:cs="FangSong"/>
          <w:sz w:val="24"/>
          <w:szCs w:val="24"/>
        </w:rPr>
      </w:pPr>
      <w:r>
        <w:rPr>
          <w:rFonts w:ascii="FangSong" w:hAnsi="FangSong" w:eastAsia="FangSong" w:cs="FangSong"/>
          <w:sz w:val="24"/>
          <w:szCs w:val="24"/>
          <w:spacing w:val="-2"/>
        </w:rPr>
        <w:t>逆流烘干炉的主要工艺特点包括：</w:t>
      </w:r>
    </w:p>
    <w:p>
      <w:pPr>
        <w:pStyle w:val="BodyText"/>
        <w:ind w:left="17" w:right="83" w:firstLine="470"/>
        <w:spacing w:before="177" w:line="360" w:lineRule="auto"/>
        <w:jc w:val="both"/>
        <w:rPr>
          <w:rFonts w:ascii="FangSong" w:hAnsi="FangSong" w:eastAsia="FangSong" w:cs="FangSong"/>
          <w:sz w:val="24"/>
          <w:szCs w:val="24"/>
        </w:rPr>
      </w:pPr>
      <w:r>
        <w:rPr>
          <w:rFonts w:ascii="FangSong" w:hAnsi="FangSong" w:eastAsia="FangSong" w:cs="FangSong"/>
          <w:sz w:val="24"/>
          <w:szCs w:val="24"/>
          <w:spacing w:val="-3"/>
        </w:rPr>
        <w:t>①在逆流烘干炉底部鼓入空气，利用烘干物料的余热进行热交换。经烘干的物料在炉内自</w:t>
      </w:r>
      <w:r>
        <w:rPr>
          <w:rFonts w:ascii="FangSong" w:hAnsi="FangSong" w:eastAsia="FangSong" w:cs="FangSong"/>
          <w:sz w:val="24"/>
          <w:szCs w:val="24"/>
          <w:spacing w:val="13"/>
        </w:rPr>
        <w:t xml:space="preserve"> </w:t>
      </w:r>
      <w:r>
        <w:rPr>
          <w:rFonts w:ascii="FangSong" w:hAnsi="FangSong" w:eastAsia="FangSong" w:cs="FangSong"/>
          <w:sz w:val="24"/>
          <w:szCs w:val="24"/>
          <w:spacing w:val="-3"/>
        </w:rPr>
        <w:t>由下落过程中，因其带有的一定的余温，底部鼓入的空气与其接触，转化成热空气，热量交换</w:t>
      </w:r>
      <w:r>
        <w:rPr>
          <w:rFonts w:ascii="FangSong" w:hAnsi="FangSong" w:eastAsia="FangSong" w:cs="FangSong"/>
          <w:sz w:val="24"/>
          <w:szCs w:val="24"/>
          <w:spacing w:val="10"/>
        </w:rPr>
        <w:t xml:space="preserve"> </w:t>
      </w:r>
      <w:r>
        <w:rPr>
          <w:rFonts w:ascii="FangSong" w:hAnsi="FangSong" w:eastAsia="FangSong" w:cs="FangSong"/>
          <w:sz w:val="24"/>
          <w:szCs w:val="24"/>
          <w:spacing w:val="-1"/>
        </w:rPr>
        <w:t>后，烘干物料在出口的温度在</w:t>
      </w:r>
      <w:r>
        <w:rPr>
          <w:sz w:val="24"/>
          <w:szCs w:val="24"/>
          <w:spacing w:val="-1"/>
        </w:rPr>
        <w:t>80℃</w:t>
      </w:r>
      <w:r>
        <w:rPr>
          <w:rFonts w:ascii="FangSong" w:hAnsi="FangSong" w:eastAsia="FangSong" w:cs="FangSong"/>
          <w:sz w:val="24"/>
          <w:szCs w:val="24"/>
          <w:spacing w:val="-1"/>
        </w:rPr>
        <w:t>以下；</w:t>
      </w:r>
    </w:p>
    <w:p>
      <w:pPr>
        <w:spacing w:line="360" w:lineRule="auto"/>
        <w:sectPr>
          <w:headerReference w:type="default" r:id="rId38"/>
          <w:footerReference w:type="default" r:id="rId60"/>
          <w:pgSz w:w="11906" w:h="16839"/>
          <w:pgMar w:top="1139" w:right="996" w:bottom="1252" w:left="1080" w:header="831" w:footer="1090" w:gutter="0"/>
        </w:sectPr>
        <w:rPr>
          <w:rFonts w:ascii="FangSong" w:hAnsi="FangSong" w:eastAsia="FangSong" w:cs="FangSong"/>
          <w:sz w:val="24"/>
          <w:szCs w:val="24"/>
        </w:rPr>
      </w:pPr>
    </w:p>
    <w:p>
      <w:pPr>
        <w:spacing w:line="332" w:lineRule="auto"/>
        <w:rPr>
          <w:rFonts w:ascii="Arial"/>
          <w:sz w:val="21"/>
        </w:rPr>
      </w:pPr>
      <w:r/>
    </w:p>
    <w:p>
      <w:pPr>
        <w:pStyle w:val="BodyText"/>
        <w:ind w:left="17" w:firstLine="469"/>
        <w:spacing w:before="78" w:line="360" w:lineRule="auto"/>
        <w:jc w:val="both"/>
        <w:rPr>
          <w:rFonts w:ascii="FangSong" w:hAnsi="FangSong" w:eastAsia="FangSong" w:cs="FangSong"/>
          <w:sz w:val="24"/>
          <w:szCs w:val="24"/>
        </w:rPr>
      </w:pPr>
      <w:r>
        <w:rPr>
          <w:rFonts w:ascii="FangSong" w:hAnsi="FangSong" w:eastAsia="FangSong" w:cs="FangSong"/>
          <w:sz w:val="24"/>
          <w:szCs w:val="24"/>
          <w:spacing w:val="-6"/>
        </w:rPr>
        <w:t>②将逆流烘干炉烟气出口设置在顶部，增加烟气</w:t>
      </w:r>
      <w:r>
        <w:rPr>
          <w:rFonts w:ascii="FangSong" w:hAnsi="FangSong" w:eastAsia="FangSong" w:cs="FangSong"/>
          <w:sz w:val="24"/>
          <w:szCs w:val="24"/>
          <w:spacing w:val="-7"/>
        </w:rPr>
        <w:t>在炉内的停留时间，充分利用烟气的余热。</w:t>
      </w:r>
      <w:r>
        <w:rPr>
          <w:rFonts w:ascii="FangSong" w:hAnsi="FangSong" w:eastAsia="FangSong" w:cs="FangSong"/>
          <w:sz w:val="24"/>
          <w:szCs w:val="24"/>
        </w:rPr>
        <w:t xml:space="preserve"> </w:t>
      </w:r>
      <w:r>
        <w:rPr>
          <w:rFonts w:ascii="FangSong" w:hAnsi="FangSong" w:eastAsia="FangSong" w:cs="FangSong"/>
          <w:sz w:val="24"/>
          <w:szCs w:val="24"/>
          <w:spacing w:val="-3"/>
        </w:rPr>
        <w:t>一方面烘干过程中产生的烟气在炉内上升过程中与刚进入炉内的物料接触进行热交换，热交换</w:t>
      </w:r>
      <w:r>
        <w:rPr>
          <w:rFonts w:ascii="FangSong" w:hAnsi="FangSong" w:eastAsia="FangSong" w:cs="FangSong"/>
          <w:sz w:val="24"/>
          <w:szCs w:val="24"/>
          <w:spacing w:val="10"/>
        </w:rPr>
        <w:t xml:space="preserve"> </w:t>
      </w:r>
      <w:r>
        <w:rPr>
          <w:rFonts w:ascii="FangSong" w:hAnsi="FangSong" w:eastAsia="FangSong" w:cs="FangSong"/>
          <w:sz w:val="24"/>
          <w:szCs w:val="24"/>
        </w:rPr>
        <w:t>后从炉顶的烟气出口排放，有助于物料一定程度的</w:t>
      </w:r>
      <w:r>
        <w:rPr>
          <w:rFonts w:ascii="FangSong" w:hAnsi="FangSong" w:eastAsia="FangSong" w:cs="FangSong"/>
          <w:sz w:val="24"/>
          <w:szCs w:val="24"/>
          <w:spacing w:val="-1"/>
        </w:rPr>
        <w:t>烘干；另一方面上述（</w:t>
      </w:r>
      <w:r>
        <w:rPr>
          <w:sz w:val="24"/>
          <w:szCs w:val="24"/>
          <w:spacing w:val="-1"/>
        </w:rPr>
        <w:t>1</w:t>
      </w:r>
      <w:r>
        <w:rPr>
          <w:rFonts w:ascii="FangSong" w:hAnsi="FangSong" w:eastAsia="FangSong" w:cs="FangSong"/>
          <w:sz w:val="24"/>
          <w:szCs w:val="24"/>
          <w:spacing w:val="-1"/>
        </w:rPr>
        <w:t>）产生的热空气在</w:t>
      </w:r>
      <w:r>
        <w:rPr>
          <w:rFonts w:ascii="FangSong" w:hAnsi="FangSong" w:eastAsia="FangSong" w:cs="FangSong"/>
          <w:sz w:val="24"/>
          <w:szCs w:val="24"/>
        </w:rPr>
        <w:t xml:space="preserve">  </w:t>
      </w:r>
      <w:r>
        <w:rPr>
          <w:rFonts w:ascii="FangSong" w:hAnsi="FangSong" w:eastAsia="FangSong" w:cs="FangSong"/>
          <w:sz w:val="24"/>
          <w:szCs w:val="24"/>
          <w:spacing w:val="-3"/>
        </w:rPr>
        <w:t>引风机的作用下也从该烟气出口排出，在热空气上升过程中，可将其热量与炉内的物料进行热</w:t>
      </w:r>
      <w:r>
        <w:rPr>
          <w:rFonts w:ascii="FangSong" w:hAnsi="FangSong" w:eastAsia="FangSong" w:cs="FangSong"/>
          <w:sz w:val="24"/>
          <w:szCs w:val="24"/>
          <w:spacing w:val="10"/>
        </w:rPr>
        <w:t xml:space="preserve"> </w:t>
      </w:r>
      <w:r>
        <w:rPr>
          <w:rFonts w:ascii="FangSong" w:hAnsi="FangSong" w:eastAsia="FangSong" w:cs="FangSong"/>
          <w:sz w:val="24"/>
          <w:szCs w:val="24"/>
          <w:spacing w:val="-1"/>
        </w:rPr>
        <w:t>交换。最终逆流烘干炉烟气出口温度控制在</w:t>
      </w:r>
      <w:r>
        <w:rPr>
          <w:sz w:val="24"/>
          <w:szCs w:val="24"/>
          <w:spacing w:val="-1"/>
        </w:rPr>
        <w:t>130-200℃</w:t>
      </w:r>
      <w:r>
        <w:rPr>
          <w:rFonts w:ascii="FangSong" w:hAnsi="FangSong" w:eastAsia="FangSong" w:cs="FangSong"/>
          <w:sz w:val="24"/>
          <w:szCs w:val="24"/>
          <w:spacing w:val="-1"/>
        </w:rPr>
        <w:t>。</w:t>
      </w:r>
    </w:p>
    <w:p>
      <w:pPr>
        <w:pStyle w:val="BodyText"/>
        <w:ind w:left="15" w:right="83" w:firstLine="483"/>
        <w:spacing w:before="1" w:line="360" w:lineRule="auto"/>
        <w:rPr>
          <w:rFonts w:ascii="FangSong" w:hAnsi="FangSong" w:eastAsia="FangSong" w:cs="FangSong"/>
          <w:sz w:val="24"/>
          <w:szCs w:val="24"/>
        </w:rPr>
      </w:pPr>
      <w:r>
        <w:rPr>
          <w:rFonts w:ascii="FangSong" w:hAnsi="FangSong" w:eastAsia="FangSong" w:cs="FangSong"/>
          <w:sz w:val="24"/>
          <w:szCs w:val="24"/>
          <w:spacing w:val="-3"/>
        </w:rPr>
        <w:t>逆流烘干炉烟气收集后，经重力除尘、活性炭喷射、布袋除尘器除尘、脱硫塔脱硫、湿式</w:t>
      </w:r>
      <w:r>
        <w:rPr>
          <w:rFonts w:ascii="FangSong" w:hAnsi="FangSong" w:eastAsia="FangSong" w:cs="FangSong"/>
          <w:sz w:val="24"/>
          <w:szCs w:val="24"/>
          <w:spacing w:val="2"/>
        </w:rPr>
        <w:t xml:space="preserve"> </w:t>
      </w:r>
      <w:r>
        <w:rPr>
          <w:rFonts w:ascii="FangSong" w:hAnsi="FangSong" w:eastAsia="FangSong" w:cs="FangSong"/>
          <w:sz w:val="24"/>
          <w:szCs w:val="24"/>
          <w:spacing w:val="-2"/>
        </w:rPr>
        <w:t>电除尘器再次除尘后引入</w:t>
      </w:r>
      <w:r>
        <w:rPr>
          <w:sz w:val="24"/>
          <w:szCs w:val="24"/>
          <w:spacing w:val="-2"/>
        </w:rPr>
        <w:t>SCR</w:t>
      </w:r>
      <w:r>
        <w:rPr>
          <w:rFonts w:ascii="FangSong" w:hAnsi="FangSong" w:eastAsia="FangSong" w:cs="FangSong"/>
          <w:sz w:val="24"/>
          <w:szCs w:val="24"/>
          <w:spacing w:val="-2"/>
        </w:rPr>
        <w:t>脱硝装置。烟气进入</w:t>
      </w:r>
      <w:r>
        <w:rPr>
          <w:sz w:val="24"/>
          <w:szCs w:val="24"/>
          <w:spacing w:val="-2"/>
        </w:rPr>
        <w:t>SCR</w:t>
      </w:r>
      <w:r>
        <w:rPr>
          <w:rFonts w:ascii="FangSong" w:hAnsi="FangSong" w:eastAsia="FangSong" w:cs="FangSong"/>
          <w:sz w:val="24"/>
          <w:szCs w:val="24"/>
          <w:spacing w:val="-2"/>
        </w:rPr>
        <w:t>脱硝装置前，通过</w:t>
      </w:r>
      <w:r>
        <w:rPr>
          <w:sz w:val="24"/>
          <w:szCs w:val="24"/>
          <w:spacing w:val="-3"/>
        </w:rPr>
        <w:t>GGH</w:t>
      </w:r>
      <w:r>
        <w:rPr>
          <w:rFonts w:ascii="FangSong" w:hAnsi="FangSong" w:eastAsia="FangSong" w:cs="FangSong"/>
          <w:sz w:val="24"/>
          <w:szCs w:val="24"/>
          <w:spacing w:val="-3"/>
        </w:rPr>
        <w:t>换热器提升原烟</w:t>
      </w:r>
      <w:r>
        <w:rPr>
          <w:rFonts w:ascii="FangSong" w:hAnsi="FangSong" w:eastAsia="FangSong" w:cs="FangSong"/>
          <w:sz w:val="24"/>
          <w:szCs w:val="24"/>
        </w:rPr>
        <w:t xml:space="preserve"> </w:t>
      </w:r>
      <w:r>
        <w:rPr>
          <w:rFonts w:ascii="FangSong" w:hAnsi="FangSong" w:eastAsia="FangSong" w:cs="FangSong"/>
          <w:sz w:val="24"/>
          <w:szCs w:val="24"/>
        </w:rPr>
        <w:t>气温度至约</w:t>
      </w:r>
      <w:r>
        <w:rPr>
          <w:sz w:val="24"/>
          <w:szCs w:val="24"/>
        </w:rPr>
        <w:t>240-245℃,</w:t>
      </w:r>
      <w:r>
        <w:rPr>
          <w:rFonts w:ascii="FangSong" w:hAnsi="FangSong" w:eastAsia="FangSong" w:cs="FangSong"/>
          <w:sz w:val="24"/>
          <w:szCs w:val="24"/>
        </w:rPr>
        <w:t>再通过热风炉补燃二次加热烟气温度至</w:t>
      </w:r>
      <w:r>
        <w:rPr>
          <w:sz w:val="24"/>
          <w:szCs w:val="24"/>
        </w:rPr>
        <w:t>28</w:t>
      </w:r>
      <w:r>
        <w:rPr>
          <w:sz w:val="24"/>
          <w:szCs w:val="24"/>
          <w:spacing w:val="-1"/>
        </w:rPr>
        <w:t>0℃</w:t>
      </w:r>
      <w:r>
        <w:rPr>
          <w:rFonts w:ascii="FangSong" w:hAnsi="FangSong" w:eastAsia="FangSong" w:cs="FangSong"/>
          <w:sz w:val="24"/>
          <w:szCs w:val="24"/>
          <w:spacing w:val="-1"/>
        </w:rPr>
        <w:t>以上，此时烟气进入</w:t>
      </w:r>
      <w:r>
        <w:rPr>
          <w:sz w:val="24"/>
          <w:szCs w:val="24"/>
          <w:spacing w:val="-1"/>
        </w:rPr>
        <w:t>SCR</w:t>
      </w:r>
      <w:r>
        <w:rPr>
          <w:sz w:val="24"/>
          <w:szCs w:val="24"/>
        </w:rPr>
        <w:t xml:space="preserve">   </w:t>
      </w:r>
      <w:r>
        <w:rPr>
          <w:rFonts w:ascii="FangSong" w:hAnsi="FangSong" w:eastAsia="FangSong" w:cs="FangSong"/>
          <w:sz w:val="24"/>
          <w:szCs w:val="24"/>
        </w:rPr>
        <w:t>脱硝反应器进行脱硝，脱硝后净烟气余热通过</w:t>
      </w:r>
      <w:r>
        <w:rPr>
          <w:sz w:val="24"/>
          <w:szCs w:val="24"/>
        </w:rPr>
        <w:t>GG</w:t>
      </w:r>
      <w:r>
        <w:rPr>
          <w:sz w:val="24"/>
          <w:szCs w:val="24"/>
          <w:spacing w:val="-1"/>
        </w:rPr>
        <w:t>H</w:t>
      </w:r>
      <w:r>
        <w:rPr>
          <w:rFonts w:ascii="FangSong" w:hAnsi="FangSong" w:eastAsia="FangSong" w:cs="FangSong"/>
          <w:sz w:val="24"/>
          <w:szCs w:val="24"/>
          <w:spacing w:val="-1"/>
        </w:rPr>
        <w:t>换热器被有效回收，最终净烟气经过增压</w:t>
      </w:r>
      <w:r>
        <w:rPr>
          <w:rFonts w:ascii="FangSong" w:hAnsi="FangSong" w:eastAsia="FangSong" w:cs="FangSong"/>
          <w:sz w:val="24"/>
          <w:szCs w:val="24"/>
        </w:rPr>
        <w:t xml:space="preserve">  </w:t>
      </w:r>
      <w:r>
        <w:rPr>
          <w:rFonts w:ascii="FangSong" w:hAnsi="FangSong" w:eastAsia="FangSong" w:cs="FangSong"/>
          <w:sz w:val="24"/>
          <w:szCs w:val="24"/>
          <w:spacing w:val="-2"/>
        </w:rPr>
        <w:t>风机至原塔顶直排烟囱排放。</w:t>
      </w:r>
    </w:p>
    <w:p>
      <w:pPr>
        <w:pStyle w:val="BodyText"/>
        <w:ind w:left="500"/>
        <w:spacing w:line="222" w:lineRule="auto"/>
        <w:rPr>
          <w:rFonts w:ascii="FangSong" w:hAnsi="FangSong" w:eastAsia="FangSong" w:cs="FangSong"/>
          <w:sz w:val="24"/>
          <w:szCs w:val="24"/>
        </w:rPr>
      </w:pPr>
      <w:r>
        <w:rPr>
          <w:rFonts w:ascii="FangSong" w:hAnsi="FangSong" w:eastAsia="FangSong" w:cs="FangSong"/>
          <w:sz w:val="24"/>
          <w:szCs w:val="24"/>
          <w:spacing w:val="-3"/>
        </w:rPr>
        <w:t>（</w:t>
      </w:r>
      <w:r>
        <w:rPr>
          <w:sz w:val="24"/>
          <w:szCs w:val="24"/>
          <w:spacing w:val="-3"/>
        </w:rPr>
        <w:t>3</w:t>
      </w:r>
      <w:r>
        <w:rPr>
          <w:rFonts w:ascii="FangSong" w:hAnsi="FangSong" w:eastAsia="FangSong" w:cs="FangSong"/>
          <w:sz w:val="24"/>
          <w:szCs w:val="24"/>
          <w:spacing w:val="-3"/>
        </w:rPr>
        <w:t>）竖炉熔炼</w:t>
      </w:r>
    </w:p>
    <w:p>
      <w:pPr>
        <w:ind w:left="17" w:right="17" w:firstLine="479"/>
        <w:spacing w:before="178" w:line="360" w:lineRule="auto"/>
        <w:rPr>
          <w:rFonts w:ascii="FangSong" w:hAnsi="FangSong" w:eastAsia="FangSong" w:cs="FangSong"/>
          <w:sz w:val="24"/>
          <w:szCs w:val="24"/>
        </w:rPr>
      </w:pPr>
      <w:r>
        <w:rPr>
          <w:rFonts w:ascii="FangSong" w:hAnsi="FangSong" w:eastAsia="FangSong" w:cs="FangSong"/>
          <w:sz w:val="24"/>
          <w:szCs w:val="24"/>
          <w:spacing w:val="-3"/>
        </w:rPr>
        <w:t>将干燥预处理后的颗粒与炭精、石英石等物料分批投入竖炉中熔炼。空气经过换热器加热</w:t>
      </w:r>
      <w:r>
        <w:rPr>
          <w:rFonts w:ascii="FangSong" w:hAnsi="FangSong" w:eastAsia="FangSong" w:cs="FangSong"/>
          <w:sz w:val="24"/>
          <w:szCs w:val="24"/>
          <w:spacing w:val="5"/>
        </w:rPr>
        <w:t xml:space="preserve"> </w:t>
      </w:r>
      <w:r>
        <w:rPr>
          <w:rFonts w:ascii="FangSong" w:hAnsi="FangSong" w:eastAsia="FangSong" w:cs="FangSong"/>
          <w:sz w:val="24"/>
          <w:szCs w:val="24"/>
          <w:spacing w:val="-3"/>
        </w:rPr>
        <w:t>后鼓入竖炉内，炉料与热空气逆流运动，炉料经过干燥、分解、氧化、还原等一系列物理化学</w:t>
      </w:r>
      <w:r>
        <w:rPr>
          <w:rFonts w:ascii="FangSong" w:hAnsi="FangSong" w:eastAsia="FangSong" w:cs="FangSong"/>
          <w:sz w:val="24"/>
          <w:szCs w:val="24"/>
          <w:spacing w:val="10"/>
        </w:rPr>
        <w:t xml:space="preserve"> </w:t>
      </w:r>
      <w:r>
        <w:rPr>
          <w:rFonts w:ascii="FangSong" w:hAnsi="FangSong" w:eastAsia="FangSong" w:cs="FangSong"/>
          <w:sz w:val="24"/>
          <w:szCs w:val="24"/>
          <w:spacing w:val="-7"/>
        </w:rPr>
        <w:t>过程，最终形成产品和副产物。根据不同的金属类型，企业竖炉冶炼产出的产品为黑铜或冰铜，</w:t>
      </w:r>
      <w:r>
        <w:rPr>
          <w:rFonts w:ascii="FangSong" w:hAnsi="FangSong" w:eastAsia="FangSong" w:cs="FangSong"/>
          <w:sz w:val="24"/>
          <w:szCs w:val="24"/>
          <w:spacing w:val="6"/>
        </w:rPr>
        <w:t xml:space="preserve"> </w:t>
      </w:r>
      <w:r>
        <w:rPr>
          <w:rFonts w:ascii="FangSong" w:hAnsi="FangSong" w:eastAsia="FangSong" w:cs="FangSong"/>
          <w:sz w:val="24"/>
          <w:szCs w:val="24"/>
          <w:spacing w:val="-3"/>
        </w:rPr>
        <w:t>副产物主要为竖炉冶炼渣，除此之外还有一定量的镍铁合金和铬铁合金初料，用于后续的合金</w:t>
      </w:r>
      <w:r>
        <w:rPr>
          <w:rFonts w:ascii="FangSong" w:hAnsi="FangSong" w:eastAsia="FangSong" w:cs="FangSong"/>
          <w:sz w:val="24"/>
          <w:szCs w:val="24"/>
          <w:spacing w:val="10"/>
        </w:rPr>
        <w:t xml:space="preserve"> </w:t>
      </w:r>
      <w:r>
        <w:rPr>
          <w:rFonts w:ascii="FangSong" w:hAnsi="FangSong" w:eastAsia="FangSong" w:cs="FangSong"/>
          <w:sz w:val="24"/>
          <w:szCs w:val="24"/>
          <w:spacing w:val="-3"/>
        </w:rPr>
        <w:t>产品深加工。</w:t>
      </w:r>
    </w:p>
    <w:p>
      <w:pPr>
        <w:pStyle w:val="BodyText"/>
        <w:ind w:left="15" w:right="17" w:firstLine="487"/>
        <w:spacing w:before="2" w:line="360" w:lineRule="auto"/>
        <w:jc w:val="both"/>
        <w:rPr>
          <w:rFonts w:ascii="FangSong" w:hAnsi="FangSong" w:eastAsia="FangSong" w:cs="FangSong"/>
          <w:sz w:val="24"/>
          <w:szCs w:val="24"/>
        </w:rPr>
      </w:pPr>
      <w:r>
        <w:rPr>
          <w:rFonts w:ascii="FangSong" w:hAnsi="FangSong" w:eastAsia="FangSong" w:cs="FangSong"/>
          <w:sz w:val="24"/>
          <w:szCs w:val="24"/>
          <w:spacing w:val="-7"/>
        </w:rPr>
        <w:t>竖炉熔炼主要经历启炉、正常生产、停熄炉三个过程。首先在空</w:t>
      </w:r>
      <w:r>
        <w:rPr>
          <w:rFonts w:ascii="FangSong" w:hAnsi="FangSong" w:eastAsia="FangSong" w:cs="FangSong"/>
          <w:sz w:val="24"/>
          <w:szCs w:val="24"/>
          <w:spacing w:val="-8"/>
        </w:rPr>
        <w:t>炉中加入木材和木炭引火，</w:t>
      </w:r>
      <w:r>
        <w:rPr>
          <w:rFonts w:ascii="FangSong" w:hAnsi="FangSong" w:eastAsia="FangSong" w:cs="FangSong"/>
          <w:sz w:val="24"/>
          <w:szCs w:val="24"/>
        </w:rPr>
        <w:t xml:space="preserve"> </w:t>
      </w:r>
      <w:r>
        <w:rPr>
          <w:rFonts w:ascii="FangSong" w:hAnsi="FangSong" w:eastAsia="FangSong" w:cs="FangSong"/>
          <w:sz w:val="24"/>
          <w:szCs w:val="24"/>
          <w:spacing w:val="-3"/>
        </w:rPr>
        <w:t>然后加入炭精，并鼓风，待炭精表面燃烧后按照以下加料顺序加入：炭精、烘干物料、石英石</w:t>
      </w:r>
      <w:r>
        <w:rPr>
          <w:rFonts w:ascii="FangSong" w:hAnsi="FangSong" w:eastAsia="FangSong" w:cs="FangSong"/>
          <w:sz w:val="24"/>
          <w:szCs w:val="24"/>
          <w:spacing w:val="13"/>
        </w:rPr>
        <w:t xml:space="preserve"> </w:t>
      </w:r>
      <w:r>
        <w:rPr>
          <w:rFonts w:ascii="FangSong" w:hAnsi="FangSong" w:eastAsia="FangSong" w:cs="FangSong"/>
          <w:sz w:val="24"/>
          <w:szCs w:val="24"/>
          <w:spacing w:val="-1"/>
        </w:rPr>
        <w:t>等辅料、铜球等轮回加入，知道炉子加满，启炉宣告结束。正常生产：炉料自上而下</w:t>
      </w:r>
      <w:r>
        <w:rPr>
          <w:rFonts w:ascii="FangSong" w:hAnsi="FangSong" w:eastAsia="FangSong" w:cs="FangSong"/>
          <w:sz w:val="24"/>
          <w:szCs w:val="24"/>
          <w:spacing w:val="-2"/>
        </w:rPr>
        <w:t>地运行，</w:t>
      </w:r>
      <w:r>
        <w:rPr>
          <w:rFonts w:ascii="FangSong" w:hAnsi="FangSong" w:eastAsia="FangSong" w:cs="FangSong"/>
          <w:sz w:val="24"/>
          <w:szCs w:val="24"/>
        </w:rPr>
        <w:t xml:space="preserve"> </w:t>
      </w:r>
      <w:r>
        <w:rPr>
          <w:rFonts w:ascii="FangSong" w:hAnsi="FangSong" w:eastAsia="FangSong" w:cs="FangSong"/>
          <w:sz w:val="24"/>
          <w:szCs w:val="24"/>
          <w:spacing w:val="-3"/>
        </w:rPr>
        <w:t>底部风口取为熔化区，炉料到达风口区熔化，空气经风口鼓入，在风口区使炭精燃烧，产生高</w:t>
      </w:r>
      <w:r>
        <w:rPr>
          <w:rFonts w:ascii="FangSong" w:hAnsi="FangSong" w:eastAsia="FangSong" w:cs="FangSong"/>
          <w:sz w:val="24"/>
          <w:szCs w:val="24"/>
          <w:spacing w:val="13"/>
        </w:rPr>
        <w:t xml:space="preserve"> </w:t>
      </w:r>
      <w:r>
        <w:rPr>
          <w:rFonts w:ascii="FangSong" w:hAnsi="FangSong" w:eastAsia="FangSong" w:cs="FangSong"/>
          <w:sz w:val="24"/>
          <w:szCs w:val="24"/>
        </w:rPr>
        <w:t>温（可达</w:t>
      </w:r>
      <w:r>
        <w:rPr>
          <w:sz w:val="24"/>
          <w:szCs w:val="24"/>
        </w:rPr>
        <w:t>1350℃</w:t>
      </w:r>
      <w:r>
        <w:rPr>
          <w:rFonts w:ascii="FangSong" w:hAnsi="FangSong" w:eastAsia="FangSong" w:cs="FangSong"/>
          <w:sz w:val="24"/>
          <w:szCs w:val="24"/>
        </w:rPr>
        <w:t>)</w:t>
      </w:r>
      <w:r>
        <w:rPr>
          <w:rFonts w:ascii="FangSong" w:hAnsi="FangSong" w:eastAsia="FangSong" w:cs="FangSong"/>
          <w:sz w:val="24"/>
          <w:szCs w:val="24"/>
        </w:rPr>
        <w:t xml:space="preserve"> </w:t>
      </w:r>
      <w:r>
        <w:rPr>
          <w:sz w:val="24"/>
          <w:szCs w:val="24"/>
        </w:rPr>
        <w:t>,</w:t>
      </w:r>
      <w:r>
        <w:rPr>
          <w:rFonts w:ascii="FangSong" w:hAnsi="FangSong" w:eastAsia="FangSong" w:cs="FangSong"/>
          <w:sz w:val="24"/>
          <w:szCs w:val="24"/>
        </w:rPr>
        <w:t>高温炉气自下而上运行，恰与炉</w:t>
      </w:r>
      <w:r>
        <w:rPr>
          <w:rFonts w:ascii="FangSong" w:hAnsi="FangSong" w:eastAsia="FangSong" w:cs="FangSong"/>
          <w:sz w:val="24"/>
          <w:szCs w:val="24"/>
          <w:spacing w:val="-1"/>
        </w:rPr>
        <w:t>料逆向运行，进行热交换，使炉料逐渐受</w:t>
      </w:r>
      <w:r>
        <w:rPr>
          <w:rFonts w:ascii="FangSong" w:hAnsi="FangSong" w:eastAsia="FangSong" w:cs="FangSong"/>
          <w:sz w:val="24"/>
          <w:szCs w:val="24"/>
        </w:rPr>
        <w:t xml:space="preserve">  </w:t>
      </w:r>
      <w:r>
        <w:rPr>
          <w:rFonts w:ascii="FangSong" w:hAnsi="FangSong" w:eastAsia="FangSong" w:cs="FangSong"/>
          <w:sz w:val="24"/>
          <w:szCs w:val="24"/>
          <w:spacing w:val="-3"/>
        </w:rPr>
        <w:t>热而完成各种熔炼过程，从而得到铜合金、炉渣、含尘烟气等几种熔炼产物。风口区熔炼的炉</w:t>
      </w:r>
      <w:r>
        <w:rPr>
          <w:rFonts w:ascii="FangSong" w:hAnsi="FangSong" w:eastAsia="FangSong" w:cs="FangSong"/>
          <w:sz w:val="24"/>
          <w:szCs w:val="24"/>
          <w:spacing w:val="13"/>
        </w:rPr>
        <w:t xml:space="preserve"> </w:t>
      </w:r>
      <w:r>
        <w:rPr>
          <w:rFonts w:ascii="FangSong" w:hAnsi="FangSong" w:eastAsia="FangSong" w:cs="FangSong"/>
          <w:sz w:val="24"/>
          <w:szCs w:val="24"/>
          <w:spacing w:val="-3"/>
        </w:rPr>
        <w:t>料经炉缸沉降，渣和铜澄清分离，渣从出渣口阶段性放出，铜从出铜口阶段性放出到铜合金模</w:t>
      </w:r>
      <w:r>
        <w:rPr>
          <w:rFonts w:ascii="FangSong" w:hAnsi="FangSong" w:eastAsia="FangSong" w:cs="FangSong"/>
          <w:sz w:val="24"/>
          <w:szCs w:val="24"/>
          <w:spacing w:val="13"/>
        </w:rPr>
        <w:t xml:space="preserve"> </w:t>
      </w:r>
      <w:r>
        <w:rPr>
          <w:rFonts w:ascii="FangSong" w:hAnsi="FangSong" w:eastAsia="FangSong" w:cs="FangSong"/>
          <w:sz w:val="24"/>
          <w:szCs w:val="24"/>
          <w:spacing w:val="-3"/>
        </w:rPr>
        <w:t>子中浇铸成铜合金块。随着炉料的不断熔化，渣和铜的排出，炉料面不断下降不断地补充，使</w:t>
      </w:r>
      <w:r>
        <w:rPr>
          <w:rFonts w:ascii="FangSong" w:hAnsi="FangSong" w:eastAsia="FangSong" w:cs="FangSong"/>
          <w:sz w:val="24"/>
          <w:szCs w:val="24"/>
          <w:spacing w:val="13"/>
        </w:rPr>
        <w:t xml:space="preserve"> </w:t>
      </w:r>
      <w:r>
        <w:rPr>
          <w:rFonts w:ascii="FangSong" w:hAnsi="FangSong" w:eastAsia="FangSong" w:cs="FangSong"/>
          <w:sz w:val="24"/>
          <w:szCs w:val="24"/>
          <w:spacing w:val="-3"/>
        </w:rPr>
        <w:t>炉顶料保持衡定的水平料面。炉子经过一段时间的运行或熔炼周期已到或原料已炼完，则开始</w:t>
      </w:r>
      <w:r>
        <w:rPr>
          <w:rFonts w:ascii="FangSong" w:hAnsi="FangSong" w:eastAsia="FangSong" w:cs="FangSong"/>
          <w:sz w:val="24"/>
          <w:szCs w:val="24"/>
          <w:spacing w:val="13"/>
        </w:rPr>
        <w:t xml:space="preserve"> </w:t>
      </w:r>
      <w:r>
        <w:rPr>
          <w:rFonts w:ascii="FangSong" w:hAnsi="FangSong" w:eastAsia="FangSong" w:cs="FangSong"/>
          <w:sz w:val="24"/>
          <w:szCs w:val="24"/>
        </w:rPr>
        <w:t>停息炉，停息炉一旦开始，则在炉门加料口停止加料，待料</w:t>
      </w:r>
      <w:r>
        <w:rPr>
          <w:rFonts w:ascii="FangSong" w:hAnsi="FangSong" w:eastAsia="FangSong" w:cs="FangSong"/>
          <w:sz w:val="24"/>
          <w:szCs w:val="24"/>
          <w:spacing w:val="-1"/>
        </w:rPr>
        <w:t>面下降到正常料柱的</w:t>
      </w:r>
      <w:r>
        <w:rPr>
          <w:sz w:val="24"/>
          <w:szCs w:val="24"/>
          <w:spacing w:val="-1"/>
        </w:rPr>
        <w:t>1/3</w:t>
      </w:r>
      <w:r>
        <w:rPr>
          <w:rFonts w:ascii="FangSong" w:hAnsi="FangSong" w:eastAsia="FangSong" w:cs="FangSong"/>
          <w:sz w:val="24"/>
          <w:szCs w:val="24"/>
          <w:spacing w:val="-1"/>
        </w:rPr>
        <w:t>或</w:t>
      </w:r>
      <w:r>
        <w:rPr>
          <w:sz w:val="24"/>
          <w:szCs w:val="24"/>
          <w:spacing w:val="-1"/>
        </w:rPr>
        <w:t>1/4</w:t>
      </w:r>
      <w:r>
        <w:rPr>
          <w:rFonts w:ascii="FangSong" w:hAnsi="FangSong" w:eastAsia="FangSong" w:cs="FangSong"/>
          <w:sz w:val="24"/>
          <w:szCs w:val="24"/>
          <w:spacing w:val="-1"/>
        </w:rPr>
        <w:t>高度</w:t>
      </w:r>
      <w:r>
        <w:rPr>
          <w:rFonts w:ascii="FangSong" w:hAnsi="FangSong" w:eastAsia="FangSong" w:cs="FangSong"/>
          <w:sz w:val="24"/>
          <w:szCs w:val="24"/>
        </w:rPr>
        <w:t xml:space="preserve"> </w:t>
      </w:r>
      <w:r>
        <w:rPr>
          <w:rFonts w:ascii="FangSong" w:hAnsi="FangSong" w:eastAsia="FangSong" w:cs="FangSong"/>
          <w:sz w:val="24"/>
          <w:szCs w:val="24"/>
          <w:spacing w:val="-3"/>
        </w:rPr>
        <w:t>时放净铜水和渣，停止鼓风，待炉子稍冷却分开炉体和炉缸，炉缸与炉缸小车经轨道推出炉体</w:t>
      </w:r>
      <w:r>
        <w:rPr>
          <w:rFonts w:ascii="FangSong" w:hAnsi="FangSong" w:eastAsia="FangSong" w:cs="FangSong"/>
          <w:sz w:val="24"/>
          <w:szCs w:val="24"/>
          <w:spacing w:val="13"/>
        </w:rPr>
        <w:t xml:space="preserve"> </w:t>
      </w:r>
      <w:r>
        <w:rPr>
          <w:rFonts w:ascii="FangSong" w:hAnsi="FangSong" w:eastAsia="FangSong" w:cs="FangSong"/>
          <w:sz w:val="24"/>
          <w:szCs w:val="24"/>
          <w:spacing w:val="-3"/>
        </w:rPr>
        <w:t>外，扒净炉子中残留的炉料，以备用炉缸换下小车上的炉缸，推至就位联结炉体准备下一个炉</w:t>
      </w:r>
      <w:r>
        <w:rPr>
          <w:rFonts w:ascii="FangSong" w:hAnsi="FangSong" w:eastAsia="FangSong" w:cs="FangSong"/>
          <w:sz w:val="24"/>
          <w:szCs w:val="24"/>
          <w:spacing w:val="10"/>
        </w:rPr>
        <w:t xml:space="preserve"> </w:t>
      </w:r>
      <w:r>
        <w:rPr>
          <w:rFonts w:ascii="FangSong" w:hAnsi="FangSong" w:eastAsia="FangSong" w:cs="FangSong"/>
          <w:sz w:val="24"/>
          <w:szCs w:val="24"/>
          <w:spacing w:val="-4"/>
        </w:rPr>
        <w:t>期开炉。</w:t>
      </w:r>
    </w:p>
    <w:p>
      <w:pPr>
        <w:spacing w:line="360" w:lineRule="auto"/>
        <w:sectPr>
          <w:footerReference w:type="default" r:id="rId61"/>
          <w:pgSz w:w="11906" w:h="16839"/>
          <w:pgMar w:top="1139" w:right="996" w:bottom="1252" w:left="1080" w:header="831" w:footer="1090" w:gutter="0"/>
        </w:sectPr>
        <w:rPr>
          <w:rFonts w:ascii="FangSong" w:hAnsi="FangSong" w:eastAsia="FangSong" w:cs="FangSong"/>
          <w:sz w:val="24"/>
          <w:szCs w:val="24"/>
        </w:rPr>
      </w:pPr>
    </w:p>
    <w:p>
      <w:pPr>
        <w:spacing w:line="333" w:lineRule="auto"/>
        <w:rPr>
          <w:rFonts w:ascii="Arial"/>
          <w:sz w:val="21"/>
        </w:rPr>
      </w:pPr>
      <w:r/>
    </w:p>
    <w:p>
      <w:pPr>
        <w:pStyle w:val="BodyText"/>
        <w:ind w:left="16" w:right="65" w:firstLine="485"/>
        <w:spacing w:before="78" w:line="360" w:lineRule="auto"/>
        <w:rPr>
          <w:rFonts w:ascii="FangSong" w:hAnsi="FangSong" w:eastAsia="FangSong" w:cs="FangSong"/>
          <w:sz w:val="24"/>
          <w:szCs w:val="24"/>
        </w:rPr>
      </w:pPr>
      <w:r>
        <w:rPr>
          <w:rFonts w:ascii="FangSong" w:hAnsi="FangSong" w:eastAsia="FangSong" w:cs="FangSong"/>
          <w:sz w:val="24"/>
          <w:szCs w:val="24"/>
          <w:spacing w:val="-1"/>
        </w:rPr>
        <w:t>竖炉炉身下部安装有风嘴，俗称</w:t>
      </w:r>
      <w:r>
        <w:rPr>
          <w:sz w:val="24"/>
          <w:szCs w:val="24"/>
          <w:spacing w:val="-1"/>
        </w:rPr>
        <w:t>Y</w:t>
      </w:r>
      <w:r>
        <w:rPr>
          <w:rFonts w:ascii="FangSong" w:hAnsi="FangSong" w:eastAsia="FangSong" w:cs="FangSong"/>
          <w:sz w:val="24"/>
          <w:szCs w:val="24"/>
          <w:spacing w:val="-1"/>
        </w:rPr>
        <w:t>型管，每个风嘴连通风环形</w:t>
      </w:r>
      <w:r>
        <w:rPr>
          <w:rFonts w:ascii="FangSong" w:hAnsi="FangSong" w:eastAsia="FangSong" w:cs="FangSong"/>
          <w:sz w:val="24"/>
          <w:szCs w:val="24"/>
          <w:spacing w:val="-2"/>
        </w:rPr>
        <w:t>管，以便向风嘴均匀送风。</w:t>
      </w:r>
      <w:r>
        <w:rPr>
          <w:rFonts w:ascii="FangSong" w:hAnsi="FangSong" w:eastAsia="FangSong" w:cs="FangSong"/>
          <w:sz w:val="24"/>
          <w:szCs w:val="24"/>
        </w:rPr>
        <w:t xml:space="preserve"> </w:t>
      </w:r>
      <w:r>
        <w:rPr>
          <w:rFonts w:ascii="FangSong" w:hAnsi="FangSong" w:eastAsia="FangSong" w:cs="FangSong"/>
          <w:sz w:val="24"/>
          <w:szCs w:val="24"/>
        </w:rPr>
        <w:t>炉顶上部有排烟管，有组织排放熔炼烟气。竖炉熔炼</w:t>
      </w:r>
      <w:r>
        <w:rPr>
          <w:rFonts w:ascii="FangSong" w:hAnsi="FangSong" w:eastAsia="FangSong" w:cs="FangSong"/>
          <w:sz w:val="24"/>
          <w:szCs w:val="24"/>
          <w:spacing w:val="-1"/>
        </w:rPr>
        <w:t>排出的烟气（</w:t>
      </w:r>
      <w:r>
        <w:rPr>
          <w:sz w:val="24"/>
          <w:szCs w:val="24"/>
          <w:spacing w:val="-1"/>
        </w:rPr>
        <w:t>500℃</w:t>
      </w:r>
      <w:r>
        <w:rPr>
          <w:rFonts w:ascii="FangSong" w:hAnsi="FangSong" w:eastAsia="FangSong" w:cs="FangSong"/>
          <w:sz w:val="24"/>
          <w:szCs w:val="24"/>
          <w:spacing w:val="-1"/>
        </w:rPr>
        <w:t>左右）经人字水冷烟</w:t>
      </w:r>
      <w:r>
        <w:rPr>
          <w:rFonts w:ascii="FangSong" w:hAnsi="FangSong" w:eastAsia="FangSong" w:cs="FangSong"/>
          <w:sz w:val="24"/>
          <w:szCs w:val="24"/>
        </w:rPr>
        <w:t xml:space="preserve"> </w:t>
      </w:r>
      <w:r>
        <w:rPr>
          <w:rFonts w:ascii="FangSong" w:hAnsi="FangSong" w:eastAsia="FangSong" w:cs="FangSong"/>
          <w:sz w:val="24"/>
          <w:szCs w:val="24"/>
          <w:spacing w:val="-3"/>
        </w:rPr>
        <w:t>道和表冷器降温，进入布袋除尘器除尘。烟气中所带颗粒物大部分在人字烟道与表冷器中沉降</w:t>
      </w:r>
      <w:r>
        <w:rPr>
          <w:rFonts w:ascii="FangSong" w:hAnsi="FangSong" w:eastAsia="FangSong" w:cs="FangSong"/>
          <w:sz w:val="24"/>
          <w:szCs w:val="24"/>
          <w:spacing w:val="11"/>
        </w:rPr>
        <w:t xml:space="preserve"> </w:t>
      </w:r>
      <w:r>
        <w:rPr>
          <w:rFonts w:ascii="FangSong" w:hAnsi="FangSong" w:eastAsia="FangSong" w:cs="FangSong"/>
          <w:sz w:val="24"/>
          <w:szCs w:val="24"/>
          <w:spacing w:val="-3"/>
        </w:rPr>
        <w:t>下来，较细小的颗粒在除尘器中被滤出。除尘后的烟气经引风机，进入厂区烟气总管进行集中</w:t>
      </w:r>
      <w:r>
        <w:rPr>
          <w:rFonts w:ascii="FangSong" w:hAnsi="FangSong" w:eastAsia="FangSong" w:cs="FangSong"/>
          <w:sz w:val="24"/>
          <w:szCs w:val="24"/>
          <w:spacing w:val="9"/>
        </w:rPr>
        <w:t xml:space="preserve"> </w:t>
      </w:r>
      <w:r>
        <w:rPr>
          <w:rFonts w:ascii="FangSong" w:hAnsi="FangSong" w:eastAsia="FangSong" w:cs="FangSong"/>
          <w:sz w:val="24"/>
          <w:szCs w:val="24"/>
          <w:spacing w:val="-6"/>
        </w:rPr>
        <w:t>处理。</w:t>
      </w:r>
    </w:p>
    <w:p>
      <w:pPr>
        <w:pStyle w:val="BodyText"/>
        <w:ind w:left="15" w:firstLine="487"/>
        <w:spacing w:before="10" w:line="359" w:lineRule="auto"/>
        <w:jc w:val="both"/>
        <w:rPr>
          <w:rFonts w:ascii="FangSong" w:hAnsi="FangSong" w:eastAsia="FangSong" w:cs="FangSong"/>
          <w:sz w:val="24"/>
          <w:szCs w:val="24"/>
        </w:rPr>
      </w:pPr>
      <w:r>
        <w:rPr>
          <w:rFonts w:ascii="FangSong" w:hAnsi="FangSong" w:eastAsia="FangSong" w:cs="FangSong"/>
          <w:sz w:val="24"/>
          <w:szCs w:val="24"/>
          <w:spacing w:val="-5"/>
        </w:rPr>
        <w:t>竖炉出料</w:t>
      </w:r>
      <w:r>
        <w:rPr>
          <w:rFonts w:ascii="FangSong" w:hAnsi="FangSong" w:eastAsia="FangSong" w:cs="FangSong"/>
          <w:sz w:val="24"/>
          <w:szCs w:val="24"/>
          <w:spacing w:val="-43"/>
        </w:rPr>
        <w:t xml:space="preserve"> </w:t>
      </w:r>
      <w:r>
        <w:rPr>
          <w:rFonts w:ascii="FangSong" w:hAnsi="FangSong" w:eastAsia="FangSong" w:cs="FangSong"/>
          <w:sz w:val="24"/>
          <w:szCs w:val="24"/>
          <w:spacing w:val="-5"/>
        </w:rPr>
        <w:t>口、出渣口配备通风设施（集气罩）捕集无组织废气，通过单炉引风机，经过布</w:t>
      </w:r>
      <w:r>
        <w:rPr>
          <w:rFonts w:ascii="FangSong" w:hAnsi="FangSong" w:eastAsia="FangSong" w:cs="FangSong"/>
          <w:sz w:val="24"/>
          <w:szCs w:val="24"/>
        </w:rPr>
        <w:t xml:space="preserve"> </w:t>
      </w:r>
      <w:r>
        <w:rPr>
          <w:rFonts w:ascii="FangSong" w:hAnsi="FangSong" w:eastAsia="FangSong" w:cs="FangSong"/>
          <w:sz w:val="24"/>
          <w:szCs w:val="24"/>
          <w:spacing w:val="-1"/>
        </w:rPr>
        <w:t>袋除尘处理后</w:t>
      </w:r>
      <w:r>
        <w:rPr>
          <w:sz w:val="24"/>
          <w:szCs w:val="24"/>
          <w:spacing w:val="-1"/>
        </w:rPr>
        <w:t>15m</w:t>
      </w:r>
      <w:r>
        <w:rPr>
          <w:rFonts w:ascii="FangSong" w:hAnsi="FangSong" w:eastAsia="FangSong" w:cs="FangSong"/>
          <w:sz w:val="24"/>
          <w:szCs w:val="24"/>
          <w:spacing w:val="-1"/>
        </w:rPr>
        <w:t>高空排放。企业竖炉熔炼得到的黑铜或冰</w:t>
      </w:r>
      <w:r>
        <w:rPr>
          <w:rFonts w:ascii="FangSong" w:hAnsi="FangSong" w:eastAsia="FangSong" w:cs="FangSong"/>
          <w:sz w:val="24"/>
          <w:szCs w:val="24"/>
          <w:spacing w:val="-2"/>
        </w:rPr>
        <w:t>铜直接外售；炉渣自然风冷后贮存</w:t>
      </w:r>
      <w:r>
        <w:rPr>
          <w:rFonts w:ascii="FangSong" w:hAnsi="FangSong" w:eastAsia="FangSong" w:cs="FangSong"/>
          <w:sz w:val="24"/>
          <w:szCs w:val="24"/>
        </w:rPr>
        <w:t xml:space="preserve"> </w:t>
      </w:r>
      <w:r>
        <w:rPr>
          <w:rFonts w:ascii="FangSong" w:hAnsi="FangSong" w:eastAsia="FangSong" w:cs="FangSong"/>
          <w:sz w:val="24"/>
          <w:szCs w:val="24"/>
        </w:rPr>
        <w:t>于专用仓库，通过危险废物鉴别前要求按照危险废物进</w:t>
      </w:r>
      <w:r>
        <w:rPr>
          <w:rFonts w:ascii="FangSong" w:hAnsi="FangSong" w:eastAsia="FangSong" w:cs="FangSong"/>
          <w:sz w:val="24"/>
          <w:szCs w:val="24"/>
          <w:spacing w:val="-1"/>
        </w:rPr>
        <w:t>行管理，通过鉴别后铜品位低于</w:t>
      </w:r>
      <w:r>
        <w:rPr>
          <w:sz w:val="24"/>
          <w:szCs w:val="24"/>
          <w:spacing w:val="-1"/>
        </w:rPr>
        <w:t>1%</w:t>
      </w:r>
      <w:r>
        <w:rPr>
          <w:rFonts w:ascii="FangSong" w:hAnsi="FangSong" w:eastAsia="FangSong" w:cs="FangSong"/>
          <w:sz w:val="24"/>
          <w:szCs w:val="24"/>
          <w:spacing w:val="-1"/>
        </w:rPr>
        <w:t>的</w:t>
      </w:r>
      <w:r>
        <w:rPr>
          <w:rFonts w:ascii="FangSong" w:hAnsi="FangSong" w:eastAsia="FangSong" w:cs="FangSong"/>
          <w:sz w:val="24"/>
          <w:szCs w:val="24"/>
        </w:rPr>
        <w:t xml:space="preserve">  </w:t>
      </w:r>
      <w:r>
        <w:rPr>
          <w:rFonts w:ascii="FangSong" w:hAnsi="FangSong" w:eastAsia="FangSong" w:cs="FangSong"/>
          <w:sz w:val="24"/>
          <w:szCs w:val="24"/>
        </w:rPr>
        <w:t>外售给建材企业，铜品位高于</w:t>
      </w:r>
      <w:r>
        <w:rPr>
          <w:sz w:val="24"/>
          <w:szCs w:val="24"/>
        </w:rPr>
        <w:t>1%</w:t>
      </w:r>
      <w:r>
        <w:rPr>
          <w:rFonts w:ascii="FangSong" w:hAnsi="FangSong" w:eastAsia="FangSong" w:cs="FangSong"/>
          <w:sz w:val="24"/>
          <w:szCs w:val="24"/>
        </w:rPr>
        <w:t>的进入铜渣选矿车间</w:t>
      </w:r>
      <w:r>
        <w:rPr>
          <w:rFonts w:ascii="FangSong" w:hAnsi="FangSong" w:eastAsia="FangSong" w:cs="FangSong"/>
          <w:sz w:val="24"/>
          <w:szCs w:val="24"/>
          <w:spacing w:val="-1"/>
        </w:rPr>
        <w:t>进行矿选，矿选后产生的尾矿外售给建</w:t>
      </w:r>
      <w:r>
        <w:rPr>
          <w:rFonts w:ascii="FangSong" w:hAnsi="FangSong" w:eastAsia="FangSong" w:cs="FangSong"/>
          <w:sz w:val="24"/>
          <w:szCs w:val="24"/>
        </w:rPr>
        <w:t xml:space="preserve">  </w:t>
      </w:r>
      <w:r>
        <w:rPr>
          <w:rFonts w:ascii="FangSong" w:hAnsi="FangSong" w:eastAsia="FangSong" w:cs="FangSong"/>
          <w:sz w:val="24"/>
          <w:szCs w:val="24"/>
          <w:spacing w:val="-3"/>
        </w:rPr>
        <w:t>材企业，精矿返回原料仓库作为竖炉生产的原料；镍铁合金和铬铁合金初料进入电弧炉或者中</w:t>
      </w:r>
      <w:r>
        <w:rPr>
          <w:rFonts w:ascii="FangSong" w:hAnsi="FangSong" w:eastAsia="FangSong" w:cs="FangSong"/>
          <w:sz w:val="24"/>
          <w:szCs w:val="24"/>
          <w:spacing w:val="13"/>
        </w:rPr>
        <w:t xml:space="preserve"> </w:t>
      </w:r>
      <w:r>
        <w:rPr>
          <w:rFonts w:ascii="FangSong" w:hAnsi="FangSong" w:eastAsia="FangSong" w:cs="FangSong"/>
          <w:sz w:val="24"/>
          <w:szCs w:val="24"/>
          <w:spacing w:val="-3"/>
        </w:rPr>
        <w:t>频炉进一步熔炼生产。脱硫液进入硫酸镁回收系统回收硫酸镁，不外排。硫酸镁回收系统包括</w:t>
      </w:r>
      <w:r>
        <w:rPr>
          <w:rFonts w:ascii="FangSong" w:hAnsi="FangSong" w:eastAsia="FangSong" w:cs="FangSong"/>
          <w:sz w:val="24"/>
          <w:szCs w:val="24"/>
          <w:spacing w:val="13"/>
        </w:rPr>
        <w:t xml:space="preserve"> </w:t>
      </w:r>
      <w:r>
        <w:rPr>
          <w:rFonts w:ascii="FangSong" w:hAnsi="FangSong" w:eastAsia="FangSong" w:cs="FangSong"/>
          <w:sz w:val="24"/>
          <w:szCs w:val="24"/>
          <w:spacing w:val="-4"/>
        </w:rPr>
        <w:t>预处理系统和</w:t>
      </w:r>
      <w:r>
        <w:rPr>
          <w:sz w:val="24"/>
          <w:szCs w:val="24"/>
          <w:spacing w:val="-4"/>
        </w:rPr>
        <w:t>MVR</w:t>
      </w:r>
      <w:r>
        <w:rPr>
          <w:rFonts w:ascii="FangSong" w:hAnsi="FangSong" w:eastAsia="FangSong" w:cs="FangSong"/>
          <w:sz w:val="24"/>
          <w:szCs w:val="24"/>
          <w:spacing w:val="-4"/>
        </w:rPr>
        <w:t>蒸发结晶系统，脱硫液经预处理后再经</w:t>
      </w:r>
      <w:r>
        <w:rPr>
          <w:sz w:val="24"/>
          <w:szCs w:val="24"/>
          <w:spacing w:val="-4"/>
        </w:rPr>
        <w:t>MVR</w:t>
      </w:r>
      <w:r>
        <w:rPr>
          <w:rFonts w:ascii="FangSong" w:hAnsi="FangSong" w:eastAsia="FangSong" w:cs="FangSong"/>
          <w:sz w:val="24"/>
          <w:szCs w:val="24"/>
          <w:spacing w:val="-4"/>
        </w:rPr>
        <w:t>蒸发浓缩结晶获得</w:t>
      </w:r>
      <w:r>
        <w:rPr>
          <w:rFonts w:ascii="FangSong" w:hAnsi="FangSong" w:eastAsia="FangSong" w:cs="FangSong"/>
          <w:sz w:val="24"/>
          <w:szCs w:val="24"/>
          <w:spacing w:val="-5"/>
        </w:rPr>
        <w:t>副产硫酸镁，</w:t>
      </w:r>
      <w:r>
        <w:rPr>
          <w:rFonts w:ascii="FangSong" w:hAnsi="FangSong" w:eastAsia="FangSong" w:cs="FangSong"/>
          <w:sz w:val="24"/>
          <w:szCs w:val="24"/>
        </w:rPr>
        <w:t xml:space="preserve"> </w:t>
      </w:r>
      <w:r>
        <w:rPr>
          <w:rFonts w:ascii="FangSong" w:hAnsi="FangSong" w:eastAsia="FangSong" w:cs="FangSong"/>
          <w:sz w:val="24"/>
          <w:szCs w:val="24"/>
          <w:spacing w:val="-1"/>
        </w:rPr>
        <w:t>蒸发冷凝水（即蒸馏水）作为冷却循环和（氧化镁脱硫系统的）补充水。</w:t>
      </w:r>
    </w:p>
    <w:p>
      <w:pPr>
        <w:pStyle w:val="BodyText"/>
        <w:ind w:left="500"/>
        <w:spacing w:line="222" w:lineRule="auto"/>
        <w:rPr>
          <w:rFonts w:ascii="FangSong" w:hAnsi="FangSong" w:eastAsia="FangSong" w:cs="FangSong"/>
          <w:sz w:val="24"/>
          <w:szCs w:val="24"/>
        </w:rPr>
      </w:pPr>
      <w:r>
        <w:rPr>
          <w:rFonts w:ascii="FangSong" w:hAnsi="FangSong" w:eastAsia="FangSong" w:cs="FangSong"/>
          <w:sz w:val="24"/>
          <w:szCs w:val="24"/>
          <w:spacing w:val="-3"/>
        </w:rPr>
        <w:t>（</w:t>
      </w:r>
      <w:r>
        <w:rPr>
          <w:sz w:val="24"/>
          <w:szCs w:val="24"/>
          <w:spacing w:val="-3"/>
        </w:rPr>
        <w:t>4</w:t>
      </w:r>
      <w:r>
        <w:rPr>
          <w:rFonts w:ascii="FangSong" w:hAnsi="FangSong" w:eastAsia="FangSong" w:cs="FangSong"/>
          <w:sz w:val="24"/>
          <w:szCs w:val="24"/>
          <w:spacing w:val="-3"/>
        </w:rPr>
        <w:t>）电弧炉熔炼</w:t>
      </w:r>
    </w:p>
    <w:p>
      <w:pPr>
        <w:ind w:left="496"/>
        <w:spacing w:before="178" w:line="222" w:lineRule="auto"/>
        <w:rPr>
          <w:rFonts w:ascii="FangSong" w:hAnsi="FangSong" w:eastAsia="FangSong" w:cs="FangSong"/>
          <w:sz w:val="24"/>
          <w:szCs w:val="24"/>
        </w:rPr>
      </w:pPr>
      <w:r>
        <w:rPr>
          <w:rFonts w:ascii="FangSong" w:hAnsi="FangSong" w:eastAsia="FangSong" w:cs="FangSong"/>
          <w:sz w:val="24"/>
          <w:szCs w:val="24"/>
          <w:spacing w:val="-1"/>
        </w:rPr>
        <w:t>本项目电弧炉主要用于重熔冶炼铸造磨球产品，相关的工艺流程如下所示。</w:t>
      </w:r>
    </w:p>
    <w:p>
      <w:pPr>
        <w:pStyle w:val="BodyText"/>
        <w:ind w:left="17" w:right="192" w:firstLine="470"/>
        <w:spacing w:before="180" w:line="290" w:lineRule="auto"/>
        <w:rPr>
          <w:rFonts w:ascii="FangSong" w:hAnsi="FangSong" w:eastAsia="FangSong" w:cs="FangSong"/>
          <w:sz w:val="24"/>
          <w:szCs w:val="24"/>
        </w:rPr>
      </w:pPr>
      <w:r>
        <w:rPr>
          <w:rFonts w:ascii="SimSun" w:hAnsi="SimSun" w:eastAsia="SimSun" w:cs="SimSun"/>
          <w:sz w:val="24"/>
          <w:szCs w:val="24"/>
        </w:rPr>
        <w:t>①</w:t>
      </w:r>
      <w:r>
        <w:rPr>
          <w:rFonts w:ascii="FangSong" w:hAnsi="FangSong" w:eastAsia="FangSong" w:cs="FangSong"/>
          <w:sz w:val="24"/>
          <w:szCs w:val="24"/>
        </w:rPr>
        <w:t>将铬铁合金初料、废钢等相关原料进行组合，按照大、中、小料</w:t>
      </w:r>
      <w:r>
        <w:rPr>
          <w:rFonts w:ascii="FangSong" w:hAnsi="FangSong" w:eastAsia="FangSong" w:cs="FangSong"/>
          <w:sz w:val="24"/>
          <w:szCs w:val="24"/>
          <w:spacing w:val="-1"/>
        </w:rPr>
        <w:t>搭配使用，大料</w:t>
      </w:r>
      <w:r>
        <w:rPr>
          <w:sz w:val="24"/>
          <w:szCs w:val="24"/>
          <w:spacing w:val="-1"/>
        </w:rPr>
        <w:t>20%,</w:t>
      </w:r>
      <w:r>
        <w:rPr>
          <w:sz w:val="24"/>
          <w:szCs w:val="24"/>
        </w:rPr>
        <w:t xml:space="preserve"> </w:t>
      </w:r>
      <w:r>
        <w:rPr>
          <w:rFonts w:ascii="FangSong" w:hAnsi="FangSong" w:eastAsia="FangSong" w:cs="FangSong"/>
          <w:sz w:val="24"/>
          <w:szCs w:val="24"/>
          <w:spacing w:val="-3"/>
        </w:rPr>
        <w:t>其余平均分布。</w:t>
      </w:r>
    </w:p>
    <w:p>
      <w:pPr>
        <w:pStyle w:val="BodyText"/>
        <w:ind w:left="487"/>
        <w:spacing w:before="182" w:line="219" w:lineRule="auto"/>
        <w:rPr>
          <w:rFonts w:ascii="FangSong" w:hAnsi="FangSong" w:eastAsia="FangSong" w:cs="FangSong"/>
          <w:sz w:val="24"/>
          <w:szCs w:val="24"/>
        </w:rPr>
      </w:pPr>
      <w:r>
        <w:rPr>
          <w:rFonts w:ascii="SimSun" w:hAnsi="SimSun" w:eastAsia="SimSun" w:cs="SimSun"/>
          <w:sz w:val="24"/>
          <w:szCs w:val="24"/>
        </w:rPr>
        <w:t>②</w:t>
      </w:r>
      <w:r>
        <w:rPr>
          <w:rFonts w:ascii="FangSong" w:hAnsi="FangSong" w:eastAsia="FangSong" w:cs="FangSong"/>
          <w:sz w:val="24"/>
          <w:szCs w:val="24"/>
        </w:rPr>
        <w:t>按照小</w:t>
      </w:r>
      <w:r>
        <w:rPr>
          <w:sz w:val="24"/>
          <w:szCs w:val="24"/>
        </w:rPr>
        <w:t>—</w:t>
      </w:r>
      <w:r>
        <w:rPr>
          <w:rFonts w:ascii="FangSong" w:hAnsi="FangSong" w:eastAsia="FangSong" w:cs="FangSong"/>
          <w:sz w:val="24"/>
          <w:szCs w:val="24"/>
        </w:rPr>
        <w:t>大一中一小的分布方式进行装料，较大物</w:t>
      </w:r>
      <w:r>
        <w:rPr>
          <w:rFonts w:ascii="FangSong" w:hAnsi="FangSong" w:eastAsia="FangSong" w:cs="FangSong"/>
          <w:sz w:val="24"/>
          <w:szCs w:val="24"/>
          <w:spacing w:val="-1"/>
        </w:rPr>
        <w:t>料分布在高温区域。</w:t>
      </w:r>
    </w:p>
    <w:p>
      <w:pPr>
        <w:pStyle w:val="BodyText"/>
        <w:ind w:left="16" w:right="65" w:firstLine="470"/>
        <w:spacing w:before="182" w:line="290" w:lineRule="auto"/>
        <w:rPr>
          <w:rFonts w:ascii="FangSong" w:hAnsi="FangSong" w:eastAsia="FangSong" w:cs="FangSong"/>
          <w:sz w:val="24"/>
          <w:szCs w:val="24"/>
        </w:rPr>
      </w:pPr>
      <w:r>
        <w:rPr>
          <w:rFonts w:ascii="SimSun" w:hAnsi="SimSun" w:eastAsia="SimSun" w:cs="SimSun"/>
          <w:sz w:val="24"/>
          <w:szCs w:val="24"/>
          <w:spacing w:val="-2"/>
        </w:rPr>
        <w:t>③</w:t>
      </w:r>
      <w:r>
        <w:rPr>
          <w:rFonts w:ascii="FangSong" w:hAnsi="FangSong" w:eastAsia="FangSong" w:cs="FangSong"/>
          <w:sz w:val="24"/>
          <w:szCs w:val="24"/>
          <w:spacing w:val="-2"/>
        </w:rPr>
        <w:t>物料投加完毕后开始送电升温，熔池形成后熔至</w:t>
      </w:r>
      <w:r>
        <w:rPr>
          <w:sz w:val="24"/>
          <w:szCs w:val="24"/>
          <w:spacing w:val="-2"/>
        </w:rPr>
        <w:t>80%</w:t>
      </w:r>
      <w:r>
        <w:rPr>
          <w:rFonts w:ascii="FangSong" w:hAnsi="FangSong" w:eastAsia="FangSong" w:cs="FangSong"/>
          <w:sz w:val="24"/>
          <w:szCs w:val="24"/>
          <w:spacing w:val="-2"/>
        </w:rPr>
        <w:t>左右，可以吹氧助熔精炼，温度控</w:t>
      </w:r>
      <w:r>
        <w:rPr>
          <w:rFonts w:ascii="FangSong" w:hAnsi="FangSong" w:eastAsia="FangSong" w:cs="FangSong"/>
          <w:sz w:val="24"/>
          <w:szCs w:val="24"/>
          <w:spacing w:val="18"/>
        </w:rPr>
        <w:t xml:space="preserve"> </w:t>
      </w:r>
      <w:r>
        <w:rPr>
          <w:rFonts w:ascii="FangSong" w:hAnsi="FangSong" w:eastAsia="FangSong" w:cs="FangSong"/>
          <w:sz w:val="24"/>
          <w:szCs w:val="24"/>
          <w:spacing w:val="-4"/>
        </w:rPr>
        <w:t>制在</w:t>
      </w:r>
      <w:r>
        <w:rPr>
          <w:sz w:val="24"/>
          <w:szCs w:val="24"/>
          <w:spacing w:val="-4"/>
        </w:rPr>
        <w:t>1500~</w:t>
      </w:r>
      <w:r>
        <w:rPr>
          <w:sz w:val="24"/>
          <w:szCs w:val="24"/>
          <w:spacing w:val="-19"/>
        </w:rPr>
        <w:t xml:space="preserve"> </w:t>
      </w:r>
      <w:r>
        <w:rPr>
          <w:sz w:val="24"/>
          <w:szCs w:val="24"/>
          <w:spacing w:val="-4"/>
        </w:rPr>
        <w:t>1650℃</w:t>
      </w:r>
      <w:r>
        <w:rPr>
          <w:rFonts w:ascii="FangSong" w:hAnsi="FangSong" w:eastAsia="FangSong" w:cs="FangSong"/>
          <w:sz w:val="24"/>
          <w:szCs w:val="24"/>
          <w:spacing w:val="-4"/>
        </w:rPr>
        <w:t>之间。</w:t>
      </w:r>
    </w:p>
    <w:p>
      <w:pPr>
        <w:pStyle w:val="BodyText"/>
        <w:ind w:left="16" w:right="182" w:firstLine="470"/>
        <w:spacing w:before="183" w:line="291" w:lineRule="auto"/>
        <w:rPr>
          <w:rFonts w:ascii="FangSong" w:hAnsi="FangSong" w:eastAsia="FangSong" w:cs="FangSong"/>
          <w:sz w:val="24"/>
          <w:szCs w:val="24"/>
        </w:rPr>
      </w:pPr>
      <w:r>
        <w:rPr>
          <w:rFonts w:ascii="SimSun" w:hAnsi="SimSun" w:eastAsia="SimSun" w:cs="SimSun"/>
          <w:sz w:val="24"/>
          <w:szCs w:val="24"/>
        </w:rPr>
        <w:t>④</w:t>
      </w:r>
      <w:r>
        <w:rPr>
          <w:rFonts w:ascii="FangSong" w:hAnsi="FangSong" w:eastAsia="FangSong" w:cs="FangSong"/>
          <w:sz w:val="24"/>
          <w:szCs w:val="24"/>
        </w:rPr>
        <w:t>根据渣量情况，投加造渣剂，当炉内</w:t>
      </w:r>
      <w:r>
        <w:rPr>
          <w:sz w:val="24"/>
          <w:szCs w:val="24"/>
        </w:rPr>
        <w:t>P</w:t>
      </w:r>
      <w:r>
        <w:rPr>
          <w:rFonts w:ascii="FangSong" w:hAnsi="FangSong" w:eastAsia="FangSong" w:cs="FangSong"/>
          <w:sz w:val="24"/>
          <w:szCs w:val="24"/>
        </w:rPr>
        <w:t>满足产品要求，且温度高于出料</w:t>
      </w:r>
      <w:r>
        <w:rPr>
          <w:rFonts w:ascii="FangSong" w:hAnsi="FangSong" w:eastAsia="FangSong" w:cs="FangSong"/>
          <w:sz w:val="24"/>
          <w:szCs w:val="24"/>
          <w:spacing w:val="-1"/>
        </w:rPr>
        <w:t>温度</w:t>
      </w:r>
      <w:r>
        <w:rPr>
          <w:sz w:val="24"/>
          <w:szCs w:val="24"/>
          <w:spacing w:val="-1"/>
        </w:rPr>
        <w:t>30~40℃</w:t>
      </w:r>
      <w:r>
        <w:rPr>
          <w:rFonts w:ascii="FangSong" w:hAnsi="FangSong" w:eastAsia="FangSong" w:cs="FangSong"/>
          <w:sz w:val="24"/>
          <w:szCs w:val="24"/>
          <w:spacing w:val="-1"/>
        </w:rPr>
        <w:t>情</w:t>
      </w:r>
      <w:r>
        <w:rPr>
          <w:rFonts w:ascii="FangSong" w:hAnsi="FangSong" w:eastAsia="FangSong" w:cs="FangSong"/>
          <w:sz w:val="24"/>
          <w:szCs w:val="24"/>
        </w:rPr>
        <w:t xml:space="preserve"> </w:t>
      </w:r>
      <w:r>
        <w:rPr>
          <w:rFonts w:ascii="FangSong" w:hAnsi="FangSong" w:eastAsia="FangSong" w:cs="FangSong"/>
          <w:sz w:val="24"/>
          <w:szCs w:val="24"/>
          <w:spacing w:val="-2"/>
        </w:rPr>
        <w:t>况下可以拨出氧化渣。</w:t>
      </w:r>
    </w:p>
    <w:p>
      <w:pPr>
        <w:ind w:left="15" w:right="65" w:firstLine="471"/>
        <w:spacing w:before="180" w:line="313" w:lineRule="auto"/>
        <w:rPr>
          <w:rFonts w:ascii="FangSong" w:hAnsi="FangSong" w:eastAsia="FangSong" w:cs="FangSong"/>
          <w:sz w:val="24"/>
          <w:szCs w:val="24"/>
        </w:rPr>
      </w:pPr>
      <w:r>
        <w:rPr>
          <w:rFonts w:ascii="SimSun" w:hAnsi="SimSun" w:eastAsia="SimSun" w:cs="SimSun"/>
          <w:sz w:val="24"/>
          <w:szCs w:val="24"/>
          <w:spacing w:val="-3"/>
        </w:rPr>
        <w:t>⑤</w:t>
      </w:r>
      <w:r>
        <w:rPr>
          <w:rFonts w:ascii="FangSong" w:hAnsi="FangSong" w:eastAsia="FangSong" w:cs="FangSong"/>
          <w:sz w:val="24"/>
          <w:szCs w:val="24"/>
          <w:spacing w:val="-3"/>
        </w:rPr>
        <w:t>拨出氧化渣后，加入硅铁粉、石墨粉等混合还原剂进行脱氧，保持炉内还原气氛，拨出</w:t>
      </w:r>
      <w:r>
        <w:rPr>
          <w:rFonts w:ascii="FangSong" w:hAnsi="FangSong" w:eastAsia="FangSong" w:cs="FangSong"/>
          <w:sz w:val="24"/>
          <w:szCs w:val="24"/>
          <w:spacing w:val="14"/>
        </w:rPr>
        <w:t xml:space="preserve"> </w:t>
      </w:r>
      <w:r>
        <w:rPr>
          <w:rFonts w:ascii="FangSong" w:hAnsi="FangSong" w:eastAsia="FangSong" w:cs="FangSong"/>
          <w:sz w:val="24"/>
          <w:szCs w:val="24"/>
          <w:spacing w:val="-3"/>
        </w:rPr>
        <w:t>还原渣后，炉内料水达到出料温度即可出料。</w:t>
      </w:r>
      <w:r>
        <w:rPr>
          <w:rFonts w:ascii="SimSun" w:hAnsi="SimSun" w:eastAsia="SimSun" w:cs="SimSun"/>
          <w:sz w:val="24"/>
          <w:szCs w:val="24"/>
          <w:spacing w:val="-3"/>
        </w:rPr>
        <w:t>⑥</w:t>
      </w:r>
      <w:r>
        <w:rPr>
          <w:rFonts w:ascii="FangSong" w:hAnsi="FangSong" w:eastAsia="FangSong" w:cs="FangSong"/>
          <w:sz w:val="24"/>
          <w:szCs w:val="24"/>
          <w:spacing w:val="-3"/>
        </w:rPr>
        <w:t>出炉浇注过程中炉内熔液逐渐减少，应逐步调</w:t>
      </w:r>
      <w:r>
        <w:rPr>
          <w:rFonts w:ascii="FangSong" w:hAnsi="FangSong" w:eastAsia="FangSong" w:cs="FangSong"/>
          <w:sz w:val="24"/>
          <w:szCs w:val="24"/>
          <w:spacing w:val="12"/>
        </w:rPr>
        <w:t xml:space="preserve"> </w:t>
      </w:r>
      <w:r>
        <w:rPr>
          <w:rFonts w:ascii="FangSong" w:hAnsi="FangSong" w:eastAsia="FangSong" w:cs="FangSong"/>
          <w:sz w:val="24"/>
          <w:szCs w:val="24"/>
          <w:spacing w:val="-1"/>
        </w:rPr>
        <w:t>少电源功率，试熔液的浇注度保持相对稳定。</w:t>
      </w:r>
    </w:p>
    <w:p>
      <w:pPr>
        <w:pStyle w:val="BodyText"/>
        <w:ind w:left="500"/>
        <w:spacing w:before="183" w:line="222" w:lineRule="auto"/>
        <w:rPr>
          <w:rFonts w:ascii="FangSong" w:hAnsi="FangSong" w:eastAsia="FangSong" w:cs="FangSong"/>
          <w:sz w:val="24"/>
          <w:szCs w:val="24"/>
        </w:rPr>
      </w:pPr>
      <w:r>
        <w:rPr>
          <w:rFonts w:ascii="FangSong" w:hAnsi="FangSong" w:eastAsia="FangSong" w:cs="FangSong"/>
          <w:sz w:val="24"/>
          <w:szCs w:val="24"/>
          <w:spacing w:val="-3"/>
        </w:rPr>
        <w:t>（</w:t>
      </w:r>
      <w:r>
        <w:rPr>
          <w:sz w:val="24"/>
          <w:szCs w:val="24"/>
          <w:spacing w:val="-3"/>
        </w:rPr>
        <w:t>5</w:t>
      </w:r>
      <w:r>
        <w:rPr>
          <w:rFonts w:ascii="FangSong" w:hAnsi="FangSong" w:eastAsia="FangSong" w:cs="FangSong"/>
          <w:sz w:val="24"/>
          <w:szCs w:val="24"/>
          <w:spacing w:val="-3"/>
        </w:rPr>
        <w:t>）中频炉熔炼</w:t>
      </w:r>
    </w:p>
    <w:p>
      <w:pPr>
        <w:ind w:left="496"/>
        <w:spacing w:before="179" w:line="222" w:lineRule="auto"/>
        <w:rPr>
          <w:rFonts w:ascii="FangSong" w:hAnsi="FangSong" w:eastAsia="FangSong" w:cs="FangSong"/>
          <w:sz w:val="24"/>
          <w:szCs w:val="24"/>
        </w:rPr>
      </w:pPr>
      <w:r>
        <w:rPr>
          <w:rFonts w:ascii="FangSong" w:hAnsi="FangSong" w:eastAsia="FangSong" w:cs="FangSong"/>
          <w:sz w:val="24"/>
          <w:szCs w:val="24"/>
          <w:spacing w:val="-1"/>
        </w:rPr>
        <w:t>本项目中频炉主要用于重熔冶炼镍铁合金产品，相关的工艺流程如下所示。</w:t>
      </w:r>
    </w:p>
    <w:p>
      <w:pPr>
        <w:ind w:left="15" w:right="65" w:firstLine="472"/>
        <w:spacing w:before="178" w:line="360" w:lineRule="auto"/>
        <w:rPr>
          <w:rFonts w:ascii="FangSong" w:hAnsi="FangSong" w:eastAsia="FangSong" w:cs="FangSong"/>
          <w:sz w:val="24"/>
          <w:szCs w:val="24"/>
        </w:rPr>
      </w:pPr>
      <w:r>
        <w:rPr>
          <w:rFonts w:ascii="SimSun" w:hAnsi="SimSun" w:eastAsia="SimSun" w:cs="SimSun"/>
          <w:sz w:val="24"/>
          <w:szCs w:val="24"/>
          <w:spacing w:val="-3"/>
        </w:rPr>
        <w:t>①</w:t>
      </w:r>
      <w:r>
        <w:rPr>
          <w:rFonts w:ascii="FangSong" w:hAnsi="FangSong" w:eastAsia="FangSong" w:cs="FangSong"/>
          <w:sz w:val="24"/>
          <w:szCs w:val="24"/>
          <w:spacing w:val="-3"/>
        </w:rPr>
        <w:t>装料：首先用石灰石加入炉底造低渣，然后加入镍铁合金初料，通电熔化即可接触造渣</w:t>
      </w:r>
      <w:r>
        <w:rPr>
          <w:rFonts w:ascii="FangSong" w:hAnsi="FangSong" w:eastAsia="FangSong" w:cs="FangSong"/>
          <w:sz w:val="24"/>
          <w:szCs w:val="24"/>
          <w:spacing w:val="13"/>
        </w:rPr>
        <w:t xml:space="preserve"> </w:t>
      </w:r>
      <w:r>
        <w:rPr>
          <w:rFonts w:ascii="FangSong" w:hAnsi="FangSong" w:eastAsia="FangSong" w:cs="FangSong"/>
          <w:sz w:val="24"/>
          <w:szCs w:val="24"/>
        </w:rPr>
        <w:t>剂并覆盖炉液。将细小的炉料垫于炉底，然后将难</w:t>
      </w:r>
      <w:r>
        <w:rPr>
          <w:rFonts w:ascii="FangSong" w:hAnsi="FangSong" w:eastAsia="FangSong" w:cs="FangSong"/>
          <w:sz w:val="24"/>
          <w:szCs w:val="24"/>
          <w:spacing w:val="-1"/>
        </w:rPr>
        <w:t>熔且不易氧化的炉料和金属加在炉底。</w:t>
      </w:r>
    </w:p>
    <w:p>
      <w:pPr>
        <w:spacing w:line="360" w:lineRule="auto"/>
        <w:sectPr>
          <w:headerReference w:type="default" r:id="rId62"/>
          <w:footerReference w:type="default" r:id="rId63"/>
          <w:pgSz w:w="11906" w:h="16839"/>
          <w:pgMar w:top="1139" w:right="1014" w:bottom="1252" w:left="1080" w:header="831" w:footer="1090" w:gutter="0"/>
        </w:sectPr>
        <w:rPr>
          <w:rFonts w:ascii="FangSong" w:hAnsi="FangSong" w:eastAsia="FangSong" w:cs="FangSong"/>
          <w:sz w:val="24"/>
          <w:szCs w:val="24"/>
        </w:rPr>
      </w:pPr>
    </w:p>
    <w:p>
      <w:pPr>
        <w:spacing w:line="334" w:lineRule="auto"/>
        <w:rPr>
          <w:rFonts w:ascii="Arial"/>
          <w:sz w:val="21"/>
        </w:rPr>
      </w:pPr>
      <w:r/>
    </w:p>
    <w:p>
      <w:pPr>
        <w:ind w:left="31" w:firstLine="455"/>
        <w:spacing w:before="78" w:line="290" w:lineRule="auto"/>
        <w:rPr>
          <w:rFonts w:ascii="FangSong" w:hAnsi="FangSong" w:eastAsia="FangSong" w:cs="FangSong"/>
          <w:sz w:val="24"/>
          <w:szCs w:val="24"/>
        </w:rPr>
      </w:pPr>
      <w:r>
        <w:rPr>
          <w:rFonts w:ascii="SimSun" w:hAnsi="SimSun" w:eastAsia="SimSun" w:cs="SimSun"/>
          <w:sz w:val="24"/>
          <w:szCs w:val="24"/>
          <w:spacing w:val="-3"/>
        </w:rPr>
        <w:t>②</w:t>
      </w:r>
      <w:r>
        <w:rPr>
          <w:rFonts w:ascii="FangSong" w:hAnsi="FangSong" w:eastAsia="FangSong" w:cs="FangSong"/>
          <w:sz w:val="24"/>
          <w:szCs w:val="24"/>
          <w:spacing w:val="-3"/>
        </w:rPr>
        <w:t>熔化：当炉料加完毕后即启动电源满功率送电进行升温。在熔化过程中要及时加料。要</w:t>
      </w:r>
      <w:r>
        <w:rPr>
          <w:rFonts w:ascii="FangSong" w:hAnsi="FangSong" w:eastAsia="FangSong" w:cs="FangSong"/>
          <w:sz w:val="24"/>
          <w:szCs w:val="24"/>
          <w:spacing w:val="14"/>
        </w:rPr>
        <w:t xml:space="preserve"> </w:t>
      </w:r>
      <w:r>
        <w:rPr>
          <w:rFonts w:ascii="FangSong" w:hAnsi="FangSong" w:eastAsia="FangSong" w:cs="FangSong"/>
          <w:sz w:val="24"/>
          <w:szCs w:val="24"/>
          <w:spacing w:val="-2"/>
        </w:rPr>
        <w:t>防止因加料不当或不及时推料而形成搭桥事故。</w:t>
      </w:r>
    </w:p>
    <w:p>
      <w:pPr>
        <w:ind w:left="46" w:firstLine="440"/>
        <w:spacing w:before="182" w:line="291" w:lineRule="auto"/>
        <w:rPr>
          <w:rFonts w:ascii="FangSong" w:hAnsi="FangSong" w:eastAsia="FangSong" w:cs="FangSong"/>
          <w:sz w:val="24"/>
          <w:szCs w:val="24"/>
        </w:rPr>
      </w:pPr>
      <w:r>
        <w:rPr>
          <w:rFonts w:ascii="SimSun" w:hAnsi="SimSun" w:eastAsia="SimSun" w:cs="SimSun"/>
          <w:sz w:val="24"/>
          <w:szCs w:val="24"/>
          <w:spacing w:val="-3"/>
        </w:rPr>
        <w:t>③</w:t>
      </w:r>
      <w:r>
        <w:rPr>
          <w:rFonts w:ascii="FangSong" w:hAnsi="FangSong" w:eastAsia="FangSong" w:cs="FangSong"/>
          <w:sz w:val="24"/>
          <w:szCs w:val="24"/>
          <w:spacing w:val="-3"/>
        </w:rPr>
        <w:t>预脱氧：当炉料全部熔化后，应加入脱氧剂硅进行预脱氧：脱氧剂需推开渣面加到熔液</w:t>
      </w:r>
      <w:r>
        <w:rPr>
          <w:rFonts w:ascii="FangSong" w:hAnsi="FangSong" w:eastAsia="FangSong" w:cs="FangSong"/>
          <w:sz w:val="24"/>
          <w:szCs w:val="24"/>
          <w:spacing w:val="14"/>
        </w:rPr>
        <w:t xml:space="preserve"> </w:t>
      </w:r>
      <w:r>
        <w:rPr>
          <w:rFonts w:ascii="FangSong" w:hAnsi="FangSong" w:eastAsia="FangSong" w:cs="FangSong"/>
          <w:sz w:val="24"/>
          <w:szCs w:val="24"/>
          <w:spacing w:val="-24"/>
        </w:rPr>
        <w:t>中。</w:t>
      </w:r>
    </w:p>
    <w:p>
      <w:pPr>
        <w:pStyle w:val="BodyText"/>
        <w:ind w:left="487"/>
        <w:spacing w:before="179" w:line="219" w:lineRule="auto"/>
        <w:rPr>
          <w:rFonts w:ascii="FangSong" w:hAnsi="FangSong" w:eastAsia="FangSong" w:cs="FangSong"/>
          <w:sz w:val="24"/>
          <w:szCs w:val="24"/>
        </w:rPr>
      </w:pPr>
      <w:r>
        <w:rPr>
          <w:rFonts w:ascii="SimSun" w:hAnsi="SimSun" w:eastAsia="SimSun" w:cs="SimSun"/>
          <w:sz w:val="24"/>
          <w:szCs w:val="24"/>
        </w:rPr>
        <w:t>④</w:t>
      </w:r>
      <w:r>
        <w:rPr>
          <w:rFonts w:ascii="FangSong" w:hAnsi="FangSong" w:eastAsia="FangSong" w:cs="FangSong"/>
          <w:sz w:val="24"/>
          <w:szCs w:val="24"/>
        </w:rPr>
        <w:t>精炼：温度控制在</w:t>
      </w:r>
      <w:r>
        <w:rPr>
          <w:sz w:val="24"/>
          <w:szCs w:val="24"/>
        </w:rPr>
        <w:t>1100℃</w:t>
      </w:r>
      <w:r>
        <w:rPr>
          <w:rFonts w:ascii="FangSong" w:hAnsi="FangSong" w:eastAsia="FangSong" w:cs="FangSong"/>
          <w:sz w:val="24"/>
          <w:szCs w:val="24"/>
        </w:rPr>
        <w:t>左右，接近浇</w:t>
      </w:r>
      <w:r>
        <w:rPr>
          <w:rFonts w:ascii="FangSong" w:hAnsi="FangSong" w:eastAsia="FangSong" w:cs="FangSong"/>
          <w:sz w:val="24"/>
          <w:szCs w:val="24"/>
          <w:spacing w:val="-1"/>
        </w:rPr>
        <w:t>注度即可进行终脱氧。</w:t>
      </w:r>
    </w:p>
    <w:p>
      <w:pPr>
        <w:ind w:left="17" w:firstLine="469"/>
        <w:spacing w:before="181" w:line="290" w:lineRule="auto"/>
        <w:rPr>
          <w:rFonts w:ascii="FangSong" w:hAnsi="FangSong" w:eastAsia="FangSong" w:cs="FangSong"/>
          <w:sz w:val="24"/>
          <w:szCs w:val="24"/>
        </w:rPr>
      </w:pPr>
      <w:r>
        <w:rPr>
          <w:rFonts w:ascii="SimSun" w:hAnsi="SimSun" w:eastAsia="SimSun" w:cs="SimSun"/>
          <w:sz w:val="24"/>
          <w:szCs w:val="24"/>
          <w:spacing w:val="-3"/>
        </w:rPr>
        <w:t>⑤</w:t>
      </w:r>
      <w:r>
        <w:rPr>
          <w:rFonts w:ascii="FangSong" w:hAnsi="FangSong" w:eastAsia="FangSong" w:cs="FangSong"/>
          <w:sz w:val="24"/>
          <w:szCs w:val="24"/>
          <w:spacing w:val="-3"/>
        </w:rPr>
        <w:t>除渣：精炼完成后就可初步除渣，反复除渣两次后即可向浇包出熔液。</w:t>
      </w:r>
      <w:r>
        <w:rPr>
          <w:rFonts w:ascii="SimSun" w:hAnsi="SimSun" w:eastAsia="SimSun" w:cs="SimSun"/>
          <w:sz w:val="24"/>
          <w:szCs w:val="24"/>
          <w:spacing w:val="-3"/>
        </w:rPr>
        <w:t>⑥</w:t>
      </w:r>
      <w:r>
        <w:rPr>
          <w:rFonts w:ascii="FangSong" w:hAnsi="FangSong" w:eastAsia="FangSong" w:cs="FangSong"/>
          <w:sz w:val="24"/>
          <w:szCs w:val="24"/>
          <w:spacing w:val="-3"/>
        </w:rPr>
        <w:t>出炉浇注：出</w:t>
      </w:r>
      <w:r>
        <w:rPr>
          <w:rFonts w:ascii="FangSong" w:hAnsi="FangSong" w:eastAsia="FangSong" w:cs="FangSong"/>
          <w:sz w:val="24"/>
          <w:szCs w:val="24"/>
          <w:spacing w:val="14"/>
        </w:rPr>
        <w:t xml:space="preserve"> </w:t>
      </w:r>
      <w:r>
        <w:rPr>
          <w:rFonts w:ascii="FangSong" w:hAnsi="FangSong" w:eastAsia="FangSong" w:cs="FangSong"/>
          <w:sz w:val="24"/>
          <w:szCs w:val="24"/>
        </w:rPr>
        <w:t>炉浇注过程中炉内熔液逐渐减少，应逐步调少</w:t>
      </w:r>
      <w:r>
        <w:rPr>
          <w:rFonts w:ascii="FangSong" w:hAnsi="FangSong" w:eastAsia="FangSong" w:cs="FangSong"/>
          <w:sz w:val="24"/>
          <w:szCs w:val="24"/>
          <w:spacing w:val="-1"/>
        </w:rPr>
        <w:t>电源功率，试熔液的浇注度保持相对稳定。</w:t>
      </w:r>
    </w:p>
    <w:p>
      <w:pPr>
        <w:pStyle w:val="BodyText"/>
        <w:ind w:left="500"/>
        <w:spacing w:before="182" w:line="223" w:lineRule="auto"/>
        <w:rPr>
          <w:rFonts w:ascii="FangSong" w:hAnsi="FangSong" w:eastAsia="FangSong" w:cs="FangSong"/>
          <w:sz w:val="24"/>
          <w:szCs w:val="24"/>
        </w:rPr>
      </w:pPr>
      <w:r>
        <w:rPr>
          <w:rFonts w:ascii="FangSong" w:hAnsi="FangSong" w:eastAsia="FangSong" w:cs="FangSong"/>
          <w:sz w:val="24"/>
          <w:szCs w:val="24"/>
          <w:spacing w:val="-2"/>
        </w:rPr>
        <w:t>（</w:t>
      </w:r>
      <w:r>
        <w:rPr>
          <w:sz w:val="24"/>
          <w:szCs w:val="24"/>
          <w:spacing w:val="-2"/>
        </w:rPr>
        <w:t>6</w:t>
      </w:r>
      <w:r>
        <w:rPr>
          <w:rFonts w:ascii="FangSong" w:hAnsi="FangSong" w:eastAsia="FangSong" w:cs="FangSong"/>
          <w:sz w:val="24"/>
          <w:szCs w:val="24"/>
          <w:spacing w:val="-2"/>
        </w:rPr>
        <w:t>）脱硫液</w:t>
      </w:r>
      <w:r>
        <w:rPr>
          <w:sz w:val="24"/>
          <w:szCs w:val="24"/>
          <w:spacing w:val="-2"/>
        </w:rPr>
        <w:t>MVR</w:t>
      </w:r>
      <w:r>
        <w:rPr>
          <w:rFonts w:ascii="FangSong" w:hAnsi="FangSong" w:eastAsia="FangSong" w:cs="FangSong"/>
          <w:sz w:val="24"/>
          <w:szCs w:val="24"/>
          <w:spacing w:val="-2"/>
        </w:rPr>
        <w:t>蒸发结晶</w:t>
      </w:r>
    </w:p>
    <w:p>
      <w:pPr>
        <w:ind w:left="15" w:firstLine="480"/>
        <w:spacing w:before="178" w:line="360" w:lineRule="auto"/>
        <w:jc w:val="both"/>
        <w:rPr>
          <w:rFonts w:ascii="FangSong" w:hAnsi="FangSong" w:eastAsia="FangSong" w:cs="FangSong"/>
          <w:sz w:val="24"/>
          <w:szCs w:val="24"/>
        </w:rPr>
      </w:pPr>
      <w:r>
        <w:rPr>
          <w:rFonts w:ascii="FangSong" w:hAnsi="FangSong" w:eastAsia="FangSong" w:cs="FangSong"/>
          <w:sz w:val="24"/>
          <w:szCs w:val="24"/>
          <w:spacing w:val="-3"/>
        </w:rPr>
        <w:t>经预处理系统处理的硫酸镁溶液储存在原液罐中，硫酸镁溶液经由进料泵输送至板式预热</w:t>
      </w:r>
      <w:r>
        <w:rPr>
          <w:rFonts w:ascii="FangSong" w:hAnsi="FangSong" w:eastAsia="FangSong" w:cs="FangSong"/>
          <w:sz w:val="24"/>
          <w:szCs w:val="24"/>
          <w:spacing w:val="6"/>
        </w:rPr>
        <w:t xml:space="preserve"> </w:t>
      </w:r>
      <w:r>
        <w:rPr>
          <w:rFonts w:ascii="FangSong" w:hAnsi="FangSong" w:eastAsia="FangSong" w:cs="FangSong"/>
          <w:sz w:val="24"/>
          <w:szCs w:val="24"/>
          <w:spacing w:val="-3"/>
        </w:rPr>
        <w:t>器与蒸馏水和不凝蒸汽预热后，再进入板式蒸发器内进行蒸发浓缩，溶液浓缩后接近饱和，再</w:t>
      </w:r>
      <w:r>
        <w:rPr>
          <w:rFonts w:ascii="FangSong" w:hAnsi="FangSong" w:eastAsia="FangSong" w:cs="FangSong"/>
          <w:sz w:val="24"/>
          <w:szCs w:val="24"/>
          <w:spacing w:val="13"/>
        </w:rPr>
        <w:t xml:space="preserve"> </w:t>
      </w:r>
      <w:r>
        <w:rPr>
          <w:rFonts w:ascii="FangSong" w:hAnsi="FangSong" w:eastAsia="FangSong" w:cs="FangSong"/>
          <w:sz w:val="24"/>
          <w:szCs w:val="24"/>
          <w:spacing w:val="-2"/>
        </w:rPr>
        <w:t>进入冷却釜冷却结晶。</w:t>
      </w:r>
    </w:p>
    <w:p>
      <w:pPr>
        <w:pStyle w:val="BodyText"/>
        <w:ind w:left="20" w:firstLine="476"/>
        <w:spacing w:line="360" w:lineRule="auto"/>
        <w:jc w:val="both"/>
        <w:rPr>
          <w:rFonts w:ascii="FangSong" w:hAnsi="FangSong" w:eastAsia="FangSong" w:cs="FangSong"/>
          <w:sz w:val="24"/>
          <w:szCs w:val="24"/>
        </w:rPr>
      </w:pPr>
      <w:r>
        <w:rPr>
          <w:rFonts w:ascii="FangSong" w:hAnsi="FangSong" w:eastAsia="FangSong" w:cs="FangSong"/>
          <w:sz w:val="24"/>
          <w:szCs w:val="24"/>
          <w:spacing w:val="-3"/>
        </w:rPr>
        <w:t>物料经由板式蒸发器蒸发浓缩至接近饱和后经转料泵进入冷却系统冷却结晶，物料析出结</w:t>
      </w:r>
      <w:r>
        <w:rPr>
          <w:rFonts w:ascii="FangSong" w:hAnsi="FangSong" w:eastAsia="FangSong" w:cs="FangSong"/>
          <w:sz w:val="24"/>
          <w:szCs w:val="24"/>
          <w:spacing w:val="5"/>
        </w:rPr>
        <w:t xml:space="preserve"> </w:t>
      </w:r>
      <w:r>
        <w:rPr>
          <w:rFonts w:ascii="FangSong" w:hAnsi="FangSong" w:eastAsia="FangSong" w:cs="FangSong"/>
          <w:sz w:val="24"/>
          <w:szCs w:val="24"/>
          <w:spacing w:val="-1"/>
        </w:rPr>
        <w:t>晶。离心得到的物料即为七水硫酸镁，离心母液由母液泵排出</w:t>
      </w:r>
      <w:r>
        <w:rPr>
          <w:sz w:val="24"/>
          <w:szCs w:val="24"/>
          <w:spacing w:val="-1"/>
        </w:rPr>
        <w:t>MVR</w:t>
      </w:r>
      <w:r>
        <w:rPr>
          <w:rFonts w:ascii="FangSong" w:hAnsi="FangSong" w:eastAsia="FangSong" w:cs="FangSong"/>
          <w:sz w:val="24"/>
          <w:szCs w:val="24"/>
          <w:spacing w:val="-1"/>
        </w:rPr>
        <w:t>系统回到脱硫液预处理系</w:t>
      </w:r>
      <w:r>
        <w:rPr>
          <w:rFonts w:ascii="FangSong" w:hAnsi="FangSong" w:eastAsia="FangSong" w:cs="FangSong"/>
          <w:sz w:val="24"/>
          <w:szCs w:val="24"/>
          <w:spacing w:val="17"/>
        </w:rPr>
        <w:t xml:space="preserve"> </w:t>
      </w:r>
      <w:r>
        <w:rPr>
          <w:rFonts w:ascii="FangSong" w:hAnsi="FangSong" w:eastAsia="FangSong" w:cs="FangSong"/>
          <w:sz w:val="24"/>
          <w:szCs w:val="24"/>
          <w:spacing w:val="-3"/>
        </w:rPr>
        <w:t>统的调节池中。</w:t>
      </w:r>
    </w:p>
    <w:p>
      <w:pPr>
        <w:pStyle w:val="BodyText"/>
        <w:ind w:left="15" w:firstLine="479"/>
        <w:spacing w:before="4" w:line="360" w:lineRule="auto"/>
        <w:jc w:val="both"/>
        <w:rPr>
          <w:rFonts w:ascii="FangSong" w:hAnsi="FangSong" w:eastAsia="FangSong" w:cs="FangSong"/>
          <w:sz w:val="24"/>
          <w:szCs w:val="24"/>
        </w:rPr>
      </w:pPr>
      <w:r>
        <w:rPr>
          <w:rFonts w:ascii="FangSong" w:hAnsi="FangSong" w:eastAsia="FangSong" w:cs="FangSong"/>
          <w:sz w:val="24"/>
          <w:szCs w:val="24"/>
        </w:rPr>
        <w:t>从分离器顶部出来的二次蒸汽，进入</w:t>
      </w:r>
      <w:r>
        <w:rPr>
          <w:sz w:val="24"/>
          <w:szCs w:val="24"/>
        </w:rPr>
        <w:t>MVR</w:t>
      </w:r>
      <w:r>
        <w:rPr>
          <w:rFonts w:ascii="FangSong" w:hAnsi="FangSong" w:eastAsia="FangSong" w:cs="FangSong"/>
          <w:sz w:val="24"/>
          <w:szCs w:val="24"/>
        </w:rPr>
        <w:t>压</w:t>
      </w:r>
      <w:r>
        <w:rPr>
          <w:rFonts w:ascii="FangSong" w:hAnsi="FangSong" w:eastAsia="FangSong" w:cs="FangSong"/>
          <w:sz w:val="24"/>
          <w:szCs w:val="24"/>
          <w:spacing w:val="-1"/>
        </w:rPr>
        <w:t>缩系统。二次蒸汽被压缩后，温度可升高到</w:t>
      </w:r>
      <w:r>
        <w:rPr>
          <w:rFonts w:ascii="FangSong" w:hAnsi="FangSong" w:eastAsia="FangSong" w:cs="FangSong"/>
          <w:sz w:val="24"/>
          <w:szCs w:val="24"/>
        </w:rPr>
        <w:t xml:space="preserve"> </w:t>
      </w:r>
      <w:r>
        <w:rPr>
          <w:sz w:val="24"/>
          <w:szCs w:val="24"/>
        </w:rPr>
        <w:t>106℃</w:t>
      </w:r>
      <w:r>
        <w:rPr>
          <w:rFonts w:ascii="FangSong" w:hAnsi="FangSong" w:eastAsia="FangSong" w:cs="FangSong"/>
          <w:sz w:val="24"/>
          <w:szCs w:val="24"/>
        </w:rPr>
        <w:t>左右，压缩后的蒸汽再打入换热器加热物料。</w:t>
      </w:r>
      <w:r>
        <w:rPr>
          <w:rFonts w:ascii="FangSong" w:hAnsi="FangSong" w:eastAsia="FangSong" w:cs="FangSong"/>
          <w:sz w:val="24"/>
          <w:szCs w:val="24"/>
          <w:spacing w:val="-1"/>
        </w:rPr>
        <w:t>加热物料的过程中，这部分蒸汽冷凝成水</w:t>
      </w:r>
      <w:r>
        <w:rPr>
          <w:rFonts w:ascii="FangSong" w:hAnsi="FangSong" w:eastAsia="FangSong" w:cs="FangSong"/>
          <w:sz w:val="24"/>
          <w:szCs w:val="24"/>
        </w:rPr>
        <w:t xml:space="preserve"> </w:t>
      </w:r>
      <w:r>
        <w:rPr>
          <w:rFonts w:ascii="FangSong" w:hAnsi="FangSong" w:eastAsia="FangSong" w:cs="FangSong"/>
          <w:sz w:val="24"/>
          <w:szCs w:val="24"/>
          <w:spacing w:val="-3"/>
        </w:rPr>
        <w:t>流至凝水灌并由蒸馏水泵输送至预热器，与原液换热后排出，其温度约为</w:t>
      </w:r>
      <w:r>
        <w:rPr>
          <w:sz w:val="24"/>
          <w:szCs w:val="24"/>
          <w:spacing w:val="-3"/>
        </w:rPr>
        <w:t>35℃</w:t>
      </w:r>
      <w:r>
        <w:rPr>
          <w:rFonts w:ascii="FangSong" w:hAnsi="FangSong" w:eastAsia="FangSong" w:cs="FangSong"/>
          <w:sz w:val="24"/>
          <w:szCs w:val="24"/>
          <w:spacing w:val="-3"/>
        </w:rPr>
        <w:t>左右（比进料温</w:t>
      </w:r>
      <w:r>
        <w:rPr>
          <w:rFonts w:ascii="FangSong" w:hAnsi="FangSong" w:eastAsia="FangSong" w:cs="FangSong"/>
          <w:sz w:val="24"/>
          <w:szCs w:val="24"/>
          <w:spacing w:val="9"/>
        </w:rPr>
        <w:t xml:space="preserve"> </w:t>
      </w:r>
      <w:r>
        <w:rPr>
          <w:rFonts w:ascii="FangSong" w:hAnsi="FangSong" w:eastAsia="FangSong" w:cs="FangSong"/>
          <w:sz w:val="24"/>
          <w:szCs w:val="24"/>
          <w:spacing w:val="-5"/>
        </w:rPr>
        <w:t>度约高</w:t>
      </w:r>
      <w:r>
        <w:rPr>
          <w:sz w:val="24"/>
          <w:szCs w:val="24"/>
          <w:spacing w:val="-5"/>
        </w:rPr>
        <w:t>10℃</w:t>
      </w:r>
      <w:r>
        <w:rPr>
          <w:rFonts w:ascii="FangSong" w:hAnsi="FangSong" w:eastAsia="FangSong" w:cs="FangSong"/>
          <w:sz w:val="24"/>
          <w:szCs w:val="24"/>
          <w:spacing w:val="-5"/>
        </w:rPr>
        <w:t>)</w:t>
      </w:r>
      <w:r>
        <w:rPr>
          <w:rFonts w:ascii="FangSong" w:hAnsi="FangSong" w:eastAsia="FangSong" w:cs="FangSong"/>
          <w:sz w:val="24"/>
          <w:szCs w:val="24"/>
          <w:spacing w:val="22"/>
        </w:rPr>
        <w:t xml:space="preserve"> </w:t>
      </w:r>
      <w:r>
        <w:rPr>
          <w:rFonts w:ascii="FangSong" w:hAnsi="FangSong" w:eastAsia="FangSong" w:cs="FangSong"/>
          <w:sz w:val="24"/>
          <w:szCs w:val="24"/>
          <w:spacing w:val="-5"/>
        </w:rPr>
        <w:t>。</w:t>
      </w:r>
    </w:p>
    <w:p>
      <w:pPr>
        <w:spacing w:line="360" w:lineRule="auto"/>
        <w:sectPr>
          <w:headerReference w:type="default" r:id="rId64"/>
          <w:footerReference w:type="default" r:id="rId65"/>
          <w:pgSz w:w="11906" w:h="16839"/>
          <w:pgMar w:top="1139" w:right="1079" w:bottom="1252" w:left="1080" w:header="831" w:footer="1090" w:gutter="0"/>
        </w:sectPr>
        <w:rPr>
          <w:rFonts w:ascii="FangSong" w:hAnsi="FangSong" w:eastAsia="FangSong" w:cs="FangSong"/>
          <w:sz w:val="24"/>
          <w:szCs w:val="24"/>
        </w:rPr>
      </w:pPr>
    </w:p>
    <w:p>
      <w:pPr>
        <w:spacing w:before="132" w:line="8050" w:lineRule="exact"/>
        <w:rPr/>
      </w:pPr>
      <w:r>
        <w:rPr>
          <w:position w:val="-160"/>
        </w:rPr>
        <w:drawing>
          <wp:inline distT="0" distB="0" distL="0" distR="0">
            <wp:extent cx="8866631" cy="5111495"/>
            <wp:effectExtent l="0" t="0" r="0" b="0"/>
            <wp:docPr id="50" name="IM 50"/>
            <wp:cNvGraphicFramePr/>
            <a:graphic>
              <a:graphicData uri="http://schemas.openxmlformats.org/drawingml/2006/picture">
                <pic:pic>
                  <pic:nvPicPr>
                    <pic:cNvPr id="50" name="IM 50"/>
                    <pic:cNvPicPr/>
                  </pic:nvPicPr>
                  <pic:blipFill>
                    <a:blip r:embed="rId68"/>
                    <a:stretch>
                      <a:fillRect/>
                    </a:stretch>
                  </pic:blipFill>
                  <pic:spPr>
                    <a:xfrm rot="0">
                      <a:off x="0" y="0"/>
                      <a:ext cx="8866631" cy="5111495"/>
                    </a:xfrm>
                    <a:prstGeom prst="rect">
                      <a:avLst/>
                    </a:prstGeom>
                  </pic:spPr>
                </pic:pic>
              </a:graphicData>
            </a:graphic>
          </wp:inline>
        </w:drawing>
      </w:r>
    </w:p>
    <w:p>
      <w:pPr>
        <w:pStyle w:val="BodyText"/>
        <w:ind w:left="5081"/>
        <w:spacing w:before="154" w:line="222" w:lineRule="auto"/>
        <w:rPr>
          <w:rFonts w:ascii="FangSong" w:hAnsi="FangSong" w:eastAsia="FangSong" w:cs="FangSong"/>
          <w:sz w:val="24"/>
          <w:szCs w:val="24"/>
        </w:rPr>
      </w:pPr>
      <w:r>
        <w:rPr>
          <w:rFonts w:ascii="FangSong" w:hAnsi="FangSong" w:eastAsia="FangSong" w:cs="FangSong"/>
          <w:sz w:val="24"/>
          <w:szCs w:val="24"/>
          <w:b/>
          <w:bCs/>
          <w:spacing w:val="-6"/>
        </w:rPr>
        <w:t>图</w:t>
      </w:r>
      <w:r>
        <w:rPr>
          <w:sz w:val="24"/>
          <w:szCs w:val="24"/>
          <w:b/>
          <w:bCs/>
          <w:spacing w:val="-6"/>
        </w:rPr>
        <w:t>4.1-1</w:t>
      </w:r>
      <w:r>
        <w:rPr>
          <w:sz w:val="24"/>
          <w:szCs w:val="24"/>
          <w:b/>
          <w:bCs/>
          <w:spacing w:val="11"/>
        </w:rPr>
        <w:t xml:space="preserve">    </w:t>
      </w:r>
      <w:r>
        <w:rPr>
          <w:rFonts w:ascii="FangSong" w:hAnsi="FangSong" w:eastAsia="FangSong" w:cs="FangSong"/>
          <w:sz w:val="24"/>
          <w:szCs w:val="24"/>
          <w:b/>
          <w:bCs/>
          <w:spacing w:val="-6"/>
        </w:rPr>
        <w:t>生产工艺流程及产污位置图</w:t>
      </w:r>
    </w:p>
    <w:p>
      <w:pPr>
        <w:spacing w:line="222" w:lineRule="auto"/>
        <w:sectPr>
          <w:headerReference w:type="default" r:id="rId66"/>
          <w:footerReference w:type="default" r:id="rId67"/>
          <w:pgSz w:w="16839" w:h="11906"/>
          <w:pgMar w:top="968" w:right="1434" w:bottom="940" w:left="1440" w:header="661" w:footer="778" w:gutter="0"/>
        </w:sectPr>
        <w:rPr>
          <w:rFonts w:ascii="FangSong" w:hAnsi="FangSong" w:eastAsia="FangSong" w:cs="FangSong"/>
          <w:sz w:val="24"/>
          <w:szCs w:val="24"/>
        </w:rPr>
      </w:pPr>
    </w:p>
    <w:p>
      <w:pPr>
        <w:spacing w:line="334" w:lineRule="auto"/>
        <w:rPr>
          <w:rFonts w:ascii="Arial"/>
          <w:sz w:val="21"/>
        </w:rPr>
      </w:pPr>
      <w:r/>
    </w:p>
    <w:p>
      <w:pPr>
        <w:pStyle w:val="BodyText"/>
        <w:ind w:left="485"/>
        <w:spacing w:before="78" w:line="223" w:lineRule="auto"/>
        <w:rPr>
          <w:rFonts w:ascii="FangSong" w:hAnsi="FangSong" w:eastAsia="FangSong" w:cs="FangSong"/>
          <w:sz w:val="24"/>
          <w:szCs w:val="24"/>
        </w:rPr>
      </w:pPr>
      <w:r>
        <w:rPr>
          <w:sz w:val="24"/>
          <w:szCs w:val="24"/>
          <w:b/>
          <w:bCs/>
          <w:spacing w:val="-6"/>
        </w:rPr>
        <w:t>2</w:t>
      </w:r>
      <w:r>
        <w:rPr>
          <w:sz w:val="24"/>
          <w:szCs w:val="24"/>
          <w:b/>
          <w:bCs/>
          <w:spacing w:val="-23"/>
        </w:rPr>
        <w:t xml:space="preserve"> </w:t>
      </w:r>
      <w:r>
        <w:rPr>
          <w:rFonts w:ascii="FangSong" w:hAnsi="FangSong" w:eastAsia="FangSong" w:cs="FangSong"/>
          <w:sz w:val="24"/>
          <w:szCs w:val="24"/>
          <w:b/>
          <w:bCs/>
          <w:spacing w:val="-6"/>
        </w:rPr>
        <w:t>、废水处理工艺流程</w:t>
      </w:r>
    </w:p>
    <w:p>
      <w:pPr>
        <w:pStyle w:val="BodyText"/>
        <w:ind w:left="4" w:firstLine="492"/>
        <w:spacing w:before="174" w:line="359" w:lineRule="auto"/>
        <w:jc w:val="both"/>
        <w:rPr>
          <w:rFonts w:ascii="FangSong" w:hAnsi="FangSong" w:eastAsia="FangSong" w:cs="FangSong"/>
          <w:sz w:val="24"/>
          <w:szCs w:val="24"/>
        </w:rPr>
      </w:pPr>
      <w:r>
        <w:rPr>
          <w:rFonts w:ascii="FangSong" w:hAnsi="FangSong" w:eastAsia="FangSong" w:cs="FangSong"/>
          <w:sz w:val="24"/>
          <w:szCs w:val="24"/>
          <w:spacing w:val="-3"/>
        </w:rPr>
        <w:t>本项目营运期废水主要为生产废水、员工生活污水、喷淋废水和初期雨水。生产废水主要</w:t>
      </w:r>
      <w:r>
        <w:rPr>
          <w:rFonts w:ascii="FangSong" w:hAnsi="FangSong" w:eastAsia="FangSong" w:cs="FangSong"/>
          <w:sz w:val="24"/>
          <w:szCs w:val="24"/>
          <w:spacing w:val="5"/>
        </w:rPr>
        <w:t xml:space="preserve"> </w:t>
      </w:r>
      <w:r>
        <w:rPr>
          <w:rFonts w:ascii="FangSong" w:hAnsi="FangSong" w:eastAsia="FangSong" w:cs="FangSong"/>
          <w:sz w:val="24"/>
          <w:szCs w:val="24"/>
          <w:spacing w:val="-2"/>
        </w:rPr>
        <w:t>包括脱硫液、喷淋废水、设备循环冷却水、</w:t>
      </w:r>
      <w:r>
        <w:rPr>
          <w:sz w:val="24"/>
          <w:szCs w:val="24"/>
          <w:spacing w:val="-2"/>
        </w:rPr>
        <w:t>MVR</w:t>
      </w:r>
      <w:r>
        <w:rPr>
          <w:rFonts w:ascii="FangSong" w:hAnsi="FangSong" w:eastAsia="FangSong" w:cs="FangSong"/>
          <w:sz w:val="24"/>
          <w:szCs w:val="24"/>
          <w:spacing w:val="-2"/>
        </w:rPr>
        <w:t>蒸发冷凝水。生产废水（脱硫液、喷淋废水）</w:t>
      </w:r>
      <w:r>
        <w:rPr>
          <w:rFonts w:ascii="FangSong" w:hAnsi="FangSong" w:eastAsia="FangSong" w:cs="FangSong"/>
          <w:sz w:val="24"/>
          <w:szCs w:val="24"/>
          <w:spacing w:val="17"/>
        </w:rPr>
        <w:t xml:space="preserve"> </w:t>
      </w:r>
      <w:r>
        <w:rPr>
          <w:rFonts w:ascii="FangSong" w:hAnsi="FangSong" w:eastAsia="FangSong" w:cs="FangSong"/>
          <w:sz w:val="24"/>
          <w:szCs w:val="24"/>
        </w:rPr>
        <w:t>进入企业污水处理设施，污水处理设施利用</w:t>
      </w:r>
      <w:r>
        <w:rPr>
          <w:sz w:val="24"/>
          <w:szCs w:val="24"/>
        </w:rPr>
        <w:t>“</w:t>
      </w:r>
      <w:r>
        <w:rPr>
          <w:rFonts w:ascii="FangSong" w:hAnsi="FangSong" w:eastAsia="FangSong" w:cs="FangSong"/>
          <w:sz w:val="24"/>
          <w:szCs w:val="24"/>
        </w:rPr>
        <w:t>纳米技术</w:t>
      </w:r>
      <w:r>
        <w:rPr>
          <w:sz w:val="24"/>
          <w:szCs w:val="24"/>
        </w:rPr>
        <w:t>”</w:t>
      </w:r>
      <w:r>
        <w:rPr>
          <w:rFonts w:ascii="FangSong" w:hAnsi="FangSong" w:eastAsia="FangSong" w:cs="FangSong"/>
          <w:sz w:val="24"/>
          <w:szCs w:val="24"/>
        </w:rPr>
        <w:t>工艺除重金属，利用</w:t>
      </w:r>
      <w:r>
        <w:rPr>
          <w:sz w:val="24"/>
          <w:szCs w:val="24"/>
        </w:rPr>
        <w:t>“</w:t>
      </w:r>
      <w:r>
        <w:rPr>
          <w:rFonts w:ascii="FangSong" w:hAnsi="FangSong" w:eastAsia="FangSong" w:cs="FangSong"/>
          <w:sz w:val="24"/>
          <w:szCs w:val="24"/>
        </w:rPr>
        <w:t>混凝</w:t>
      </w:r>
      <w:r>
        <w:rPr>
          <w:sz w:val="24"/>
          <w:szCs w:val="24"/>
        </w:rPr>
        <w:t>+</w:t>
      </w:r>
      <w:r>
        <w:rPr>
          <w:rFonts w:ascii="FangSong" w:hAnsi="FangSong" w:eastAsia="FangSong" w:cs="FangSong"/>
          <w:sz w:val="24"/>
          <w:szCs w:val="24"/>
          <w:spacing w:val="-1"/>
        </w:rPr>
        <w:t>芬顿</w:t>
      </w:r>
      <w:r>
        <w:rPr>
          <w:sz w:val="24"/>
          <w:szCs w:val="24"/>
          <w:spacing w:val="-1"/>
        </w:rPr>
        <w:t>”</w:t>
      </w:r>
      <w:r>
        <w:rPr>
          <w:rFonts w:ascii="FangSong" w:hAnsi="FangSong" w:eastAsia="FangSong" w:cs="FangSong"/>
          <w:sz w:val="24"/>
          <w:szCs w:val="24"/>
          <w:spacing w:val="-1"/>
        </w:rPr>
        <w:t>工艺</w:t>
      </w:r>
      <w:r>
        <w:rPr>
          <w:rFonts w:ascii="FangSong" w:hAnsi="FangSong" w:eastAsia="FangSong" w:cs="FangSong"/>
          <w:sz w:val="24"/>
          <w:szCs w:val="24"/>
        </w:rPr>
        <w:t xml:space="preserve">  </w:t>
      </w:r>
      <w:r>
        <w:rPr>
          <w:rFonts w:ascii="FangSong" w:hAnsi="FangSong" w:eastAsia="FangSong" w:cs="FangSong"/>
          <w:sz w:val="24"/>
          <w:szCs w:val="24"/>
        </w:rPr>
        <w:t>除</w:t>
      </w:r>
      <w:r>
        <w:rPr>
          <w:sz w:val="24"/>
          <w:szCs w:val="24"/>
        </w:rPr>
        <w:t>COD</w:t>
      </w:r>
      <w:r>
        <w:rPr>
          <w:rFonts w:ascii="FangSong" w:hAnsi="FangSong" w:eastAsia="FangSong" w:cs="FangSong"/>
          <w:sz w:val="24"/>
          <w:szCs w:val="24"/>
        </w:rPr>
        <w:t>前（单独为逆流烘干炉废气脱硫废水增加预处理设施后再进入废水调节</w:t>
      </w:r>
      <w:r>
        <w:rPr>
          <w:rFonts w:ascii="FangSong" w:hAnsi="FangSong" w:eastAsia="FangSong" w:cs="FangSong"/>
          <w:sz w:val="24"/>
          <w:szCs w:val="24"/>
          <w:spacing w:val="-1"/>
        </w:rPr>
        <w:t>池；在调节池</w:t>
      </w:r>
      <w:r>
        <w:rPr>
          <w:rFonts w:ascii="FangSong" w:hAnsi="FangSong" w:eastAsia="FangSong" w:cs="FangSong"/>
          <w:sz w:val="24"/>
          <w:szCs w:val="24"/>
        </w:rPr>
        <w:t xml:space="preserve">  </w:t>
      </w:r>
      <w:r>
        <w:rPr>
          <w:rFonts w:ascii="FangSong" w:hAnsi="FangSong" w:eastAsia="FangSong" w:cs="FangSong"/>
          <w:sz w:val="24"/>
          <w:szCs w:val="24"/>
        </w:rPr>
        <w:t>与絮凝沉淀池之间增设高效浅层气浮机）</w:t>
      </w:r>
      <w:r>
        <w:rPr>
          <w:sz w:val="24"/>
          <w:szCs w:val="24"/>
        </w:rPr>
        <w:t>,</w:t>
      </w:r>
      <w:r>
        <w:rPr>
          <w:rFonts w:ascii="FangSong" w:hAnsi="FangSong" w:eastAsia="FangSong" w:cs="FangSong"/>
          <w:sz w:val="24"/>
          <w:szCs w:val="24"/>
        </w:rPr>
        <w:t>处理后废水经过</w:t>
      </w:r>
      <w:r>
        <w:rPr>
          <w:sz w:val="24"/>
          <w:szCs w:val="24"/>
        </w:rPr>
        <w:t>MVR</w:t>
      </w:r>
      <w:r>
        <w:rPr>
          <w:rFonts w:ascii="FangSong" w:hAnsi="FangSong" w:eastAsia="FangSong" w:cs="FangSong"/>
          <w:sz w:val="24"/>
          <w:szCs w:val="24"/>
        </w:rPr>
        <w:t>蒸发结晶处</w:t>
      </w:r>
      <w:r>
        <w:rPr>
          <w:rFonts w:ascii="FangSong" w:hAnsi="FangSong" w:eastAsia="FangSong" w:cs="FangSong"/>
          <w:sz w:val="24"/>
          <w:szCs w:val="24"/>
          <w:spacing w:val="-1"/>
        </w:rPr>
        <w:t>理（增加一套备用</w:t>
      </w:r>
      <w:r>
        <w:rPr>
          <w:rFonts w:ascii="FangSong" w:hAnsi="FangSong" w:eastAsia="FangSong" w:cs="FangSong"/>
          <w:sz w:val="24"/>
          <w:szCs w:val="24"/>
        </w:rPr>
        <w:t xml:space="preserve">  </w:t>
      </w:r>
      <w:r>
        <w:rPr>
          <w:sz w:val="24"/>
          <w:szCs w:val="24"/>
        </w:rPr>
        <w:t>MVR</w:t>
      </w:r>
      <w:r>
        <w:rPr>
          <w:rFonts w:ascii="FangSong" w:hAnsi="FangSong" w:eastAsia="FangSong" w:cs="FangSong"/>
          <w:sz w:val="24"/>
          <w:szCs w:val="24"/>
        </w:rPr>
        <w:t>蒸发结晶系统）</w:t>
      </w:r>
      <w:r>
        <w:rPr>
          <w:sz w:val="24"/>
          <w:szCs w:val="24"/>
        </w:rPr>
        <w:t>,</w:t>
      </w:r>
      <w:r>
        <w:rPr>
          <w:rFonts w:ascii="FangSong" w:hAnsi="FangSong" w:eastAsia="FangSong" w:cs="FangSong"/>
          <w:sz w:val="24"/>
          <w:szCs w:val="24"/>
        </w:rPr>
        <w:t>蒸馏水回用作为冷却循环补充水，不外排生产废水；</w:t>
      </w:r>
      <w:r>
        <w:rPr>
          <w:rFonts w:ascii="FangSong" w:hAnsi="FangSong" w:eastAsia="FangSong" w:cs="FangSong"/>
          <w:sz w:val="24"/>
          <w:szCs w:val="24"/>
          <w:spacing w:val="-1"/>
        </w:rPr>
        <w:t>设备循环冷却水仅</w:t>
      </w:r>
      <w:r>
        <w:rPr>
          <w:rFonts w:ascii="FangSong" w:hAnsi="FangSong" w:eastAsia="FangSong" w:cs="FangSong"/>
          <w:sz w:val="24"/>
          <w:szCs w:val="24"/>
        </w:rPr>
        <w:t xml:space="preserve">  </w:t>
      </w:r>
      <w:r>
        <w:rPr>
          <w:rFonts w:ascii="FangSong" w:hAnsi="FangSong" w:eastAsia="FangSong" w:cs="FangSong"/>
          <w:sz w:val="24"/>
          <w:szCs w:val="24"/>
        </w:rPr>
        <w:t>存在蒸发损耗，不外排；</w:t>
      </w:r>
      <w:r>
        <w:rPr>
          <w:sz w:val="24"/>
          <w:szCs w:val="24"/>
        </w:rPr>
        <w:t>MVR</w:t>
      </w:r>
      <w:r>
        <w:rPr>
          <w:rFonts w:ascii="FangSong" w:hAnsi="FangSong" w:eastAsia="FangSong" w:cs="FangSong"/>
          <w:sz w:val="24"/>
          <w:szCs w:val="24"/>
        </w:rPr>
        <w:t>蒸发冷凝水回用于循环冷却水；初期雨水经</w:t>
      </w:r>
      <w:r>
        <w:rPr>
          <w:rFonts w:ascii="FangSong" w:hAnsi="FangSong" w:eastAsia="FangSong" w:cs="FangSong"/>
          <w:sz w:val="24"/>
          <w:szCs w:val="24"/>
          <w:spacing w:val="-1"/>
        </w:rPr>
        <w:t>过厂区内沉淀后回</w:t>
      </w:r>
      <w:r>
        <w:rPr>
          <w:rFonts w:ascii="FangSong" w:hAnsi="FangSong" w:eastAsia="FangSong" w:cs="FangSong"/>
          <w:sz w:val="24"/>
          <w:szCs w:val="24"/>
        </w:rPr>
        <w:t xml:space="preserve">  </w:t>
      </w:r>
      <w:r>
        <w:rPr>
          <w:rFonts w:ascii="FangSong" w:hAnsi="FangSong" w:eastAsia="FangSong" w:cs="FangSong"/>
          <w:sz w:val="24"/>
          <w:szCs w:val="24"/>
          <w:spacing w:val="-2"/>
        </w:rPr>
        <w:t>用作为冷却循环水，不外排；后期的清洁雨水不进入雨</w:t>
      </w:r>
      <w:r>
        <w:rPr>
          <w:rFonts w:ascii="FangSong" w:hAnsi="FangSong" w:eastAsia="FangSong" w:cs="FangSong"/>
          <w:sz w:val="24"/>
          <w:szCs w:val="24"/>
          <w:spacing w:val="-3"/>
        </w:rPr>
        <w:t>水收集系统，经过沉淀池沉淀后溢流进</w:t>
      </w:r>
      <w:r>
        <w:rPr>
          <w:rFonts w:ascii="FangSong" w:hAnsi="FangSong" w:eastAsia="FangSong" w:cs="FangSong"/>
          <w:sz w:val="24"/>
          <w:szCs w:val="24"/>
        </w:rPr>
        <w:t xml:space="preserve"> </w:t>
      </w:r>
      <w:r>
        <w:rPr>
          <w:rFonts w:ascii="FangSong" w:hAnsi="FangSong" w:eastAsia="FangSong" w:cs="FangSong"/>
          <w:sz w:val="24"/>
          <w:szCs w:val="24"/>
          <w:spacing w:val="-2"/>
        </w:rPr>
        <w:t>入市政雨水管网。生活污水中的冲厕废水经过化粪池、</w:t>
      </w:r>
      <w:r>
        <w:rPr>
          <w:rFonts w:ascii="FangSong" w:hAnsi="FangSong" w:eastAsia="FangSong" w:cs="FangSong"/>
          <w:sz w:val="24"/>
          <w:szCs w:val="24"/>
          <w:spacing w:val="-3"/>
        </w:rPr>
        <w:t>食堂废水经过隔油池预处理后与其他的</w:t>
      </w:r>
      <w:r>
        <w:rPr>
          <w:rFonts w:ascii="FangSong" w:hAnsi="FangSong" w:eastAsia="FangSong" w:cs="FangSong"/>
          <w:sz w:val="24"/>
          <w:szCs w:val="24"/>
        </w:rPr>
        <w:t xml:space="preserve"> </w:t>
      </w:r>
      <w:r>
        <w:rPr>
          <w:rFonts w:ascii="FangSong" w:hAnsi="FangSong" w:eastAsia="FangSong" w:cs="FangSong"/>
          <w:sz w:val="24"/>
          <w:szCs w:val="24"/>
          <w:spacing w:val="-6"/>
        </w:rPr>
        <w:t>生活污水一并纳管，委托物产中大（桐庐）水处理有限公司（名称变更）处理达标后统一外排，</w:t>
      </w:r>
      <w:r>
        <w:rPr>
          <w:rFonts w:ascii="FangSong" w:hAnsi="FangSong" w:eastAsia="FangSong" w:cs="FangSong"/>
          <w:sz w:val="24"/>
          <w:szCs w:val="24"/>
          <w:spacing w:val="12"/>
        </w:rPr>
        <w:t xml:space="preserve"> </w:t>
      </w:r>
      <w:r>
        <w:rPr>
          <w:rFonts w:ascii="FangSong" w:hAnsi="FangSong" w:eastAsia="FangSong" w:cs="FangSong"/>
          <w:sz w:val="24"/>
          <w:szCs w:val="24"/>
          <w:spacing w:val="-1"/>
        </w:rPr>
        <w:t>具体工艺流程见图</w:t>
      </w:r>
      <w:r>
        <w:rPr>
          <w:sz w:val="24"/>
          <w:szCs w:val="24"/>
          <w:spacing w:val="-1"/>
        </w:rPr>
        <w:t>4.1-2</w:t>
      </w:r>
      <w:r>
        <w:rPr>
          <w:rFonts w:ascii="FangSong" w:hAnsi="FangSong" w:eastAsia="FangSong" w:cs="FangSong"/>
          <w:sz w:val="24"/>
          <w:szCs w:val="24"/>
          <w:spacing w:val="-1"/>
        </w:rPr>
        <w:t>。</w:t>
      </w:r>
    </w:p>
    <w:p>
      <w:pPr>
        <w:spacing w:line="6340" w:lineRule="exact"/>
        <w:rPr/>
      </w:pPr>
      <w:r>
        <w:rPr>
          <w:position w:val="-126"/>
        </w:rPr>
        <w:drawing>
          <wp:inline distT="0" distB="0" distL="0" distR="0">
            <wp:extent cx="6187440" cy="4026408"/>
            <wp:effectExtent l="0" t="0" r="0" b="0"/>
            <wp:docPr id="52" name="IM 52"/>
            <wp:cNvGraphicFramePr/>
            <a:graphic>
              <a:graphicData uri="http://schemas.openxmlformats.org/drawingml/2006/picture">
                <pic:pic>
                  <pic:nvPicPr>
                    <pic:cNvPr id="52" name="IM 52"/>
                    <pic:cNvPicPr/>
                  </pic:nvPicPr>
                  <pic:blipFill>
                    <a:blip r:embed="rId71"/>
                    <a:stretch>
                      <a:fillRect/>
                    </a:stretch>
                  </pic:blipFill>
                  <pic:spPr>
                    <a:xfrm rot="0">
                      <a:off x="0" y="0"/>
                      <a:ext cx="6187440" cy="4026408"/>
                    </a:xfrm>
                    <a:prstGeom prst="rect">
                      <a:avLst/>
                    </a:prstGeom>
                  </pic:spPr>
                </pic:pic>
              </a:graphicData>
            </a:graphic>
          </wp:inline>
        </w:drawing>
      </w:r>
    </w:p>
    <w:p>
      <w:pPr>
        <w:pStyle w:val="BodyText"/>
        <w:ind w:left="3336"/>
        <w:spacing w:before="229" w:line="223" w:lineRule="auto"/>
        <w:rPr>
          <w:rFonts w:ascii="FangSong" w:hAnsi="FangSong" w:eastAsia="FangSong" w:cs="FangSong"/>
          <w:sz w:val="24"/>
          <w:szCs w:val="24"/>
        </w:rPr>
      </w:pPr>
      <w:r>
        <w:rPr>
          <w:rFonts w:ascii="FangSong" w:hAnsi="FangSong" w:eastAsia="FangSong" w:cs="FangSong"/>
          <w:sz w:val="24"/>
          <w:szCs w:val="24"/>
          <w:b/>
          <w:bCs/>
          <w:spacing w:val="-4"/>
        </w:rPr>
        <w:t>图</w:t>
      </w:r>
      <w:r>
        <w:rPr>
          <w:sz w:val="24"/>
          <w:szCs w:val="24"/>
          <w:b/>
          <w:bCs/>
          <w:spacing w:val="-4"/>
        </w:rPr>
        <w:t>4.1-3    </w:t>
      </w:r>
      <w:r>
        <w:rPr>
          <w:rFonts w:ascii="FangSong" w:hAnsi="FangSong" w:eastAsia="FangSong" w:cs="FangSong"/>
          <w:sz w:val="24"/>
          <w:szCs w:val="24"/>
          <w:b/>
          <w:bCs/>
          <w:spacing w:val="-4"/>
        </w:rPr>
        <w:t>废水处理工艺流程图</w:t>
      </w:r>
    </w:p>
    <w:p>
      <w:pPr>
        <w:spacing w:line="223" w:lineRule="auto"/>
        <w:sectPr>
          <w:headerReference w:type="default" r:id="rId69"/>
          <w:footerReference w:type="default" r:id="rId70"/>
          <w:pgSz w:w="11906" w:h="16839"/>
          <w:pgMar w:top="1139" w:right="980" w:bottom="1252" w:left="1080" w:header="831" w:footer="1090" w:gutter="0"/>
        </w:sectPr>
        <w:rPr>
          <w:rFonts w:ascii="FangSong" w:hAnsi="FangSong" w:eastAsia="FangSong" w:cs="FangSong"/>
          <w:sz w:val="24"/>
          <w:szCs w:val="24"/>
        </w:rPr>
      </w:pPr>
    </w:p>
    <w:p>
      <w:pPr>
        <w:spacing w:line="334" w:lineRule="auto"/>
        <w:rPr>
          <w:rFonts w:ascii="Arial"/>
          <w:sz w:val="21"/>
        </w:rPr>
      </w:pPr>
      <w:r/>
    </w:p>
    <w:p>
      <w:pPr>
        <w:pStyle w:val="BodyText"/>
        <w:ind w:left="596"/>
        <w:spacing w:before="78" w:line="223" w:lineRule="auto"/>
        <w:rPr>
          <w:rFonts w:ascii="FangSong" w:hAnsi="FangSong" w:eastAsia="FangSong" w:cs="FangSong"/>
          <w:sz w:val="24"/>
          <w:szCs w:val="24"/>
        </w:rPr>
      </w:pPr>
      <w:r>
        <w:rPr>
          <w:sz w:val="24"/>
          <w:szCs w:val="24"/>
          <w:b/>
          <w:bCs/>
          <w:spacing w:val="-6"/>
        </w:rPr>
        <w:t>3</w:t>
      </w:r>
      <w:r>
        <w:rPr>
          <w:sz w:val="24"/>
          <w:szCs w:val="24"/>
          <w:b/>
          <w:bCs/>
          <w:spacing w:val="-21"/>
        </w:rPr>
        <w:t xml:space="preserve"> </w:t>
      </w:r>
      <w:r>
        <w:rPr>
          <w:rFonts w:ascii="FangSong" w:hAnsi="FangSong" w:eastAsia="FangSong" w:cs="FangSong"/>
          <w:sz w:val="24"/>
          <w:szCs w:val="24"/>
          <w:b/>
          <w:bCs/>
          <w:spacing w:val="-6"/>
        </w:rPr>
        <w:t>、废气处理工艺流程</w:t>
      </w:r>
    </w:p>
    <w:p>
      <w:pPr>
        <w:pStyle w:val="BodyText"/>
        <w:ind w:left="127" w:right="24" w:firstLine="481"/>
        <w:spacing w:before="177" w:line="360" w:lineRule="auto"/>
        <w:rPr>
          <w:rFonts w:ascii="FangSong" w:hAnsi="FangSong" w:eastAsia="FangSong" w:cs="FangSong"/>
          <w:sz w:val="24"/>
          <w:szCs w:val="24"/>
        </w:rPr>
      </w:pPr>
      <w:r>
        <w:rPr>
          <w:rFonts w:ascii="FangSong" w:hAnsi="FangSong" w:eastAsia="FangSong" w:cs="FangSong"/>
          <w:sz w:val="24"/>
          <w:szCs w:val="24"/>
        </w:rPr>
        <w:t>本项目配筛料车间废气采用集气罩将车间内的</w:t>
      </w:r>
      <w:r>
        <w:rPr>
          <w:rFonts w:ascii="FangSong" w:hAnsi="FangSong" w:eastAsia="FangSong" w:cs="FangSong"/>
          <w:sz w:val="24"/>
          <w:szCs w:val="24"/>
          <w:spacing w:val="-1"/>
        </w:rPr>
        <w:t>废气进行收集后经“布袋除尘器</w:t>
      </w:r>
      <w:r>
        <w:rPr>
          <w:sz w:val="24"/>
          <w:szCs w:val="24"/>
          <w:spacing w:val="-1"/>
        </w:rPr>
        <w:t>+</w:t>
      </w:r>
      <w:r>
        <w:rPr>
          <w:rFonts w:ascii="FangSong" w:hAnsi="FangSong" w:eastAsia="FangSong" w:cs="FangSong"/>
          <w:sz w:val="24"/>
          <w:szCs w:val="24"/>
          <w:spacing w:val="-1"/>
        </w:rPr>
        <w:t>水洗喷淋</w:t>
      </w:r>
      <w:r>
        <w:rPr>
          <w:rFonts w:ascii="FangSong" w:hAnsi="FangSong" w:eastAsia="FangSong" w:cs="FangSong"/>
          <w:sz w:val="24"/>
          <w:szCs w:val="24"/>
        </w:rPr>
        <w:t xml:space="preserve"> </w:t>
      </w:r>
      <w:r>
        <w:rPr>
          <w:rFonts w:ascii="FangSong" w:hAnsi="FangSong" w:eastAsia="FangSong" w:cs="FangSong"/>
          <w:sz w:val="24"/>
          <w:szCs w:val="24"/>
          <w:spacing w:val="-1"/>
        </w:rPr>
        <w:t>塔</w:t>
      </w:r>
      <w:r>
        <w:rPr>
          <w:rFonts w:ascii="FangSong" w:hAnsi="FangSong" w:eastAsia="FangSong" w:cs="FangSong"/>
          <w:sz w:val="24"/>
          <w:szCs w:val="24"/>
          <w:spacing w:val="-88"/>
        </w:rPr>
        <w:t xml:space="preserve"> </w:t>
      </w:r>
      <w:r>
        <w:rPr>
          <w:rFonts w:ascii="FangSong" w:hAnsi="FangSong" w:eastAsia="FangSong" w:cs="FangSong"/>
          <w:sz w:val="24"/>
          <w:szCs w:val="24"/>
          <w:spacing w:val="-1"/>
        </w:rPr>
        <w:t>”处理后</w:t>
      </w:r>
      <w:r>
        <w:rPr>
          <w:sz w:val="24"/>
          <w:szCs w:val="24"/>
          <w:spacing w:val="-1"/>
        </w:rPr>
        <w:t>15.5</w:t>
      </w:r>
      <w:r>
        <w:rPr>
          <w:rFonts w:ascii="FangSong" w:hAnsi="FangSong" w:eastAsia="FangSong" w:cs="FangSong"/>
          <w:sz w:val="24"/>
          <w:szCs w:val="24"/>
          <w:spacing w:val="-1"/>
        </w:rPr>
        <w:t>米高排气筒排放；</w:t>
      </w:r>
      <w:r>
        <w:rPr>
          <w:sz w:val="24"/>
          <w:szCs w:val="24"/>
          <w:spacing w:val="-1"/>
        </w:rPr>
        <w:t>5</w:t>
      </w:r>
      <w:r>
        <w:rPr>
          <w:rFonts w:ascii="FangSong" w:hAnsi="FangSong" w:eastAsia="FangSong" w:cs="FangSong"/>
          <w:sz w:val="24"/>
          <w:szCs w:val="24"/>
          <w:spacing w:val="-1"/>
        </w:rPr>
        <w:t>米和</w:t>
      </w:r>
      <w:r>
        <w:rPr>
          <w:sz w:val="24"/>
          <w:szCs w:val="24"/>
          <w:spacing w:val="-1"/>
        </w:rPr>
        <w:t>3.8</w:t>
      </w:r>
      <w:r>
        <w:rPr>
          <w:rFonts w:ascii="FangSong" w:hAnsi="FangSong" w:eastAsia="FangSong" w:cs="FangSong"/>
          <w:sz w:val="24"/>
          <w:szCs w:val="24"/>
          <w:spacing w:val="-1"/>
        </w:rPr>
        <w:t>米竖流烘干炉出料口废气采用集气罩收集</w:t>
      </w:r>
      <w:r>
        <w:rPr>
          <w:rFonts w:ascii="FangSong" w:hAnsi="FangSong" w:eastAsia="FangSong" w:cs="FangSong"/>
          <w:sz w:val="24"/>
          <w:szCs w:val="24"/>
          <w:spacing w:val="-2"/>
        </w:rPr>
        <w:t>后经过布</w:t>
      </w:r>
      <w:r>
        <w:rPr>
          <w:rFonts w:ascii="FangSong" w:hAnsi="FangSong" w:eastAsia="FangSong" w:cs="FangSong"/>
          <w:sz w:val="24"/>
          <w:szCs w:val="24"/>
        </w:rPr>
        <w:t xml:space="preserve"> </w:t>
      </w:r>
      <w:r>
        <w:rPr>
          <w:rFonts w:ascii="FangSong" w:hAnsi="FangSong" w:eastAsia="FangSong" w:cs="FangSong"/>
          <w:sz w:val="24"/>
          <w:szCs w:val="24"/>
          <w:spacing w:val="-3"/>
        </w:rPr>
        <w:t>袋除尘处理达标后经</w:t>
      </w:r>
      <w:r>
        <w:rPr>
          <w:sz w:val="24"/>
          <w:szCs w:val="24"/>
          <w:spacing w:val="-3"/>
        </w:rPr>
        <w:t>15m</w:t>
      </w:r>
      <w:r>
        <w:rPr>
          <w:rFonts w:ascii="FangSong" w:hAnsi="FangSong" w:eastAsia="FangSong" w:cs="FangSong"/>
          <w:sz w:val="24"/>
          <w:szCs w:val="24"/>
          <w:spacing w:val="-3"/>
        </w:rPr>
        <w:t>排气筒排放；两台</w:t>
      </w:r>
      <w:r>
        <w:rPr>
          <w:sz w:val="24"/>
          <w:szCs w:val="24"/>
          <w:spacing w:val="-3"/>
        </w:rPr>
        <w:t>3.6</w:t>
      </w:r>
      <w:r>
        <w:rPr>
          <w:rFonts w:ascii="FangSong" w:hAnsi="FangSong" w:eastAsia="FangSong" w:cs="FangSong"/>
          <w:sz w:val="24"/>
          <w:szCs w:val="24"/>
          <w:spacing w:val="-3"/>
        </w:rPr>
        <w:t>米逆流烘干炉出料口废气采用集气罩收集后经过</w:t>
      </w:r>
      <w:r>
        <w:rPr>
          <w:rFonts w:ascii="FangSong" w:hAnsi="FangSong" w:eastAsia="FangSong" w:cs="FangSong"/>
          <w:sz w:val="24"/>
          <w:szCs w:val="24"/>
          <w:spacing w:val="15"/>
        </w:rPr>
        <w:t xml:space="preserve"> </w:t>
      </w:r>
      <w:r>
        <w:rPr>
          <w:rFonts w:ascii="FangSong" w:hAnsi="FangSong" w:eastAsia="FangSong" w:cs="FangSong"/>
          <w:sz w:val="24"/>
          <w:szCs w:val="24"/>
          <w:spacing w:val="-2"/>
        </w:rPr>
        <w:t>布袋除尘处理达标后经</w:t>
      </w:r>
      <w:r>
        <w:rPr>
          <w:sz w:val="24"/>
          <w:szCs w:val="24"/>
          <w:spacing w:val="-2"/>
        </w:rPr>
        <w:t>18.4m</w:t>
      </w:r>
      <w:r>
        <w:rPr>
          <w:rFonts w:ascii="FangSong" w:hAnsi="FangSong" w:eastAsia="FangSong" w:cs="FangSong"/>
          <w:sz w:val="24"/>
          <w:szCs w:val="24"/>
          <w:spacing w:val="-2"/>
        </w:rPr>
        <w:t>排气筒排放（逆流烘干炉两用</w:t>
      </w:r>
      <w:r>
        <w:rPr>
          <w:rFonts w:ascii="FangSong" w:hAnsi="FangSong" w:eastAsia="FangSong" w:cs="FangSong"/>
          <w:sz w:val="24"/>
          <w:szCs w:val="24"/>
          <w:spacing w:val="-3"/>
        </w:rPr>
        <w:t>两备）</w:t>
      </w:r>
      <w:r>
        <w:rPr>
          <w:sz w:val="24"/>
          <w:szCs w:val="24"/>
          <w:spacing w:val="-3"/>
        </w:rPr>
        <w:t>;</w:t>
      </w:r>
      <w:r>
        <w:rPr>
          <w:sz w:val="24"/>
          <w:szCs w:val="24"/>
          <w:spacing w:val="-20"/>
        </w:rPr>
        <w:t xml:space="preserve"> </w:t>
      </w:r>
      <w:r>
        <w:rPr>
          <w:rFonts w:ascii="FangSong" w:hAnsi="FangSong" w:eastAsia="FangSong" w:cs="FangSong"/>
          <w:sz w:val="24"/>
          <w:szCs w:val="24"/>
          <w:spacing w:val="-3"/>
        </w:rPr>
        <w:t>电弧炉、中频炉出料口废气</w:t>
      </w:r>
      <w:r>
        <w:rPr>
          <w:rFonts w:ascii="FangSong" w:hAnsi="FangSong" w:eastAsia="FangSong" w:cs="FangSong"/>
          <w:sz w:val="24"/>
          <w:szCs w:val="24"/>
        </w:rPr>
        <w:t xml:space="preserve"> </w:t>
      </w:r>
      <w:r>
        <w:rPr>
          <w:rFonts w:ascii="FangSong" w:hAnsi="FangSong" w:eastAsia="FangSong" w:cs="FangSong"/>
          <w:sz w:val="24"/>
          <w:szCs w:val="24"/>
          <w:spacing w:val="-1"/>
        </w:rPr>
        <w:t>采用集气罩收集后接入</w:t>
      </w:r>
      <w:r>
        <w:rPr>
          <w:sz w:val="24"/>
          <w:szCs w:val="24"/>
          <w:spacing w:val="-1"/>
        </w:rPr>
        <w:t>1.3</w:t>
      </w:r>
      <w:r>
        <w:rPr>
          <w:rFonts w:ascii="FangSong" w:hAnsi="FangSong" w:eastAsia="FangSong" w:cs="FangSong"/>
          <w:sz w:val="24"/>
          <w:szCs w:val="24"/>
          <w:spacing w:val="-1"/>
        </w:rPr>
        <w:t>平方竖炉出料口布袋除尘处理达标后经</w:t>
      </w:r>
      <w:r>
        <w:rPr>
          <w:sz w:val="24"/>
          <w:szCs w:val="24"/>
          <w:spacing w:val="-1"/>
        </w:rPr>
        <w:t>18m</w:t>
      </w:r>
      <w:r>
        <w:rPr>
          <w:rFonts w:ascii="FangSong" w:hAnsi="FangSong" w:eastAsia="FangSong" w:cs="FangSong"/>
          <w:sz w:val="24"/>
          <w:szCs w:val="24"/>
          <w:spacing w:val="-1"/>
        </w:rPr>
        <w:t>排气筒排放；</w:t>
      </w:r>
      <w:r>
        <w:rPr>
          <w:sz w:val="24"/>
          <w:szCs w:val="24"/>
          <w:spacing w:val="-1"/>
        </w:rPr>
        <w:t>1</w:t>
      </w:r>
      <w:r>
        <w:rPr>
          <w:sz w:val="24"/>
          <w:szCs w:val="24"/>
          <w:spacing w:val="-2"/>
        </w:rPr>
        <w:t>#</w:t>
      </w:r>
      <w:r>
        <w:rPr>
          <w:sz w:val="24"/>
          <w:szCs w:val="24"/>
          <w:spacing w:val="-26"/>
        </w:rPr>
        <w:t xml:space="preserve"> </w:t>
      </w:r>
      <w:r>
        <w:rPr>
          <w:rFonts w:ascii="FangSong" w:hAnsi="FangSong" w:eastAsia="FangSong" w:cs="FangSong"/>
          <w:sz w:val="24"/>
          <w:szCs w:val="24"/>
          <w:spacing w:val="-2"/>
        </w:rPr>
        <w:t>、</w:t>
      </w:r>
      <w:r>
        <w:rPr>
          <w:sz w:val="24"/>
          <w:szCs w:val="24"/>
          <w:spacing w:val="-2"/>
        </w:rPr>
        <w:t>2#</w:t>
      </w:r>
      <w:r>
        <w:rPr>
          <w:rFonts w:ascii="FangSong" w:hAnsi="FangSong" w:eastAsia="FangSong" w:cs="FangSong"/>
          <w:sz w:val="24"/>
          <w:szCs w:val="24"/>
          <w:spacing w:val="-2"/>
        </w:rPr>
        <w:t>的</w:t>
      </w:r>
      <w:r>
        <w:rPr>
          <w:sz w:val="24"/>
          <w:szCs w:val="24"/>
          <w:spacing w:val="-2"/>
        </w:rPr>
        <w:t>4</w:t>
      </w:r>
      <w:r>
        <w:rPr>
          <w:sz w:val="24"/>
          <w:szCs w:val="24"/>
        </w:rPr>
        <w:t xml:space="preserve">  </w:t>
      </w:r>
      <w:r>
        <w:rPr>
          <w:rFonts w:ascii="FangSong" w:hAnsi="FangSong" w:eastAsia="FangSong" w:cs="FangSong"/>
          <w:sz w:val="24"/>
          <w:szCs w:val="24"/>
          <w:spacing w:val="-1"/>
        </w:rPr>
        <w:t>平方竖炉出料口废气采用集气罩收集后经过布袋除尘处理达标后经</w:t>
      </w:r>
      <w:r>
        <w:rPr>
          <w:sz w:val="24"/>
          <w:szCs w:val="24"/>
          <w:spacing w:val="-1"/>
        </w:rPr>
        <w:t>18.2m</w:t>
      </w:r>
      <w:r>
        <w:rPr>
          <w:rFonts w:ascii="FangSong" w:hAnsi="FangSong" w:eastAsia="FangSong" w:cs="FangSong"/>
          <w:sz w:val="24"/>
          <w:szCs w:val="24"/>
          <w:spacing w:val="-1"/>
        </w:rPr>
        <w:t>排气筒排</w:t>
      </w:r>
      <w:r>
        <w:rPr>
          <w:rFonts w:ascii="FangSong" w:hAnsi="FangSong" w:eastAsia="FangSong" w:cs="FangSong"/>
          <w:sz w:val="24"/>
          <w:szCs w:val="24"/>
          <w:spacing w:val="-2"/>
        </w:rPr>
        <w:t>放；</w:t>
      </w:r>
      <w:r>
        <w:rPr>
          <w:sz w:val="24"/>
          <w:szCs w:val="24"/>
          <w:spacing w:val="-2"/>
        </w:rPr>
        <w:t>3#</w:t>
      </w:r>
      <w:r>
        <w:rPr>
          <w:sz w:val="24"/>
          <w:szCs w:val="24"/>
          <w:spacing w:val="-26"/>
        </w:rPr>
        <w:t xml:space="preserve"> </w:t>
      </w:r>
      <w:r>
        <w:rPr>
          <w:rFonts w:ascii="FangSong" w:hAnsi="FangSong" w:eastAsia="FangSong" w:cs="FangSong"/>
          <w:sz w:val="24"/>
          <w:szCs w:val="24"/>
          <w:spacing w:val="-2"/>
        </w:rPr>
        <w:t>、</w:t>
      </w:r>
      <w:r>
        <w:rPr>
          <w:sz w:val="24"/>
          <w:szCs w:val="24"/>
          <w:spacing w:val="-2"/>
        </w:rPr>
        <w:t>4#</w:t>
      </w:r>
      <w:r>
        <w:rPr>
          <w:sz w:val="24"/>
          <w:szCs w:val="24"/>
        </w:rPr>
        <w:t xml:space="preserve">  </w:t>
      </w:r>
      <w:r>
        <w:rPr>
          <w:rFonts w:ascii="FangSong" w:hAnsi="FangSong" w:eastAsia="FangSong" w:cs="FangSong"/>
          <w:sz w:val="24"/>
          <w:szCs w:val="24"/>
        </w:rPr>
        <w:t>的</w:t>
      </w:r>
      <w:r>
        <w:rPr>
          <w:sz w:val="24"/>
          <w:szCs w:val="24"/>
        </w:rPr>
        <w:t>4</w:t>
      </w:r>
      <w:r>
        <w:rPr>
          <w:rFonts w:ascii="FangSong" w:hAnsi="FangSong" w:eastAsia="FangSong" w:cs="FangSong"/>
          <w:sz w:val="24"/>
          <w:szCs w:val="24"/>
        </w:rPr>
        <w:t>平方竖炉出料口废气采用集气罩收集后经过布袋除</w:t>
      </w:r>
      <w:r>
        <w:rPr>
          <w:rFonts w:ascii="FangSong" w:hAnsi="FangSong" w:eastAsia="FangSong" w:cs="FangSong"/>
          <w:sz w:val="24"/>
          <w:szCs w:val="24"/>
          <w:spacing w:val="-1"/>
        </w:rPr>
        <w:t>尘处理达标后经</w:t>
      </w:r>
      <w:r>
        <w:rPr>
          <w:sz w:val="24"/>
          <w:szCs w:val="24"/>
          <w:spacing w:val="-1"/>
        </w:rPr>
        <w:t>16m</w:t>
      </w:r>
      <w:r>
        <w:rPr>
          <w:rFonts w:ascii="FangSong" w:hAnsi="FangSong" w:eastAsia="FangSong" w:cs="FangSong"/>
          <w:sz w:val="24"/>
          <w:szCs w:val="24"/>
          <w:spacing w:val="-1"/>
        </w:rPr>
        <w:t>排气筒排放（竖炉</w:t>
      </w:r>
      <w:r>
        <w:rPr>
          <w:rFonts w:ascii="FangSong" w:hAnsi="FangSong" w:eastAsia="FangSong" w:cs="FangSong"/>
          <w:sz w:val="24"/>
          <w:szCs w:val="24"/>
        </w:rPr>
        <w:t xml:space="preserve">  </w:t>
      </w:r>
      <w:r>
        <w:rPr>
          <w:rFonts w:ascii="FangSong" w:hAnsi="FangSong" w:eastAsia="FangSong" w:cs="FangSong"/>
          <w:sz w:val="24"/>
          <w:szCs w:val="24"/>
          <w:spacing w:val="-3"/>
        </w:rPr>
        <w:t>两用两备</w:t>
      </w:r>
      <w:r>
        <w:rPr>
          <w:rFonts w:ascii="FangSong" w:hAnsi="FangSong" w:eastAsia="FangSong" w:cs="FangSong"/>
          <w:sz w:val="24"/>
          <w:szCs w:val="24"/>
          <w:spacing w:val="21"/>
        </w:rPr>
        <w:t>）；</w:t>
      </w:r>
      <w:r>
        <w:rPr>
          <w:rFonts w:ascii="FangSong" w:hAnsi="FangSong" w:eastAsia="FangSong" w:cs="FangSong"/>
          <w:sz w:val="24"/>
          <w:szCs w:val="24"/>
          <w:spacing w:val="-3"/>
        </w:rPr>
        <w:t>电弧炉废气及中频炉废气经收集后统一经“</w:t>
      </w:r>
      <w:r>
        <w:rPr>
          <w:rFonts w:ascii="FangSong" w:hAnsi="FangSong" w:eastAsia="FangSong" w:cs="FangSong"/>
          <w:sz w:val="24"/>
          <w:szCs w:val="24"/>
          <w:spacing w:val="-92"/>
        </w:rPr>
        <w:t xml:space="preserve"> </w:t>
      </w:r>
      <w:r>
        <w:rPr>
          <w:sz w:val="24"/>
          <w:szCs w:val="24"/>
          <w:spacing w:val="-3"/>
        </w:rPr>
        <w:t>1</w:t>
      </w:r>
      <w:r>
        <w:rPr>
          <w:rFonts w:ascii="FangSong" w:hAnsi="FangSong" w:eastAsia="FangSong" w:cs="FangSong"/>
          <w:sz w:val="24"/>
          <w:szCs w:val="24"/>
          <w:spacing w:val="-3"/>
        </w:rPr>
        <w:t>套布袋除尘装置</w:t>
      </w:r>
      <w:r>
        <w:rPr>
          <w:rFonts w:ascii="FangSong" w:hAnsi="FangSong" w:eastAsia="FangSong" w:cs="FangSong"/>
          <w:sz w:val="24"/>
          <w:szCs w:val="24"/>
          <w:spacing w:val="-88"/>
        </w:rPr>
        <w:t xml:space="preserve"> </w:t>
      </w:r>
      <w:r>
        <w:rPr>
          <w:rFonts w:ascii="FangSong" w:hAnsi="FangSong" w:eastAsia="FangSong" w:cs="FangSong"/>
          <w:sz w:val="24"/>
          <w:szCs w:val="24"/>
          <w:spacing w:val="-3"/>
        </w:rPr>
        <w:t>”处理后进入</w:t>
      </w:r>
      <w:r>
        <w:rPr>
          <w:rFonts w:ascii="FangSong" w:hAnsi="FangSong" w:eastAsia="FangSong" w:cs="FangSong"/>
          <w:sz w:val="24"/>
          <w:szCs w:val="24"/>
          <w:spacing w:val="-4"/>
        </w:rPr>
        <w:t>竖炉</w:t>
      </w:r>
      <w:r>
        <w:rPr>
          <w:rFonts w:ascii="FangSong" w:hAnsi="FangSong" w:eastAsia="FangSong" w:cs="FangSong"/>
          <w:sz w:val="24"/>
          <w:szCs w:val="24"/>
        </w:rPr>
        <w:t xml:space="preserve"> </w:t>
      </w:r>
      <w:r>
        <w:rPr>
          <w:rFonts w:ascii="FangSong" w:hAnsi="FangSong" w:eastAsia="FangSong" w:cs="FangSong"/>
          <w:sz w:val="24"/>
          <w:szCs w:val="24"/>
          <w:spacing w:val="-3"/>
        </w:rPr>
        <w:t>烟气总管，烘干炉炉顶上部接有排烟管接</w:t>
      </w:r>
      <w:r>
        <w:rPr>
          <w:rFonts w:ascii="FangSong" w:hAnsi="FangSong" w:eastAsia="FangSong" w:cs="FangSong"/>
          <w:sz w:val="24"/>
          <w:szCs w:val="24"/>
          <w:spacing w:val="-55"/>
        </w:rPr>
        <w:t xml:space="preserve"> </w:t>
      </w:r>
      <w:r>
        <w:rPr>
          <w:rFonts w:ascii="FangSong" w:hAnsi="FangSong" w:eastAsia="FangSong" w:cs="FangSong"/>
          <w:sz w:val="24"/>
          <w:szCs w:val="24"/>
          <w:spacing w:val="-3"/>
        </w:rPr>
        <w:t>口，废气经过重力沉降</w:t>
      </w:r>
      <w:r>
        <w:rPr>
          <w:sz w:val="24"/>
          <w:szCs w:val="24"/>
          <w:spacing w:val="-3"/>
        </w:rPr>
        <w:t>+</w:t>
      </w:r>
      <w:r>
        <w:rPr>
          <w:sz w:val="24"/>
          <w:szCs w:val="24"/>
          <w:spacing w:val="-35"/>
        </w:rPr>
        <w:t xml:space="preserve"> </w:t>
      </w:r>
      <w:r>
        <w:rPr>
          <w:rFonts w:ascii="FangSong" w:hAnsi="FangSong" w:eastAsia="FangSong" w:cs="FangSong"/>
          <w:sz w:val="24"/>
          <w:szCs w:val="24"/>
          <w:spacing w:val="-3"/>
        </w:rPr>
        <w:t>活性炭喷射</w:t>
      </w:r>
      <w:r>
        <w:rPr>
          <w:sz w:val="24"/>
          <w:szCs w:val="24"/>
          <w:spacing w:val="-3"/>
        </w:rPr>
        <w:t>+</w:t>
      </w:r>
      <w:r>
        <w:rPr>
          <w:rFonts w:ascii="FangSong" w:hAnsi="FangSong" w:eastAsia="FangSong" w:cs="FangSong"/>
          <w:sz w:val="24"/>
          <w:szCs w:val="24"/>
          <w:spacing w:val="-3"/>
        </w:rPr>
        <w:t>布袋除尘</w:t>
      </w:r>
      <w:r>
        <w:rPr>
          <w:sz w:val="24"/>
          <w:szCs w:val="24"/>
          <w:spacing w:val="-3"/>
        </w:rPr>
        <w:t>+</w:t>
      </w:r>
      <w:r>
        <w:rPr>
          <w:rFonts w:ascii="FangSong" w:hAnsi="FangSong" w:eastAsia="FangSong" w:cs="FangSong"/>
          <w:sz w:val="24"/>
          <w:szCs w:val="24"/>
          <w:spacing w:val="-3"/>
        </w:rPr>
        <w:t>氧化</w:t>
      </w:r>
      <w:r>
        <w:rPr>
          <w:rFonts w:ascii="FangSong" w:hAnsi="FangSong" w:eastAsia="FangSong" w:cs="FangSong"/>
          <w:sz w:val="24"/>
          <w:szCs w:val="24"/>
        </w:rPr>
        <w:t xml:space="preserve"> </w:t>
      </w:r>
      <w:r>
        <w:rPr>
          <w:rFonts w:ascii="FangSong" w:hAnsi="FangSong" w:eastAsia="FangSong" w:cs="FangSong"/>
          <w:sz w:val="24"/>
          <w:szCs w:val="24"/>
          <w:spacing w:val="-3"/>
        </w:rPr>
        <w:t>镁脱硫</w:t>
      </w:r>
      <w:r>
        <w:rPr>
          <w:sz w:val="24"/>
          <w:szCs w:val="24"/>
          <w:spacing w:val="-3"/>
        </w:rPr>
        <w:t>+</w:t>
      </w:r>
      <w:r>
        <w:rPr>
          <w:rFonts w:ascii="FangSong" w:hAnsi="FangSong" w:eastAsia="FangSong" w:cs="FangSong"/>
          <w:sz w:val="24"/>
          <w:szCs w:val="24"/>
          <w:spacing w:val="-3"/>
        </w:rPr>
        <w:t>湿电除尘</w:t>
      </w:r>
      <w:r>
        <w:rPr>
          <w:sz w:val="24"/>
          <w:szCs w:val="24"/>
          <w:spacing w:val="-3"/>
        </w:rPr>
        <w:t>+SCR</w:t>
      </w:r>
      <w:r>
        <w:rPr>
          <w:rFonts w:ascii="FangSong" w:hAnsi="FangSong" w:eastAsia="FangSong" w:cs="FangSong"/>
          <w:sz w:val="24"/>
          <w:szCs w:val="24"/>
          <w:spacing w:val="-3"/>
        </w:rPr>
        <w:t>脱硝处理后后引至</w:t>
      </w:r>
      <w:r>
        <w:rPr>
          <w:sz w:val="24"/>
          <w:szCs w:val="24"/>
          <w:spacing w:val="-3"/>
        </w:rPr>
        <w:t>45</w:t>
      </w:r>
      <w:r>
        <w:rPr>
          <w:rFonts w:ascii="FangSong" w:hAnsi="FangSong" w:eastAsia="FangSong" w:cs="FangSong"/>
          <w:sz w:val="24"/>
          <w:szCs w:val="24"/>
          <w:spacing w:val="-3"/>
        </w:rPr>
        <w:t>米合并高空排放；竖炉炉顶上部接有排烟管接</w:t>
      </w:r>
      <w:r>
        <w:rPr>
          <w:rFonts w:ascii="FangSong" w:hAnsi="FangSong" w:eastAsia="FangSong" w:cs="FangSong"/>
          <w:sz w:val="24"/>
          <w:szCs w:val="24"/>
          <w:spacing w:val="-59"/>
        </w:rPr>
        <w:t xml:space="preserve"> </w:t>
      </w:r>
      <w:r>
        <w:rPr>
          <w:rFonts w:ascii="FangSong" w:hAnsi="FangSong" w:eastAsia="FangSong" w:cs="FangSong"/>
          <w:sz w:val="24"/>
          <w:szCs w:val="24"/>
          <w:spacing w:val="-3"/>
        </w:rPr>
        <w:t>口，</w:t>
      </w:r>
      <w:r>
        <w:rPr>
          <w:rFonts w:ascii="FangSong" w:hAnsi="FangSong" w:eastAsia="FangSong" w:cs="FangSong"/>
          <w:sz w:val="24"/>
          <w:szCs w:val="24"/>
        </w:rPr>
        <w:t xml:space="preserve"> </w:t>
      </w:r>
      <w:r>
        <w:rPr>
          <w:rFonts w:ascii="FangSong" w:hAnsi="FangSong" w:eastAsia="FangSong" w:cs="FangSong"/>
          <w:sz w:val="24"/>
          <w:szCs w:val="24"/>
          <w:spacing w:val="-1"/>
        </w:rPr>
        <w:t>废气经过水冷</w:t>
      </w:r>
      <w:r>
        <w:rPr>
          <w:sz w:val="24"/>
          <w:szCs w:val="24"/>
          <w:spacing w:val="-1"/>
        </w:rPr>
        <w:t>+</w:t>
      </w:r>
      <w:r>
        <w:rPr>
          <w:rFonts w:ascii="FangSong" w:hAnsi="FangSong" w:eastAsia="FangSong" w:cs="FangSong"/>
          <w:sz w:val="24"/>
          <w:szCs w:val="24"/>
          <w:spacing w:val="-1"/>
        </w:rPr>
        <w:t>重力沉降</w:t>
      </w:r>
      <w:r>
        <w:rPr>
          <w:sz w:val="24"/>
          <w:szCs w:val="24"/>
          <w:spacing w:val="-1"/>
        </w:rPr>
        <w:t>+</w:t>
      </w:r>
      <w:r>
        <w:rPr>
          <w:rFonts w:ascii="FangSong" w:hAnsi="FangSong" w:eastAsia="FangSong" w:cs="FangSong"/>
          <w:sz w:val="24"/>
          <w:szCs w:val="24"/>
          <w:spacing w:val="-1"/>
        </w:rPr>
        <w:t>布袋除尘</w:t>
      </w:r>
      <w:r>
        <w:rPr>
          <w:sz w:val="24"/>
          <w:szCs w:val="24"/>
          <w:spacing w:val="-1"/>
        </w:rPr>
        <w:t>+</w:t>
      </w:r>
      <w:r>
        <w:rPr>
          <w:sz w:val="24"/>
          <w:szCs w:val="24"/>
          <w:spacing w:val="-33"/>
        </w:rPr>
        <w:t xml:space="preserve"> </w:t>
      </w:r>
      <w:r>
        <w:rPr>
          <w:rFonts w:ascii="FangSong" w:hAnsi="FangSong" w:eastAsia="FangSong" w:cs="FangSong"/>
          <w:sz w:val="24"/>
          <w:szCs w:val="24"/>
          <w:spacing w:val="-1"/>
        </w:rPr>
        <w:t>活性炭喷射</w:t>
      </w:r>
      <w:r>
        <w:rPr>
          <w:sz w:val="24"/>
          <w:szCs w:val="24"/>
          <w:spacing w:val="-1"/>
        </w:rPr>
        <w:t>+</w:t>
      </w:r>
      <w:r>
        <w:rPr>
          <w:rFonts w:ascii="FangSong" w:hAnsi="FangSong" w:eastAsia="FangSong" w:cs="FangSong"/>
          <w:sz w:val="24"/>
          <w:szCs w:val="24"/>
          <w:spacing w:val="-1"/>
        </w:rPr>
        <w:t>布袋除尘</w:t>
      </w:r>
      <w:r>
        <w:rPr>
          <w:sz w:val="24"/>
          <w:szCs w:val="24"/>
          <w:spacing w:val="-1"/>
        </w:rPr>
        <w:t>+</w:t>
      </w:r>
      <w:r>
        <w:rPr>
          <w:rFonts w:ascii="FangSong" w:hAnsi="FangSong" w:eastAsia="FangSong" w:cs="FangSong"/>
          <w:sz w:val="24"/>
          <w:szCs w:val="24"/>
          <w:spacing w:val="-1"/>
        </w:rPr>
        <w:t>氧化镁脱硫</w:t>
      </w:r>
      <w:r>
        <w:rPr>
          <w:sz w:val="24"/>
          <w:szCs w:val="24"/>
          <w:spacing w:val="-1"/>
        </w:rPr>
        <w:t>+</w:t>
      </w:r>
      <w:r>
        <w:rPr>
          <w:rFonts w:ascii="FangSong" w:hAnsi="FangSong" w:eastAsia="FangSong" w:cs="FangSong"/>
          <w:sz w:val="24"/>
          <w:szCs w:val="24"/>
          <w:spacing w:val="-1"/>
        </w:rPr>
        <w:t>氧化镁脱硫</w:t>
      </w:r>
      <w:r>
        <w:rPr>
          <w:sz w:val="24"/>
          <w:szCs w:val="24"/>
          <w:spacing w:val="-1"/>
        </w:rPr>
        <w:t>+</w:t>
      </w:r>
      <w:r>
        <w:rPr>
          <w:rFonts w:ascii="FangSong" w:hAnsi="FangSong" w:eastAsia="FangSong" w:cs="FangSong"/>
          <w:sz w:val="24"/>
          <w:szCs w:val="24"/>
          <w:spacing w:val="-1"/>
        </w:rPr>
        <w:t>湿电除</w:t>
      </w:r>
      <w:r>
        <w:rPr>
          <w:rFonts w:ascii="FangSong" w:hAnsi="FangSong" w:eastAsia="FangSong" w:cs="FangSong"/>
          <w:sz w:val="24"/>
          <w:szCs w:val="24"/>
        </w:rPr>
        <w:t xml:space="preserve">  </w:t>
      </w:r>
      <w:r>
        <w:rPr>
          <w:rFonts w:ascii="FangSong" w:hAnsi="FangSong" w:eastAsia="FangSong" w:cs="FangSong"/>
          <w:sz w:val="24"/>
          <w:szCs w:val="24"/>
          <w:spacing w:val="-2"/>
        </w:rPr>
        <w:t>尘后引至</w:t>
      </w:r>
      <w:r>
        <w:rPr>
          <w:sz w:val="24"/>
          <w:szCs w:val="24"/>
          <w:spacing w:val="-2"/>
        </w:rPr>
        <w:t>45</w:t>
      </w:r>
      <w:r>
        <w:rPr>
          <w:rFonts w:ascii="FangSong" w:hAnsi="FangSong" w:eastAsia="FangSong" w:cs="FangSong"/>
          <w:sz w:val="24"/>
          <w:szCs w:val="24"/>
          <w:spacing w:val="-2"/>
        </w:rPr>
        <w:t>米合并高空排放。</w:t>
      </w:r>
    </w:p>
    <w:p>
      <w:pPr>
        <w:pStyle w:val="BodyText"/>
        <w:ind w:left="118"/>
        <w:spacing w:line="220" w:lineRule="auto"/>
        <w:outlineLvl w:val="2"/>
        <w:rPr>
          <w:rFonts w:ascii="FangSong" w:hAnsi="FangSong" w:eastAsia="FangSong" w:cs="FangSong"/>
          <w:sz w:val="24"/>
          <w:szCs w:val="24"/>
        </w:rPr>
      </w:pPr>
      <w:r>
        <w:rPr>
          <w:sz w:val="24"/>
          <w:szCs w:val="24"/>
          <w:b/>
          <w:bCs/>
          <w:spacing w:val="-2"/>
        </w:rPr>
        <w:t>4.1.2  </w:t>
      </w:r>
      <w:r>
        <w:rPr>
          <w:rFonts w:ascii="FangSong" w:hAnsi="FangSong" w:eastAsia="FangSong" w:cs="FangSong"/>
          <w:sz w:val="24"/>
          <w:szCs w:val="24"/>
          <w:b/>
          <w:bCs/>
          <w:spacing w:val="-2"/>
        </w:rPr>
        <w:t>企业原辅料使用情况</w:t>
      </w:r>
    </w:p>
    <w:p>
      <w:pPr>
        <w:pStyle w:val="BodyText"/>
        <w:ind w:left="3428"/>
        <w:spacing w:before="182" w:line="220" w:lineRule="auto"/>
        <w:rPr>
          <w:rFonts w:ascii="FangSong" w:hAnsi="FangSong" w:eastAsia="FangSong" w:cs="FangSong"/>
          <w:sz w:val="24"/>
          <w:szCs w:val="24"/>
        </w:rPr>
      </w:pPr>
      <w:r>
        <w:rPr>
          <w:rFonts w:ascii="FangSong" w:hAnsi="FangSong" w:eastAsia="FangSong" w:cs="FangSong"/>
          <w:sz w:val="24"/>
          <w:szCs w:val="24"/>
          <w:b/>
          <w:bCs/>
          <w:spacing w:val="-2"/>
        </w:rPr>
        <w:t>表</w:t>
      </w:r>
      <w:r>
        <w:rPr>
          <w:sz w:val="24"/>
          <w:szCs w:val="24"/>
          <w:b/>
          <w:bCs/>
          <w:spacing w:val="-2"/>
        </w:rPr>
        <w:t>4.1-1    </w:t>
      </w:r>
      <w:r>
        <w:rPr>
          <w:rFonts w:ascii="FangSong" w:hAnsi="FangSong" w:eastAsia="FangSong" w:cs="FangSong"/>
          <w:sz w:val="24"/>
          <w:szCs w:val="24"/>
          <w:b/>
          <w:bCs/>
          <w:spacing w:val="-2"/>
        </w:rPr>
        <w:t>企业原辅料使用情况</w:t>
      </w:r>
    </w:p>
    <w:p>
      <w:pPr>
        <w:spacing w:line="67" w:lineRule="exact"/>
        <w:rPr/>
      </w:pPr>
      <w:r/>
    </w:p>
    <w:tbl>
      <w:tblPr>
        <w:tblStyle w:val="TableNormal"/>
        <w:tblW w:w="9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48"/>
        <w:gridCol w:w="2120"/>
        <w:gridCol w:w="2251"/>
        <w:gridCol w:w="2251"/>
        <w:gridCol w:w="2552"/>
      </w:tblGrid>
      <w:tr>
        <w:trPr>
          <w:trHeight w:val="406" w:hRule="atLeast"/>
        </w:trPr>
        <w:tc>
          <w:tcPr>
            <w:tcW w:w="748" w:type="dxa"/>
            <w:vAlign w:val="top"/>
          </w:tcPr>
          <w:p>
            <w:pPr>
              <w:pStyle w:val="TableText"/>
              <w:ind w:left="174"/>
              <w:spacing w:before="97" w:line="231" w:lineRule="auto"/>
              <w:rPr/>
            </w:pPr>
            <w:r>
              <w:rPr>
                <w:b/>
                <w:bCs/>
                <w:spacing w:val="1"/>
              </w:rPr>
              <w:t>序号</w:t>
            </w:r>
          </w:p>
        </w:tc>
        <w:tc>
          <w:tcPr>
            <w:tcW w:w="2120" w:type="dxa"/>
            <w:vAlign w:val="top"/>
          </w:tcPr>
          <w:p>
            <w:pPr>
              <w:pStyle w:val="TableText"/>
              <w:ind w:left="304"/>
              <w:spacing w:before="96" w:line="229" w:lineRule="auto"/>
              <w:rPr/>
            </w:pPr>
            <w:r>
              <w:rPr>
                <w:b/>
                <w:bCs/>
                <w:spacing w:val="5"/>
              </w:rPr>
              <w:t>产品</w:t>
            </w:r>
            <w:r>
              <w:rPr>
                <w:rFonts w:ascii="Times New Roman" w:hAnsi="Times New Roman" w:eastAsia="Times New Roman" w:cs="Times New Roman"/>
                <w:b/>
                <w:bCs/>
                <w:spacing w:val="5"/>
              </w:rPr>
              <w:t>/</w:t>
            </w:r>
            <w:r>
              <w:rPr>
                <w:b/>
                <w:bCs/>
                <w:spacing w:val="5"/>
              </w:rPr>
              <w:t>原辅料名称</w:t>
            </w:r>
          </w:p>
        </w:tc>
        <w:tc>
          <w:tcPr>
            <w:tcW w:w="2251" w:type="dxa"/>
            <w:vAlign w:val="top"/>
          </w:tcPr>
          <w:p>
            <w:pPr>
              <w:pStyle w:val="TableText"/>
              <w:ind w:left="291"/>
              <w:spacing w:before="97" w:line="231" w:lineRule="auto"/>
              <w:rPr/>
            </w:pPr>
            <w:r>
              <w:rPr>
                <w:b/>
                <w:bCs/>
                <w:spacing w:val="6"/>
              </w:rPr>
              <w:t>环评审批年耗数量</w:t>
            </w:r>
          </w:p>
        </w:tc>
        <w:tc>
          <w:tcPr>
            <w:tcW w:w="2251" w:type="dxa"/>
            <w:vAlign w:val="top"/>
          </w:tcPr>
          <w:p>
            <w:pPr>
              <w:pStyle w:val="TableText"/>
              <w:ind w:left="285"/>
              <w:spacing w:before="97" w:line="230" w:lineRule="auto"/>
              <w:rPr/>
            </w:pPr>
            <w:r>
              <w:rPr>
                <w:rFonts w:ascii="Times New Roman" w:hAnsi="Times New Roman" w:eastAsia="Times New Roman" w:cs="Times New Roman"/>
                <w:b/>
                <w:bCs/>
                <w:spacing w:val="6"/>
              </w:rPr>
              <w:t>2024</w:t>
            </w:r>
            <w:r>
              <w:rPr>
                <w:b/>
                <w:bCs/>
                <w:spacing w:val="6"/>
              </w:rPr>
              <w:t>年实际消耗量</w:t>
            </w:r>
          </w:p>
        </w:tc>
        <w:tc>
          <w:tcPr>
            <w:tcW w:w="2552" w:type="dxa"/>
            <w:vAlign w:val="top"/>
          </w:tcPr>
          <w:p>
            <w:pPr>
              <w:pStyle w:val="TableText"/>
              <w:ind w:left="1076"/>
              <w:spacing w:before="97" w:line="233" w:lineRule="auto"/>
              <w:rPr/>
            </w:pPr>
            <w:r>
              <w:rPr>
                <w:b/>
                <w:bCs/>
              </w:rPr>
              <w:t>备注</w:t>
            </w:r>
          </w:p>
        </w:tc>
      </w:tr>
      <w:tr>
        <w:trPr>
          <w:trHeight w:val="628" w:hRule="atLeast"/>
        </w:trPr>
        <w:tc>
          <w:tcPr>
            <w:tcW w:w="748" w:type="dxa"/>
            <w:vAlign w:val="top"/>
          </w:tcPr>
          <w:p>
            <w:pPr>
              <w:ind w:left="343"/>
              <w:spacing w:before="2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20" w:type="dxa"/>
            <w:vAlign w:val="top"/>
          </w:tcPr>
          <w:p>
            <w:pPr>
              <w:pStyle w:val="TableText"/>
              <w:ind w:left="651"/>
              <w:spacing w:before="209" w:line="233" w:lineRule="auto"/>
              <w:rPr/>
            </w:pPr>
            <w:r>
              <w:rPr>
                <w:spacing w:val="5"/>
              </w:rPr>
              <w:t>各类危废</w:t>
            </w:r>
          </w:p>
        </w:tc>
        <w:tc>
          <w:tcPr>
            <w:tcW w:w="2251" w:type="dxa"/>
            <w:vAlign w:val="top"/>
          </w:tcPr>
          <w:p>
            <w:pPr>
              <w:ind w:left="727"/>
              <w:spacing w:before="24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196000t/a</w:t>
            </w:r>
          </w:p>
        </w:tc>
        <w:tc>
          <w:tcPr>
            <w:tcW w:w="2251" w:type="dxa"/>
            <w:vAlign w:val="top"/>
          </w:tcPr>
          <w:p>
            <w:pPr>
              <w:ind w:left="566"/>
              <w:spacing w:before="2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107824.6942t</w:t>
            </w:r>
          </w:p>
        </w:tc>
        <w:tc>
          <w:tcPr>
            <w:tcW w:w="2552" w:type="dxa"/>
            <w:vAlign w:val="top"/>
          </w:tcPr>
          <w:p>
            <w:pPr>
              <w:pStyle w:val="TableText"/>
              <w:ind w:left="543" w:right="120" w:hanging="407"/>
              <w:spacing w:before="52" w:line="261" w:lineRule="auto"/>
              <w:rPr>
                <w:rFonts w:ascii="Times New Roman" w:hAnsi="Times New Roman" w:eastAsia="Times New Roman" w:cs="Times New Roman"/>
              </w:rPr>
            </w:pPr>
            <w:r>
              <w:rPr>
                <w:spacing w:val="8"/>
              </w:rPr>
              <w:t>危险废物的类别及收集的</w:t>
            </w:r>
            <w:r>
              <w:rPr>
                <w:spacing w:val="1"/>
              </w:rPr>
              <w:t xml:space="preserve"> </w:t>
            </w:r>
            <w:r>
              <w:rPr>
                <w:spacing w:val="2"/>
              </w:rPr>
              <w:t>数量详见表</w:t>
            </w:r>
            <w:r>
              <w:rPr>
                <w:rFonts w:ascii="Times New Roman" w:hAnsi="Times New Roman" w:eastAsia="Times New Roman" w:cs="Times New Roman"/>
                <w:spacing w:val="2"/>
              </w:rPr>
              <w:t>4.</w:t>
            </w:r>
            <w:r>
              <w:rPr>
                <w:rFonts w:ascii="Times New Roman" w:hAnsi="Times New Roman" w:eastAsia="Times New Roman" w:cs="Times New Roman"/>
                <w:spacing w:val="-17"/>
              </w:rPr>
              <w:t xml:space="preserve"> </w:t>
            </w:r>
            <w:r>
              <w:rPr>
                <w:rFonts w:ascii="Times New Roman" w:hAnsi="Times New Roman" w:eastAsia="Times New Roman" w:cs="Times New Roman"/>
                <w:spacing w:val="2"/>
              </w:rPr>
              <w:t>1-2</w:t>
            </w:r>
          </w:p>
        </w:tc>
      </w:tr>
      <w:tr>
        <w:trPr>
          <w:trHeight w:val="402" w:hRule="atLeast"/>
        </w:trPr>
        <w:tc>
          <w:tcPr>
            <w:tcW w:w="748" w:type="dxa"/>
            <w:vAlign w:val="top"/>
          </w:tcPr>
          <w:p>
            <w:pPr>
              <w:ind w:left="323"/>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20" w:type="dxa"/>
            <w:vAlign w:val="top"/>
          </w:tcPr>
          <w:p>
            <w:pPr>
              <w:pStyle w:val="TableText"/>
              <w:ind w:left="859"/>
              <w:spacing w:before="94" w:line="233" w:lineRule="auto"/>
              <w:rPr/>
            </w:pPr>
            <w:r>
              <w:rPr>
                <w:spacing w:val="2"/>
              </w:rPr>
              <w:t>石灰</w:t>
            </w:r>
          </w:p>
        </w:tc>
        <w:tc>
          <w:tcPr>
            <w:tcW w:w="2251" w:type="dxa"/>
            <w:vAlign w:val="top"/>
          </w:tcPr>
          <w:p>
            <w:pPr>
              <w:ind w:left="648"/>
              <w:spacing w:before="12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12204.84t/a</w:t>
            </w:r>
          </w:p>
        </w:tc>
        <w:tc>
          <w:tcPr>
            <w:tcW w:w="2251" w:type="dxa"/>
            <w:vAlign w:val="top"/>
          </w:tcPr>
          <w:p>
            <w:pPr>
              <w:ind w:left="816"/>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5299.9t</w:t>
            </w:r>
          </w:p>
        </w:tc>
        <w:tc>
          <w:tcPr>
            <w:tcW w:w="2552" w:type="dxa"/>
            <w:vAlign w:val="top"/>
          </w:tcPr>
          <w:p>
            <w:pPr>
              <w:ind w:left="1243"/>
              <w:spacing w:before="12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402" w:hRule="atLeast"/>
        </w:trPr>
        <w:tc>
          <w:tcPr>
            <w:tcW w:w="748" w:type="dxa"/>
            <w:vAlign w:val="top"/>
          </w:tcPr>
          <w:p>
            <w:pPr>
              <w:ind w:left="327"/>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20" w:type="dxa"/>
            <w:vAlign w:val="top"/>
          </w:tcPr>
          <w:p>
            <w:pPr>
              <w:pStyle w:val="TableText"/>
              <w:ind w:left="861"/>
              <w:spacing w:before="95" w:line="232" w:lineRule="auto"/>
              <w:rPr/>
            </w:pPr>
            <w:r>
              <w:rPr/>
              <w:t>铁粉</w:t>
            </w:r>
          </w:p>
        </w:tc>
        <w:tc>
          <w:tcPr>
            <w:tcW w:w="2251" w:type="dxa"/>
            <w:vAlign w:val="top"/>
          </w:tcPr>
          <w:p>
            <w:pPr>
              <w:ind w:left="780"/>
              <w:spacing w:before="12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16500t/a</w:t>
            </w:r>
          </w:p>
        </w:tc>
        <w:tc>
          <w:tcPr>
            <w:tcW w:w="2251" w:type="dxa"/>
            <w:vAlign w:val="top"/>
          </w:tcPr>
          <w:p>
            <w:pPr>
              <w:ind w:left="1077"/>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552" w:type="dxa"/>
            <w:vAlign w:val="top"/>
          </w:tcPr>
          <w:p>
            <w:pPr>
              <w:ind w:left="1243"/>
              <w:spacing w:before="12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401" w:hRule="atLeast"/>
        </w:trPr>
        <w:tc>
          <w:tcPr>
            <w:tcW w:w="748" w:type="dxa"/>
            <w:vAlign w:val="top"/>
          </w:tcPr>
          <w:p>
            <w:pPr>
              <w:ind w:left="322"/>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2120" w:type="dxa"/>
            <w:vAlign w:val="top"/>
          </w:tcPr>
          <w:p>
            <w:pPr>
              <w:pStyle w:val="TableText"/>
              <w:ind w:left="755"/>
              <w:spacing w:before="94" w:line="229" w:lineRule="auto"/>
              <w:rPr/>
            </w:pPr>
            <w:r>
              <w:rPr>
                <w:spacing w:val="4"/>
              </w:rPr>
              <w:t>杂铜料</w:t>
            </w:r>
          </w:p>
        </w:tc>
        <w:tc>
          <w:tcPr>
            <w:tcW w:w="2251" w:type="dxa"/>
            <w:vAlign w:val="top"/>
          </w:tcPr>
          <w:p>
            <w:pPr>
              <w:ind w:left="817"/>
              <w:spacing w:before="12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6500t/a</w:t>
            </w:r>
          </w:p>
        </w:tc>
        <w:tc>
          <w:tcPr>
            <w:tcW w:w="2251" w:type="dxa"/>
            <w:vAlign w:val="top"/>
          </w:tcPr>
          <w:p>
            <w:pPr>
              <w:ind w:left="894"/>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6076t</w:t>
            </w:r>
          </w:p>
        </w:tc>
        <w:tc>
          <w:tcPr>
            <w:tcW w:w="2552" w:type="dxa"/>
            <w:vAlign w:val="top"/>
          </w:tcPr>
          <w:p>
            <w:pPr>
              <w:ind w:left="1243"/>
              <w:spacing w:before="12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402" w:hRule="atLeast"/>
        </w:trPr>
        <w:tc>
          <w:tcPr>
            <w:tcW w:w="748" w:type="dxa"/>
            <w:vAlign w:val="top"/>
          </w:tcPr>
          <w:p>
            <w:pPr>
              <w:ind w:left="329"/>
              <w:spacing w:before="135"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20" w:type="dxa"/>
            <w:vAlign w:val="top"/>
          </w:tcPr>
          <w:p>
            <w:pPr>
              <w:pStyle w:val="TableText"/>
              <w:ind w:left="860"/>
              <w:spacing w:before="96" w:line="231" w:lineRule="auto"/>
              <w:rPr/>
            </w:pPr>
            <w:r>
              <w:rPr>
                <w:spacing w:val="1"/>
              </w:rPr>
              <w:t>炭精</w:t>
            </w:r>
          </w:p>
        </w:tc>
        <w:tc>
          <w:tcPr>
            <w:tcW w:w="2251" w:type="dxa"/>
            <w:vAlign w:val="top"/>
          </w:tcPr>
          <w:p>
            <w:pPr>
              <w:ind w:left="760"/>
              <w:spacing w:before="12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27000t/a</w:t>
            </w:r>
          </w:p>
        </w:tc>
        <w:tc>
          <w:tcPr>
            <w:tcW w:w="2251" w:type="dxa"/>
            <w:vAlign w:val="top"/>
          </w:tcPr>
          <w:p>
            <w:pPr>
              <w:ind w:left="672"/>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14308.771t</w:t>
            </w:r>
          </w:p>
        </w:tc>
        <w:tc>
          <w:tcPr>
            <w:tcW w:w="2552" w:type="dxa"/>
            <w:vAlign w:val="top"/>
          </w:tcPr>
          <w:p>
            <w:pPr>
              <w:ind w:left="1243"/>
              <w:spacing w:before="12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401" w:hRule="atLeast"/>
        </w:trPr>
        <w:tc>
          <w:tcPr>
            <w:tcW w:w="748" w:type="dxa"/>
            <w:vAlign w:val="top"/>
          </w:tcPr>
          <w:p>
            <w:pPr>
              <w:ind w:left="327"/>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20" w:type="dxa"/>
            <w:vAlign w:val="top"/>
          </w:tcPr>
          <w:p>
            <w:pPr>
              <w:pStyle w:val="TableText"/>
              <w:ind w:left="753"/>
              <w:spacing w:before="96" w:line="232" w:lineRule="auto"/>
              <w:rPr/>
            </w:pPr>
            <w:r>
              <w:rPr>
                <w:spacing w:val="5"/>
              </w:rPr>
              <w:t>石英石</w:t>
            </w:r>
          </w:p>
        </w:tc>
        <w:tc>
          <w:tcPr>
            <w:tcW w:w="2251" w:type="dxa"/>
            <w:vAlign w:val="top"/>
          </w:tcPr>
          <w:p>
            <w:pPr>
              <w:ind w:left="780"/>
              <w:spacing w:before="12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16000t/a</w:t>
            </w:r>
          </w:p>
        </w:tc>
        <w:tc>
          <w:tcPr>
            <w:tcW w:w="2251" w:type="dxa"/>
            <w:vAlign w:val="top"/>
          </w:tcPr>
          <w:p>
            <w:pPr>
              <w:ind w:left="725"/>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12083.78t</w:t>
            </w:r>
          </w:p>
        </w:tc>
        <w:tc>
          <w:tcPr>
            <w:tcW w:w="2552" w:type="dxa"/>
            <w:vAlign w:val="top"/>
          </w:tcPr>
          <w:p>
            <w:pPr>
              <w:pStyle w:val="TableText"/>
              <w:ind w:left="970"/>
              <w:spacing w:before="96" w:line="232" w:lineRule="auto"/>
              <w:rPr/>
            </w:pPr>
            <w:r>
              <w:rPr>
                <w:spacing w:val="5"/>
              </w:rPr>
              <w:t>造渣剂</w:t>
            </w:r>
          </w:p>
        </w:tc>
      </w:tr>
      <w:tr>
        <w:trPr>
          <w:trHeight w:val="402" w:hRule="atLeast"/>
        </w:trPr>
        <w:tc>
          <w:tcPr>
            <w:tcW w:w="748" w:type="dxa"/>
            <w:vAlign w:val="top"/>
          </w:tcPr>
          <w:p>
            <w:pPr>
              <w:ind w:left="326"/>
              <w:spacing w:before="135"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20" w:type="dxa"/>
            <w:vAlign w:val="top"/>
          </w:tcPr>
          <w:p>
            <w:pPr>
              <w:pStyle w:val="TableText"/>
              <w:ind w:left="757"/>
              <w:spacing w:before="96" w:line="231" w:lineRule="auto"/>
              <w:rPr/>
            </w:pPr>
            <w:r>
              <w:rPr>
                <w:spacing w:val="3"/>
              </w:rPr>
              <w:t>氧化镁</w:t>
            </w:r>
          </w:p>
        </w:tc>
        <w:tc>
          <w:tcPr>
            <w:tcW w:w="2251" w:type="dxa"/>
            <w:vAlign w:val="top"/>
          </w:tcPr>
          <w:p>
            <w:pPr>
              <w:ind w:left="817"/>
              <w:spacing w:before="12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3500t/a</w:t>
            </w:r>
          </w:p>
        </w:tc>
        <w:tc>
          <w:tcPr>
            <w:tcW w:w="2251" w:type="dxa"/>
            <w:vAlign w:val="top"/>
          </w:tcPr>
          <w:p>
            <w:pPr>
              <w:ind w:left="725"/>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1446.484t</w:t>
            </w:r>
          </w:p>
        </w:tc>
        <w:tc>
          <w:tcPr>
            <w:tcW w:w="2552" w:type="dxa"/>
            <w:vAlign w:val="top"/>
          </w:tcPr>
          <w:p>
            <w:pPr>
              <w:pStyle w:val="TableText"/>
              <w:ind w:left="238"/>
              <w:spacing w:before="97" w:line="230" w:lineRule="auto"/>
              <w:rPr/>
            </w:pPr>
            <w:r>
              <w:rPr>
                <w:spacing w:val="8"/>
              </w:rPr>
              <w:t>制浆用于烟气湿法脱硫</w:t>
            </w:r>
          </w:p>
        </w:tc>
      </w:tr>
      <w:tr>
        <w:trPr>
          <w:trHeight w:val="401" w:hRule="atLeast"/>
        </w:trPr>
        <w:tc>
          <w:tcPr>
            <w:tcW w:w="748" w:type="dxa"/>
            <w:vAlign w:val="top"/>
          </w:tcPr>
          <w:p>
            <w:pPr>
              <w:ind w:left="33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120" w:type="dxa"/>
            <w:vAlign w:val="top"/>
          </w:tcPr>
          <w:p>
            <w:pPr>
              <w:pStyle w:val="TableText"/>
              <w:ind w:left="752"/>
              <w:spacing w:before="97" w:line="232" w:lineRule="auto"/>
              <w:rPr/>
            </w:pPr>
            <w:r>
              <w:rPr>
                <w:spacing w:val="5"/>
              </w:rPr>
              <w:t>钢铁材</w:t>
            </w:r>
          </w:p>
        </w:tc>
        <w:tc>
          <w:tcPr>
            <w:tcW w:w="2251" w:type="dxa"/>
            <w:vAlign w:val="top"/>
          </w:tcPr>
          <w:p>
            <w:pPr>
              <w:ind w:left="883"/>
              <w:spacing w:before="13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170t/a</w:t>
            </w:r>
          </w:p>
        </w:tc>
        <w:tc>
          <w:tcPr>
            <w:tcW w:w="2251" w:type="dxa"/>
            <w:vAlign w:val="top"/>
          </w:tcPr>
          <w:p>
            <w:pPr>
              <w:ind w:left="1077"/>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552" w:type="dxa"/>
            <w:vAlign w:val="top"/>
          </w:tcPr>
          <w:p>
            <w:pPr>
              <w:ind w:left="1243"/>
              <w:spacing w:before="13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402" w:hRule="atLeast"/>
        </w:trPr>
        <w:tc>
          <w:tcPr>
            <w:tcW w:w="748" w:type="dxa"/>
            <w:vAlign w:val="top"/>
          </w:tcPr>
          <w:p>
            <w:pPr>
              <w:ind w:left="327"/>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120" w:type="dxa"/>
            <w:vAlign w:val="top"/>
          </w:tcPr>
          <w:p>
            <w:pPr>
              <w:pStyle w:val="TableText"/>
              <w:ind w:left="753"/>
              <w:spacing w:before="97" w:line="232" w:lineRule="auto"/>
              <w:rPr/>
            </w:pPr>
            <w:r>
              <w:rPr>
                <w:spacing w:val="5"/>
              </w:rPr>
              <w:t>石墨粉</w:t>
            </w:r>
          </w:p>
        </w:tc>
        <w:tc>
          <w:tcPr>
            <w:tcW w:w="2251" w:type="dxa"/>
            <w:vAlign w:val="top"/>
          </w:tcPr>
          <w:p>
            <w:pPr>
              <w:ind w:left="916"/>
              <w:spacing w:before="12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20t/a</w:t>
            </w:r>
          </w:p>
        </w:tc>
        <w:tc>
          <w:tcPr>
            <w:tcW w:w="2251" w:type="dxa"/>
            <w:vAlign w:val="top"/>
          </w:tcPr>
          <w:p>
            <w:pPr>
              <w:ind w:left="1077"/>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552" w:type="dxa"/>
            <w:vAlign w:val="top"/>
          </w:tcPr>
          <w:p>
            <w:pPr>
              <w:ind w:left="1243"/>
              <w:spacing w:before="12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402" w:hRule="atLeast"/>
        </w:trPr>
        <w:tc>
          <w:tcPr>
            <w:tcW w:w="748" w:type="dxa"/>
            <w:vAlign w:val="top"/>
          </w:tcPr>
          <w:p>
            <w:pPr>
              <w:ind w:left="290"/>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2120" w:type="dxa"/>
            <w:vAlign w:val="top"/>
          </w:tcPr>
          <w:p>
            <w:pPr>
              <w:pStyle w:val="TableText"/>
              <w:ind w:left="858"/>
              <w:spacing w:before="98" w:line="232" w:lineRule="auto"/>
              <w:rPr/>
            </w:pPr>
            <w:r>
              <w:rPr>
                <w:spacing w:val="2"/>
              </w:rPr>
              <w:t>硅铁</w:t>
            </w:r>
          </w:p>
        </w:tc>
        <w:tc>
          <w:tcPr>
            <w:tcW w:w="2251" w:type="dxa"/>
            <w:vAlign w:val="top"/>
          </w:tcPr>
          <w:p>
            <w:pPr>
              <w:ind w:left="840"/>
              <w:spacing w:before="13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7.69t/a</w:t>
            </w:r>
          </w:p>
        </w:tc>
        <w:tc>
          <w:tcPr>
            <w:tcW w:w="2251" w:type="dxa"/>
            <w:vAlign w:val="top"/>
          </w:tcPr>
          <w:p>
            <w:pPr>
              <w:ind w:left="1077"/>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552" w:type="dxa"/>
            <w:vAlign w:val="top"/>
          </w:tcPr>
          <w:p>
            <w:pPr>
              <w:ind w:left="1243"/>
              <w:spacing w:before="13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402" w:hRule="atLeast"/>
        </w:trPr>
        <w:tc>
          <w:tcPr>
            <w:tcW w:w="748" w:type="dxa"/>
            <w:vAlign w:val="top"/>
          </w:tcPr>
          <w:p>
            <w:pPr>
              <w:ind w:left="290"/>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11</w:t>
            </w:r>
          </w:p>
        </w:tc>
        <w:tc>
          <w:tcPr>
            <w:tcW w:w="2120" w:type="dxa"/>
            <w:vAlign w:val="top"/>
          </w:tcPr>
          <w:p>
            <w:pPr>
              <w:pStyle w:val="TableText"/>
              <w:ind w:left="865"/>
              <w:spacing w:before="97" w:line="235" w:lineRule="auto"/>
              <w:rPr/>
            </w:pPr>
            <w:r>
              <w:rPr>
                <w:spacing w:val="-2"/>
              </w:rPr>
              <w:t>萤石</w:t>
            </w:r>
          </w:p>
        </w:tc>
        <w:tc>
          <w:tcPr>
            <w:tcW w:w="2251" w:type="dxa"/>
            <w:vAlign w:val="top"/>
          </w:tcPr>
          <w:p>
            <w:pPr>
              <w:ind w:left="836"/>
              <w:spacing w:before="12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15t/a</w:t>
            </w:r>
          </w:p>
        </w:tc>
        <w:tc>
          <w:tcPr>
            <w:tcW w:w="2251" w:type="dxa"/>
            <w:vAlign w:val="top"/>
          </w:tcPr>
          <w:p>
            <w:pPr>
              <w:ind w:left="1077"/>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552" w:type="dxa"/>
            <w:vAlign w:val="top"/>
          </w:tcPr>
          <w:p>
            <w:pPr>
              <w:ind w:left="1243"/>
              <w:spacing w:before="12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406" w:hRule="atLeast"/>
        </w:trPr>
        <w:tc>
          <w:tcPr>
            <w:tcW w:w="748" w:type="dxa"/>
            <w:vAlign w:val="top"/>
          </w:tcPr>
          <w:p>
            <w:pPr>
              <w:ind w:left="290"/>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2120" w:type="dxa"/>
            <w:vAlign w:val="top"/>
          </w:tcPr>
          <w:p>
            <w:pPr>
              <w:pStyle w:val="TableText"/>
              <w:ind w:left="860"/>
              <w:spacing w:before="98" w:line="231" w:lineRule="auto"/>
              <w:rPr/>
            </w:pPr>
            <w:r>
              <w:rPr>
                <w:spacing w:val="1"/>
              </w:rPr>
              <w:t>液氧</w:t>
            </w:r>
          </w:p>
        </w:tc>
        <w:tc>
          <w:tcPr>
            <w:tcW w:w="2251" w:type="dxa"/>
            <w:vAlign w:val="top"/>
          </w:tcPr>
          <w:p>
            <w:pPr>
              <w:ind w:left="751"/>
              <w:spacing w:before="114"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4"/>
              </w:rPr>
              <w:t>72000m</w:t>
            </w:r>
            <w:r>
              <w:rPr>
                <w:rFonts w:ascii="Times New Roman" w:hAnsi="Times New Roman" w:eastAsia="Times New Roman" w:cs="Times New Roman"/>
                <w:sz w:val="13"/>
                <w:szCs w:val="13"/>
                <w:spacing w:val="4"/>
                <w:position w:val="6"/>
              </w:rPr>
              <w:t>3</w:t>
            </w:r>
          </w:p>
        </w:tc>
        <w:tc>
          <w:tcPr>
            <w:tcW w:w="2251" w:type="dxa"/>
            <w:vAlign w:val="top"/>
          </w:tcPr>
          <w:p>
            <w:pPr>
              <w:ind w:left="782"/>
              <w:spacing w:before="114"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5713 m</w:t>
            </w:r>
            <w:r>
              <w:rPr>
                <w:rFonts w:ascii="Times New Roman" w:hAnsi="Times New Roman" w:eastAsia="Times New Roman" w:cs="Times New Roman"/>
                <w:sz w:val="13"/>
                <w:szCs w:val="13"/>
                <w:spacing w:val="3"/>
                <w:position w:val="6"/>
              </w:rPr>
              <w:t>3</w:t>
            </w:r>
          </w:p>
        </w:tc>
        <w:tc>
          <w:tcPr>
            <w:tcW w:w="2552" w:type="dxa"/>
            <w:vAlign w:val="top"/>
          </w:tcPr>
          <w:p>
            <w:pPr>
              <w:ind w:left="1243"/>
              <w:spacing w:before="13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bl>
    <w:p>
      <w:pPr>
        <w:rPr>
          <w:rFonts w:ascii="Arial"/>
          <w:sz w:val="21"/>
        </w:rPr>
      </w:pPr>
      <w:r/>
    </w:p>
    <w:p>
      <w:pPr>
        <w:sectPr>
          <w:headerReference w:type="default" r:id="rId72"/>
          <w:footerReference w:type="default" r:id="rId73"/>
          <w:pgSz w:w="11906" w:h="16839"/>
          <w:pgMar w:top="1139" w:right="1011" w:bottom="1252" w:left="967" w:header="831" w:footer="1090" w:gutter="0"/>
        </w:sectPr>
        <w:rPr>
          <w:rFonts w:ascii="Arial" w:hAnsi="Arial" w:eastAsia="Arial" w:cs="Arial"/>
          <w:sz w:val="21"/>
          <w:szCs w:val="21"/>
        </w:rPr>
      </w:pPr>
    </w:p>
    <w:p>
      <w:pPr>
        <w:spacing w:line="333" w:lineRule="auto"/>
        <w:rPr>
          <w:rFonts w:ascii="Arial"/>
          <w:sz w:val="21"/>
        </w:rPr>
      </w:pPr>
      <w:r/>
    </w:p>
    <w:p>
      <w:pPr>
        <w:pStyle w:val="BodyText"/>
        <w:ind w:left="2103"/>
        <w:spacing w:before="78" w:line="221" w:lineRule="auto"/>
        <w:rPr>
          <w:rFonts w:ascii="FangSong" w:hAnsi="FangSong" w:eastAsia="FangSong" w:cs="FangSong"/>
          <w:sz w:val="24"/>
          <w:szCs w:val="24"/>
        </w:rPr>
      </w:pPr>
      <w:r>
        <w:rPr>
          <w:rFonts w:ascii="FangSong" w:hAnsi="FangSong" w:eastAsia="FangSong" w:cs="FangSong"/>
          <w:sz w:val="24"/>
          <w:szCs w:val="24"/>
          <w:b/>
          <w:bCs/>
          <w:spacing w:val="-2"/>
        </w:rPr>
        <w:t>表</w:t>
      </w:r>
      <w:r>
        <w:rPr>
          <w:sz w:val="24"/>
          <w:szCs w:val="24"/>
          <w:b/>
          <w:bCs/>
          <w:spacing w:val="-2"/>
        </w:rPr>
        <w:t>4.1-2    </w:t>
      </w:r>
      <w:r>
        <w:rPr>
          <w:rFonts w:ascii="FangSong" w:hAnsi="FangSong" w:eastAsia="FangSong" w:cs="FangSong"/>
          <w:sz w:val="24"/>
          <w:szCs w:val="24"/>
          <w:b/>
          <w:bCs/>
          <w:spacing w:val="-2"/>
        </w:rPr>
        <w:t>企业危险废物经营许可证校准的危险废物类别</w:t>
      </w:r>
    </w:p>
    <w:p>
      <w:pPr>
        <w:spacing w:line="66" w:lineRule="exact"/>
        <w:rPr/>
      </w:pPr>
      <w:r/>
    </w:p>
    <w:tbl>
      <w:tblPr>
        <w:tblStyle w:val="TableNormal"/>
        <w:tblW w:w="995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12"/>
        <w:gridCol w:w="6395"/>
        <w:gridCol w:w="1219"/>
        <w:gridCol w:w="1226"/>
      </w:tblGrid>
      <w:tr>
        <w:trPr>
          <w:trHeight w:val="406" w:hRule="atLeast"/>
        </w:trPr>
        <w:tc>
          <w:tcPr>
            <w:tcW w:w="1112" w:type="dxa"/>
            <w:vAlign w:val="top"/>
          </w:tcPr>
          <w:p>
            <w:pPr>
              <w:pStyle w:val="TableText"/>
              <w:ind w:left="148"/>
              <w:spacing w:before="97" w:line="229" w:lineRule="auto"/>
              <w:rPr/>
            </w:pPr>
            <w:r>
              <w:rPr>
                <w:b/>
                <w:bCs/>
                <w:spacing w:val="4"/>
              </w:rPr>
              <w:t>废物类别</w:t>
            </w:r>
          </w:p>
        </w:tc>
        <w:tc>
          <w:tcPr>
            <w:tcW w:w="6395" w:type="dxa"/>
            <w:vAlign w:val="top"/>
          </w:tcPr>
          <w:p>
            <w:pPr>
              <w:pStyle w:val="TableText"/>
              <w:ind w:left="2789"/>
              <w:spacing w:before="97" w:line="229" w:lineRule="auto"/>
              <w:rPr/>
            </w:pPr>
            <w:r>
              <w:rPr>
                <w:b/>
                <w:bCs/>
                <w:spacing w:val="4"/>
              </w:rPr>
              <w:t>废物名称</w:t>
            </w:r>
          </w:p>
        </w:tc>
        <w:tc>
          <w:tcPr>
            <w:tcW w:w="1219" w:type="dxa"/>
            <w:vAlign w:val="top"/>
          </w:tcPr>
          <w:p>
            <w:pPr>
              <w:pStyle w:val="TableText"/>
              <w:ind w:left="203"/>
              <w:spacing w:before="97" w:line="229" w:lineRule="auto"/>
              <w:rPr/>
            </w:pPr>
            <w:r>
              <w:rPr>
                <w:b/>
                <w:bCs/>
                <w:spacing w:val="4"/>
              </w:rPr>
              <w:t>废物代码</w:t>
            </w:r>
          </w:p>
        </w:tc>
        <w:tc>
          <w:tcPr>
            <w:tcW w:w="1226" w:type="dxa"/>
            <w:vAlign w:val="top"/>
          </w:tcPr>
          <w:p>
            <w:pPr>
              <w:pStyle w:val="TableText"/>
              <w:ind w:left="134"/>
              <w:spacing w:before="97" w:line="230" w:lineRule="auto"/>
              <w:rPr/>
            </w:pPr>
            <w:r>
              <w:rPr>
                <w:b/>
                <w:bCs/>
              </w:rPr>
              <w:t>能力（</w:t>
            </w:r>
            <w:r>
              <w:rPr>
                <w:rFonts w:ascii="Times New Roman" w:hAnsi="Times New Roman" w:eastAsia="Times New Roman" w:cs="Times New Roman"/>
                <w:b/>
                <w:bCs/>
              </w:rPr>
              <w:t>t/a</w:t>
            </w:r>
            <w:r>
              <w:rPr>
                <w:b/>
                <w:bCs/>
              </w:rPr>
              <w:t>）</w:t>
            </w:r>
          </w:p>
        </w:tc>
      </w:tr>
      <w:tr>
        <w:trPr>
          <w:trHeight w:val="628" w:hRule="atLeast"/>
        </w:trPr>
        <w:tc>
          <w:tcPr>
            <w:tcW w:w="1112" w:type="dxa"/>
            <w:vAlign w:val="top"/>
            <w:vMerge w:val="restart"/>
            <w:tcBorders>
              <w:bottom w:val="nil"/>
            </w:tcBorders>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52" w:right="135" w:firstLine="19"/>
              <w:spacing w:before="65" w:line="288" w:lineRule="auto"/>
              <w:rPr/>
            </w:pPr>
            <w:r>
              <w:rPr>
                <w:rFonts w:ascii="Times New Roman" w:hAnsi="Times New Roman" w:eastAsia="Times New Roman" w:cs="Times New Roman"/>
              </w:rPr>
              <w:t>HW</w:t>
            </w:r>
            <w:r>
              <w:rPr>
                <w:rFonts w:ascii="Times New Roman" w:hAnsi="Times New Roman" w:eastAsia="Times New Roman" w:cs="Times New Roman"/>
                <w:spacing w:val="10"/>
              </w:rPr>
              <w:t>17</w:t>
            </w:r>
            <w:r>
              <w:rPr>
                <w:spacing w:val="10"/>
              </w:rPr>
              <w:t>表</w:t>
            </w:r>
            <w:r>
              <w:rPr/>
              <w:t xml:space="preserve"> </w:t>
            </w:r>
            <w:r>
              <w:rPr>
                <w:spacing w:val="4"/>
              </w:rPr>
              <w:t>面处理废</w:t>
            </w:r>
          </w:p>
          <w:p>
            <w:pPr>
              <w:pStyle w:val="TableText"/>
              <w:ind w:left="463"/>
              <w:spacing w:line="229" w:lineRule="auto"/>
              <w:rPr/>
            </w:pPr>
            <w:r>
              <w:rPr/>
              <w:t>物</w:t>
            </w:r>
          </w:p>
        </w:tc>
        <w:tc>
          <w:tcPr>
            <w:tcW w:w="6395" w:type="dxa"/>
            <w:vAlign w:val="top"/>
          </w:tcPr>
          <w:p>
            <w:pPr>
              <w:pStyle w:val="TableText"/>
              <w:ind w:left="164"/>
              <w:spacing w:before="53" w:line="229" w:lineRule="auto"/>
              <w:rPr/>
            </w:pPr>
            <w:r>
              <w:rPr>
                <w:spacing w:val="9"/>
              </w:rPr>
              <w:t>使用锌和电镀化学品进行镀锌产生的废槽液、废槽渣和废水处理污</w:t>
            </w:r>
          </w:p>
          <w:p>
            <w:pPr>
              <w:pStyle w:val="TableText"/>
              <w:ind w:left="3103"/>
              <w:spacing w:before="63" w:line="233" w:lineRule="auto"/>
              <w:rPr/>
            </w:pPr>
            <w:r>
              <w:rPr/>
              <w:t>泥</w:t>
            </w:r>
          </w:p>
        </w:tc>
        <w:tc>
          <w:tcPr>
            <w:tcW w:w="1219" w:type="dxa"/>
            <w:vAlign w:val="top"/>
          </w:tcPr>
          <w:p>
            <w:pPr>
              <w:ind w:left="126"/>
              <w:spacing w:before="2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336-052-17</w:t>
            </w:r>
          </w:p>
        </w:tc>
        <w:tc>
          <w:tcPr>
            <w:tcW w:w="1226"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31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112000</w:t>
            </w:r>
          </w:p>
        </w:tc>
      </w:tr>
      <w:tr>
        <w:trPr>
          <w:trHeight w:val="629"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164"/>
              <w:spacing w:before="54" w:line="229" w:lineRule="auto"/>
              <w:rPr/>
            </w:pPr>
            <w:r>
              <w:rPr>
                <w:spacing w:val="9"/>
              </w:rPr>
              <w:t>使用镍和电镀化学品进行镀镍产生的废槽液、废槽渣和废水处理污</w:t>
            </w:r>
          </w:p>
          <w:p>
            <w:pPr>
              <w:pStyle w:val="TableText"/>
              <w:ind w:left="3103"/>
              <w:spacing w:before="64" w:line="233" w:lineRule="auto"/>
              <w:rPr/>
            </w:pPr>
            <w:r>
              <w:rPr/>
              <w:t>泥</w:t>
            </w:r>
          </w:p>
        </w:tc>
        <w:tc>
          <w:tcPr>
            <w:tcW w:w="1219" w:type="dxa"/>
            <w:vAlign w:val="top"/>
          </w:tcPr>
          <w:p>
            <w:pPr>
              <w:ind w:left="126"/>
              <w:spacing w:before="2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336-054-17</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479"/>
              <w:spacing w:before="94" w:line="229" w:lineRule="auto"/>
              <w:rPr/>
            </w:pPr>
            <w:r>
              <w:rPr>
                <w:spacing w:val="9"/>
              </w:rPr>
              <w:t>使用镀镍液进行镀镍产生的废槽液、废槽渣和废水处理污泥</w:t>
            </w:r>
          </w:p>
        </w:tc>
        <w:tc>
          <w:tcPr>
            <w:tcW w:w="1219" w:type="dxa"/>
            <w:vAlign w:val="top"/>
          </w:tcPr>
          <w:p>
            <w:pPr>
              <w:ind w:left="126"/>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336-055-17</w:t>
            </w:r>
          </w:p>
        </w:tc>
        <w:tc>
          <w:tcPr>
            <w:tcW w:w="1226" w:type="dxa"/>
            <w:vAlign w:val="top"/>
            <w:vMerge w:val="continue"/>
            <w:tcBorders>
              <w:top w:val="nil"/>
              <w:bottom w:val="nil"/>
            </w:tcBorders>
          </w:tcPr>
          <w:p>
            <w:pPr>
              <w:rPr>
                <w:rFonts w:ascii="Arial"/>
                <w:sz w:val="21"/>
              </w:rPr>
            </w:pPr>
            <w:r/>
          </w:p>
        </w:tc>
      </w:tr>
      <w:tr>
        <w:trPr>
          <w:trHeight w:val="628"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164"/>
              <w:spacing w:before="52" w:line="228" w:lineRule="auto"/>
              <w:rPr/>
            </w:pPr>
            <w:r>
              <w:rPr>
                <w:spacing w:val="8"/>
              </w:rPr>
              <w:t>使用硝酸银、碱、</w:t>
            </w:r>
            <w:r>
              <w:rPr>
                <w:spacing w:val="-50"/>
              </w:rPr>
              <w:t xml:space="preserve"> </w:t>
            </w:r>
            <w:r>
              <w:rPr>
                <w:spacing w:val="8"/>
              </w:rPr>
              <w:t>甲醛进行敷金属法镀银产生</w:t>
            </w:r>
            <w:r>
              <w:rPr>
                <w:spacing w:val="7"/>
              </w:rPr>
              <w:t>的废槽液、槽渣和废</w:t>
            </w:r>
          </w:p>
          <w:p>
            <w:pPr>
              <w:pStyle w:val="TableText"/>
              <w:ind w:left="2683"/>
              <w:spacing w:before="64" w:line="232" w:lineRule="auto"/>
              <w:rPr/>
            </w:pPr>
            <w:r>
              <w:rPr>
                <w:spacing w:val="7"/>
              </w:rPr>
              <w:t>水处理污泥</w:t>
            </w:r>
          </w:p>
        </w:tc>
        <w:tc>
          <w:tcPr>
            <w:tcW w:w="1219" w:type="dxa"/>
            <w:vAlign w:val="top"/>
          </w:tcPr>
          <w:p>
            <w:pPr>
              <w:ind w:left="126"/>
              <w:spacing w:before="2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336-056-17</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164"/>
              <w:spacing w:before="96" w:line="229" w:lineRule="auto"/>
              <w:rPr/>
            </w:pPr>
            <w:r>
              <w:rPr>
                <w:spacing w:val="9"/>
              </w:rPr>
              <w:t>使用金和电镀化学品进行镀金产生的废槽液、槽渣和废水处理污泥</w:t>
            </w:r>
          </w:p>
        </w:tc>
        <w:tc>
          <w:tcPr>
            <w:tcW w:w="1219" w:type="dxa"/>
            <w:vAlign w:val="top"/>
          </w:tcPr>
          <w:p>
            <w:pPr>
              <w:ind w:left="126"/>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336-057-17</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373"/>
              <w:spacing w:before="97" w:line="229" w:lineRule="auto"/>
              <w:rPr/>
            </w:pPr>
            <w:r>
              <w:rPr>
                <w:spacing w:val="9"/>
              </w:rPr>
              <w:t>使用镀铜液进行化学镀铜产生的废槽液、槽渣和废水处理污泥</w:t>
            </w:r>
          </w:p>
        </w:tc>
        <w:tc>
          <w:tcPr>
            <w:tcW w:w="1219" w:type="dxa"/>
            <w:vAlign w:val="top"/>
          </w:tcPr>
          <w:p>
            <w:pPr>
              <w:ind w:left="126"/>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336-058-17</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690"/>
              <w:spacing w:before="96" w:line="229" w:lineRule="auto"/>
              <w:rPr/>
            </w:pPr>
            <w:r>
              <w:rPr>
                <w:spacing w:val="9"/>
              </w:rPr>
              <w:t>使用钯和锡盐进行活化处理产生的废渣和废水处理污泥</w:t>
            </w:r>
          </w:p>
        </w:tc>
        <w:tc>
          <w:tcPr>
            <w:tcW w:w="1219" w:type="dxa"/>
            <w:vAlign w:val="top"/>
          </w:tcPr>
          <w:p>
            <w:pPr>
              <w:ind w:left="126"/>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336-059-17</w:t>
            </w:r>
          </w:p>
        </w:tc>
        <w:tc>
          <w:tcPr>
            <w:tcW w:w="1226" w:type="dxa"/>
            <w:vAlign w:val="top"/>
            <w:vMerge w:val="continue"/>
            <w:tcBorders>
              <w:top w:val="nil"/>
              <w:bottom w:val="nil"/>
            </w:tcBorders>
          </w:tcPr>
          <w:p>
            <w:pPr>
              <w:rPr>
                <w:rFonts w:ascii="Arial"/>
                <w:sz w:val="21"/>
              </w:rPr>
            </w:pPr>
            <w:r/>
          </w:p>
        </w:tc>
      </w:tr>
      <w:tr>
        <w:trPr>
          <w:trHeight w:val="629"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164"/>
              <w:spacing w:before="53" w:line="229" w:lineRule="auto"/>
              <w:rPr/>
            </w:pPr>
            <w:r>
              <w:rPr>
                <w:spacing w:val="9"/>
              </w:rPr>
              <w:t>使用铬和电镀化学品进行镀黑铬产生的废槽液、槽渣和废水处理污</w:t>
            </w:r>
          </w:p>
          <w:p>
            <w:pPr>
              <w:pStyle w:val="TableText"/>
              <w:ind w:left="3103"/>
              <w:spacing w:before="63" w:line="234" w:lineRule="auto"/>
              <w:rPr/>
            </w:pPr>
            <w:r>
              <w:rPr/>
              <w:t>泥</w:t>
            </w:r>
          </w:p>
        </w:tc>
        <w:tc>
          <w:tcPr>
            <w:tcW w:w="1219" w:type="dxa"/>
            <w:vAlign w:val="top"/>
          </w:tcPr>
          <w:p>
            <w:pPr>
              <w:ind w:left="126"/>
              <w:spacing w:before="2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336-060-17</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164"/>
              <w:spacing w:before="96" w:line="229" w:lineRule="auto"/>
              <w:rPr/>
            </w:pPr>
            <w:r>
              <w:rPr>
                <w:spacing w:val="9"/>
              </w:rPr>
              <w:t>使用铜和电镀化学品进行镀铜产生的废槽液、槽渣和废水处理污泥</w:t>
            </w:r>
          </w:p>
        </w:tc>
        <w:tc>
          <w:tcPr>
            <w:tcW w:w="1219" w:type="dxa"/>
            <w:vAlign w:val="top"/>
          </w:tcPr>
          <w:p>
            <w:pPr>
              <w:ind w:left="126"/>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336-062-17</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900"/>
              <w:spacing w:before="97" w:line="230" w:lineRule="auto"/>
              <w:rPr/>
            </w:pPr>
            <w:r>
              <w:rPr>
                <w:spacing w:val="9"/>
              </w:rPr>
              <w:t>其他电镀工艺产生的废槽液、槽渣和废水处理污泥</w:t>
            </w:r>
          </w:p>
        </w:tc>
        <w:tc>
          <w:tcPr>
            <w:tcW w:w="1219" w:type="dxa"/>
            <w:vAlign w:val="top"/>
          </w:tcPr>
          <w:p>
            <w:pPr>
              <w:ind w:left="126"/>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336-063-17</w:t>
            </w:r>
          </w:p>
        </w:tc>
        <w:tc>
          <w:tcPr>
            <w:tcW w:w="1226" w:type="dxa"/>
            <w:vAlign w:val="top"/>
            <w:vMerge w:val="continue"/>
            <w:tcBorders>
              <w:top w:val="nil"/>
              <w:bottom w:val="nil"/>
            </w:tcBorders>
          </w:tcPr>
          <w:p>
            <w:pPr>
              <w:rPr>
                <w:rFonts w:ascii="Arial"/>
                <w:sz w:val="21"/>
              </w:rPr>
            </w:pPr>
            <w:r/>
          </w:p>
        </w:tc>
      </w:tr>
      <w:tr>
        <w:trPr>
          <w:trHeight w:val="1876" w:hRule="atLeast"/>
        </w:trPr>
        <w:tc>
          <w:tcPr>
            <w:tcW w:w="1112" w:type="dxa"/>
            <w:vAlign w:val="top"/>
            <w:vMerge w:val="continue"/>
            <w:tcBorders>
              <w:top w:val="nil"/>
            </w:tcBorders>
          </w:tcPr>
          <w:p>
            <w:pPr>
              <w:rPr>
                <w:rFonts w:ascii="Arial"/>
                <w:sz w:val="21"/>
              </w:rPr>
            </w:pPr>
            <w:r/>
          </w:p>
        </w:tc>
        <w:tc>
          <w:tcPr>
            <w:tcW w:w="6395" w:type="dxa"/>
            <w:vAlign w:val="top"/>
          </w:tcPr>
          <w:p>
            <w:pPr>
              <w:pStyle w:val="TableText"/>
              <w:ind w:left="122" w:right="17" w:firstLine="41"/>
              <w:spacing w:before="53" w:line="288" w:lineRule="auto"/>
              <w:rPr/>
            </w:pPr>
            <w:r>
              <w:rPr>
                <w:spacing w:val="8"/>
              </w:rPr>
              <w:t>金属或塑料表面酸（碱）洗、除油、除锈、洗涤、磷化、</w:t>
            </w:r>
            <w:r>
              <w:rPr>
                <w:spacing w:val="-57"/>
              </w:rPr>
              <w:t xml:space="preserve"> </w:t>
            </w:r>
            <w:r>
              <w:rPr>
                <w:spacing w:val="7"/>
              </w:rPr>
              <w:t>出光、化</w:t>
            </w:r>
            <w:r>
              <w:rPr/>
              <w:t xml:space="preserve">  </w:t>
            </w:r>
            <w:r>
              <w:rPr>
                <w:spacing w:val="11"/>
              </w:rPr>
              <w:t>抛工艺产生的废腐蚀液、废洗涤液、废槽液、槽渣和废水</w:t>
            </w:r>
            <w:r>
              <w:rPr>
                <w:spacing w:val="10"/>
              </w:rPr>
              <w:t>处理污泥</w:t>
            </w:r>
            <w:r>
              <w:rPr/>
              <w:t xml:space="preserve">  </w:t>
            </w:r>
            <w:r>
              <w:rPr>
                <w:spacing w:val="8"/>
              </w:rPr>
              <w:t>（不包括：铝、镁材（板）表面酸（碱）洗、粗化、硫酸阳极处理、</w:t>
            </w:r>
            <w:r>
              <w:rPr>
                <w:spacing w:val="8"/>
              </w:rPr>
              <w:t xml:space="preserve"> </w:t>
            </w:r>
            <w:r>
              <w:rPr>
                <w:spacing w:val="11"/>
              </w:rPr>
              <w:t>磷酸化学抛光废水处理污泥，铝电解电容器用铝电极箔化学腐蚀、</w:t>
            </w:r>
            <w:r>
              <w:rPr>
                <w:spacing w:val="8"/>
              </w:rPr>
              <w:t xml:space="preserve">  </w:t>
            </w:r>
            <w:r>
              <w:rPr>
                <w:spacing w:val="8"/>
              </w:rPr>
              <w:t>非硼酸系化成液化成废水处理污泥，铝材挤压加工模具碱洗（煲模）</w:t>
            </w:r>
          </w:p>
          <w:p>
            <w:pPr>
              <w:pStyle w:val="TableText"/>
              <w:ind w:left="1112"/>
              <w:spacing w:before="1" w:line="232" w:lineRule="auto"/>
              <w:rPr/>
            </w:pPr>
            <w:r>
              <w:rPr>
                <w:spacing w:val="8"/>
              </w:rPr>
              <w:t>废水处理污泥，碳钢酸洗除锈废水处理污泥）</w:t>
            </w:r>
          </w:p>
        </w:tc>
        <w:tc>
          <w:tcPr>
            <w:tcW w:w="1219" w:type="dxa"/>
            <w:vAlign w:val="top"/>
          </w:tcPr>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ind w:left="126"/>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336-064-17</w:t>
            </w:r>
          </w:p>
        </w:tc>
        <w:tc>
          <w:tcPr>
            <w:tcW w:w="1226" w:type="dxa"/>
            <w:vAlign w:val="top"/>
            <w:vMerge w:val="continue"/>
            <w:tcBorders>
              <w:top w:val="nil"/>
            </w:tcBorders>
          </w:tcPr>
          <w:p>
            <w:pPr>
              <w:rPr>
                <w:rFonts w:ascii="Arial"/>
                <w:sz w:val="21"/>
              </w:rPr>
            </w:pPr>
            <w:r/>
          </w:p>
        </w:tc>
      </w:tr>
      <w:tr>
        <w:trPr>
          <w:trHeight w:val="402" w:hRule="atLeast"/>
        </w:trPr>
        <w:tc>
          <w:tcPr>
            <w:tcW w:w="1112" w:type="dxa"/>
            <w:vAlign w:val="top"/>
            <w:vMerge w:val="restart"/>
            <w:tcBorders>
              <w:bottom w:val="nil"/>
            </w:tcBorders>
          </w:tcPr>
          <w:p>
            <w:pPr>
              <w:spacing w:line="241" w:lineRule="auto"/>
              <w:rPr>
                <w:rFonts w:ascii="Arial"/>
                <w:sz w:val="21"/>
              </w:rPr>
            </w:pPr>
            <w:r/>
          </w:p>
          <w:p>
            <w:pPr>
              <w:spacing w:line="242" w:lineRule="auto"/>
              <w:rPr>
                <w:rFonts w:ascii="Arial"/>
                <w:sz w:val="21"/>
              </w:rPr>
            </w:pPr>
            <w:r/>
          </w:p>
          <w:p>
            <w:pPr>
              <w:pStyle w:val="TableText"/>
              <w:ind w:left="254" w:right="171" w:hanging="83"/>
              <w:spacing w:before="65" w:line="288" w:lineRule="auto"/>
              <w:rPr/>
            </w:pPr>
            <w:r>
              <w:rPr>
                <w:rFonts w:ascii="Times New Roman" w:hAnsi="Times New Roman" w:eastAsia="Times New Roman" w:cs="Times New Roman"/>
              </w:rPr>
              <w:t>HW</w:t>
            </w:r>
            <w:r>
              <w:rPr>
                <w:rFonts w:ascii="Times New Roman" w:hAnsi="Times New Roman" w:eastAsia="Times New Roman" w:cs="Times New Roman"/>
                <w:spacing w:val="10"/>
              </w:rPr>
              <w:t>21</w:t>
            </w:r>
            <w:r>
              <w:rPr>
                <w:spacing w:val="10"/>
              </w:rPr>
              <w:t>含</w:t>
            </w:r>
            <w:r>
              <w:rPr/>
              <w:t xml:space="preserve"> </w:t>
            </w:r>
            <w:r>
              <w:rPr>
                <w:spacing w:val="4"/>
              </w:rPr>
              <w:t>铬废物</w:t>
            </w:r>
          </w:p>
        </w:tc>
        <w:tc>
          <w:tcPr>
            <w:tcW w:w="6395" w:type="dxa"/>
            <w:vAlign w:val="top"/>
          </w:tcPr>
          <w:p>
            <w:pPr>
              <w:pStyle w:val="TableText"/>
              <w:ind w:left="899"/>
              <w:spacing w:before="96" w:line="230" w:lineRule="auto"/>
              <w:rPr/>
            </w:pPr>
            <w:r>
              <w:rPr>
                <w:spacing w:val="9"/>
              </w:rPr>
              <w:t>铬铁硅合金生产过程中集（除）尘装置收集的粉尘</w:t>
            </w:r>
          </w:p>
        </w:tc>
        <w:tc>
          <w:tcPr>
            <w:tcW w:w="1219" w:type="dxa"/>
            <w:vAlign w:val="top"/>
          </w:tcPr>
          <w:p>
            <w:pPr>
              <w:ind w:left="126"/>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314-001-21</w:t>
            </w:r>
          </w:p>
        </w:tc>
        <w:tc>
          <w:tcPr>
            <w:tcW w:w="1226" w:type="dxa"/>
            <w:vAlign w:val="top"/>
            <w:vMerge w:val="restart"/>
            <w:tcBorders>
              <w:bottom w:val="nil"/>
            </w:tcBorders>
          </w:tcPr>
          <w:p>
            <w:pPr>
              <w:spacing w:line="341" w:lineRule="auto"/>
              <w:rPr>
                <w:rFonts w:ascii="Arial"/>
                <w:sz w:val="21"/>
              </w:rPr>
            </w:pPr>
            <w:r/>
          </w:p>
          <w:p>
            <w:pPr>
              <w:spacing w:line="341" w:lineRule="auto"/>
              <w:rPr>
                <w:rFonts w:ascii="Arial"/>
                <w:sz w:val="21"/>
              </w:rPr>
            </w:pPr>
            <w:r/>
          </w:p>
          <w:p>
            <w:pPr>
              <w:ind w:left="40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2000</w:t>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1004"/>
              <w:spacing w:before="97" w:line="230" w:lineRule="auto"/>
              <w:rPr/>
            </w:pPr>
            <w:r>
              <w:rPr>
                <w:spacing w:val="9"/>
              </w:rPr>
              <w:t>铬铁合金生产过程中集（除）尘装置收集的粉尘</w:t>
            </w:r>
          </w:p>
        </w:tc>
        <w:tc>
          <w:tcPr>
            <w:tcW w:w="1219" w:type="dxa"/>
            <w:vAlign w:val="top"/>
          </w:tcPr>
          <w:p>
            <w:pPr>
              <w:ind w:left="126"/>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314-002-21</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1004"/>
              <w:spacing w:before="98" w:line="230" w:lineRule="auto"/>
              <w:rPr/>
            </w:pPr>
            <w:r>
              <w:rPr>
                <w:spacing w:val="9"/>
              </w:rPr>
              <w:t>铬铁合金生产过程中金属铬冶炼产生的铬浸出渣</w:t>
            </w:r>
          </w:p>
        </w:tc>
        <w:tc>
          <w:tcPr>
            <w:tcW w:w="1219" w:type="dxa"/>
            <w:vAlign w:val="top"/>
          </w:tcPr>
          <w:p>
            <w:pPr>
              <w:ind w:left="126"/>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314-003-21</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tcBorders>
          </w:tcPr>
          <w:p>
            <w:pPr>
              <w:rPr>
                <w:rFonts w:ascii="Arial"/>
                <w:sz w:val="21"/>
              </w:rPr>
            </w:pPr>
            <w:r/>
          </w:p>
        </w:tc>
        <w:tc>
          <w:tcPr>
            <w:tcW w:w="6395" w:type="dxa"/>
            <w:vAlign w:val="top"/>
          </w:tcPr>
          <w:p>
            <w:pPr>
              <w:pStyle w:val="TableText"/>
              <w:ind w:left="479"/>
              <w:spacing w:before="97" w:line="229" w:lineRule="auto"/>
              <w:rPr/>
            </w:pPr>
            <w:r>
              <w:rPr>
                <w:spacing w:val="9"/>
              </w:rPr>
              <w:t>使用铬酸进行阳极氧化产生的废槽液、槽渣及废水处理污泥</w:t>
            </w:r>
          </w:p>
        </w:tc>
        <w:tc>
          <w:tcPr>
            <w:tcW w:w="1219" w:type="dxa"/>
            <w:vAlign w:val="top"/>
          </w:tcPr>
          <w:p>
            <w:pPr>
              <w:ind w:left="126"/>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336-100-21</w:t>
            </w:r>
          </w:p>
        </w:tc>
        <w:tc>
          <w:tcPr>
            <w:tcW w:w="1226" w:type="dxa"/>
            <w:vAlign w:val="top"/>
            <w:vMerge w:val="continue"/>
            <w:tcBorders>
              <w:top w:val="nil"/>
            </w:tcBorders>
          </w:tcPr>
          <w:p>
            <w:pPr>
              <w:rPr>
                <w:rFonts w:ascii="Arial"/>
                <w:sz w:val="21"/>
              </w:rPr>
            </w:pPr>
            <w:r/>
          </w:p>
        </w:tc>
      </w:tr>
      <w:tr>
        <w:trPr>
          <w:trHeight w:val="402" w:hRule="atLeast"/>
        </w:trPr>
        <w:tc>
          <w:tcPr>
            <w:tcW w:w="1112" w:type="dxa"/>
            <w:vAlign w:val="top"/>
            <w:vMerge w:val="restart"/>
            <w:tcBorders>
              <w:bottom w:val="nil"/>
            </w:tcBorders>
          </w:tcPr>
          <w:p>
            <w:pPr>
              <w:spacing w:line="279" w:lineRule="auto"/>
              <w:rPr>
                <w:rFonts w:ascii="Arial"/>
                <w:sz w:val="21"/>
              </w:rPr>
            </w:pPr>
            <w:r/>
          </w:p>
          <w:p>
            <w:pPr>
              <w:pStyle w:val="TableText"/>
              <w:ind w:left="254" w:right="171" w:hanging="83"/>
              <w:spacing w:before="65" w:line="288" w:lineRule="auto"/>
              <w:rPr/>
            </w:pPr>
            <w:r>
              <w:rPr>
                <w:rFonts w:ascii="Times New Roman" w:hAnsi="Times New Roman" w:eastAsia="Times New Roman" w:cs="Times New Roman"/>
              </w:rPr>
              <w:t>HW</w:t>
            </w:r>
            <w:r>
              <w:rPr>
                <w:rFonts w:ascii="Times New Roman" w:hAnsi="Times New Roman" w:eastAsia="Times New Roman" w:cs="Times New Roman"/>
                <w:spacing w:val="10"/>
              </w:rPr>
              <w:t>22</w:t>
            </w:r>
            <w:r>
              <w:rPr>
                <w:spacing w:val="10"/>
              </w:rPr>
              <w:t>含</w:t>
            </w:r>
            <w:r>
              <w:rPr/>
              <w:t xml:space="preserve"> </w:t>
            </w:r>
            <w:r>
              <w:rPr>
                <w:spacing w:val="4"/>
              </w:rPr>
              <w:t>铜废物</w:t>
            </w:r>
          </w:p>
        </w:tc>
        <w:tc>
          <w:tcPr>
            <w:tcW w:w="6395" w:type="dxa"/>
            <w:vAlign w:val="top"/>
          </w:tcPr>
          <w:p>
            <w:pPr>
              <w:pStyle w:val="TableText"/>
              <w:ind w:left="164"/>
              <w:spacing w:before="98" w:line="229" w:lineRule="auto"/>
              <w:rPr/>
            </w:pPr>
            <w:r>
              <w:rPr>
                <w:spacing w:val="9"/>
              </w:rPr>
              <w:t>使用硫酸铜进行敷金属法镀铜产生的废槽液、槽渣及废水处理污泥</w:t>
            </w:r>
          </w:p>
        </w:tc>
        <w:tc>
          <w:tcPr>
            <w:tcW w:w="1219" w:type="dxa"/>
            <w:vAlign w:val="top"/>
          </w:tcPr>
          <w:p>
            <w:pPr>
              <w:ind w:left="126"/>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304-001-22</w:t>
            </w:r>
          </w:p>
        </w:tc>
        <w:tc>
          <w:tcPr>
            <w:tcW w:w="1226" w:type="dxa"/>
            <w:vAlign w:val="top"/>
            <w:vMerge w:val="restart"/>
            <w:tcBorders>
              <w:bottom w:val="nil"/>
            </w:tcBorders>
          </w:tcPr>
          <w:p>
            <w:pPr>
              <w:spacing w:line="479" w:lineRule="auto"/>
              <w:rPr>
                <w:rFonts w:ascii="Arial"/>
                <w:sz w:val="21"/>
              </w:rPr>
            </w:pPr>
            <w:r/>
          </w:p>
          <w:p>
            <w:pPr>
              <w:ind w:left="356"/>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34000</w:t>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899"/>
              <w:spacing w:before="97" w:line="229" w:lineRule="auto"/>
              <w:rPr/>
            </w:pPr>
            <w:r>
              <w:rPr>
                <w:spacing w:val="9"/>
              </w:rPr>
              <w:t>使用酸进行铜氧化处理产生的废液及废水处理污泥</w:t>
            </w:r>
          </w:p>
        </w:tc>
        <w:tc>
          <w:tcPr>
            <w:tcW w:w="1219" w:type="dxa"/>
            <w:vAlign w:val="top"/>
          </w:tcPr>
          <w:p>
            <w:pPr>
              <w:ind w:left="126"/>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398-005-22</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tcBorders>
          </w:tcPr>
          <w:p>
            <w:pPr>
              <w:rPr>
                <w:rFonts w:ascii="Arial"/>
                <w:sz w:val="21"/>
              </w:rPr>
            </w:pPr>
            <w:r/>
          </w:p>
        </w:tc>
        <w:tc>
          <w:tcPr>
            <w:tcW w:w="6395" w:type="dxa"/>
            <w:vAlign w:val="top"/>
          </w:tcPr>
          <w:p>
            <w:pPr>
              <w:pStyle w:val="TableText"/>
              <w:ind w:left="1005"/>
              <w:spacing w:before="97" w:line="231" w:lineRule="auto"/>
              <w:rPr/>
            </w:pPr>
            <w:r>
              <w:rPr>
                <w:spacing w:val="9"/>
              </w:rPr>
              <w:t>铜板蚀刻过程中产生的废蚀刻液及废水处理污泥</w:t>
            </w:r>
          </w:p>
        </w:tc>
        <w:tc>
          <w:tcPr>
            <w:tcW w:w="1219" w:type="dxa"/>
            <w:vAlign w:val="top"/>
          </w:tcPr>
          <w:p>
            <w:pPr>
              <w:ind w:left="126"/>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398-051-22</w:t>
            </w:r>
          </w:p>
        </w:tc>
        <w:tc>
          <w:tcPr>
            <w:tcW w:w="1226" w:type="dxa"/>
            <w:vAlign w:val="top"/>
            <w:vMerge w:val="continue"/>
            <w:tcBorders>
              <w:top w:val="nil"/>
            </w:tcBorders>
          </w:tcPr>
          <w:p>
            <w:pPr>
              <w:rPr>
                <w:rFonts w:ascii="Arial"/>
                <w:sz w:val="21"/>
              </w:rPr>
            </w:pPr>
            <w:r/>
          </w:p>
        </w:tc>
      </w:tr>
      <w:tr>
        <w:trPr>
          <w:trHeight w:val="628" w:hRule="atLeast"/>
        </w:trPr>
        <w:tc>
          <w:tcPr>
            <w:tcW w:w="1112" w:type="dxa"/>
            <w:vAlign w:val="top"/>
            <w:vMerge w:val="restart"/>
            <w:tcBorders>
              <w:bottom w:val="nil"/>
            </w:tcBorders>
          </w:tcPr>
          <w:p>
            <w:pPr>
              <w:spacing w:line="395" w:lineRule="auto"/>
              <w:rPr>
                <w:rFonts w:ascii="Arial"/>
                <w:sz w:val="21"/>
              </w:rPr>
            </w:pPr>
            <w:r/>
          </w:p>
          <w:p>
            <w:pPr>
              <w:pStyle w:val="TableText"/>
              <w:ind w:left="254" w:right="171" w:hanging="83"/>
              <w:spacing w:before="65" w:line="288" w:lineRule="auto"/>
              <w:rPr/>
            </w:pPr>
            <w:r>
              <w:rPr>
                <w:rFonts w:ascii="Times New Roman" w:hAnsi="Times New Roman" w:eastAsia="Times New Roman" w:cs="Times New Roman"/>
              </w:rPr>
              <w:t>HW</w:t>
            </w:r>
            <w:r>
              <w:rPr>
                <w:rFonts w:ascii="Times New Roman" w:hAnsi="Times New Roman" w:eastAsia="Times New Roman" w:cs="Times New Roman"/>
                <w:spacing w:val="10"/>
              </w:rPr>
              <w:t>46</w:t>
            </w:r>
            <w:r>
              <w:rPr>
                <w:spacing w:val="10"/>
              </w:rPr>
              <w:t>含</w:t>
            </w:r>
            <w:r>
              <w:rPr/>
              <w:t xml:space="preserve"> </w:t>
            </w:r>
            <w:r>
              <w:rPr>
                <w:spacing w:val="4"/>
              </w:rPr>
              <w:t>镍废物</w:t>
            </w:r>
          </w:p>
        </w:tc>
        <w:tc>
          <w:tcPr>
            <w:tcW w:w="6395" w:type="dxa"/>
            <w:vAlign w:val="top"/>
          </w:tcPr>
          <w:p>
            <w:pPr>
              <w:pStyle w:val="TableText"/>
              <w:ind w:left="165"/>
              <w:spacing w:before="55" w:line="229" w:lineRule="auto"/>
              <w:rPr/>
            </w:pPr>
            <w:r>
              <w:rPr>
                <w:spacing w:val="9"/>
              </w:rPr>
              <w:t>镍化合物生产过程中产生的反应残余物及不合格、淘汰、废弃的产</w:t>
            </w:r>
          </w:p>
          <w:p>
            <w:pPr>
              <w:pStyle w:val="TableText"/>
              <w:ind w:left="3126"/>
              <w:spacing w:before="63" w:line="231" w:lineRule="auto"/>
              <w:rPr/>
            </w:pPr>
            <w:r>
              <w:rPr/>
              <w:t>品</w:t>
            </w:r>
          </w:p>
        </w:tc>
        <w:tc>
          <w:tcPr>
            <w:tcW w:w="1219" w:type="dxa"/>
            <w:vAlign w:val="top"/>
          </w:tcPr>
          <w:p>
            <w:pPr>
              <w:ind w:left="121"/>
              <w:spacing w:before="2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261-087-46</w:t>
            </w:r>
          </w:p>
        </w:tc>
        <w:tc>
          <w:tcPr>
            <w:tcW w:w="1226" w:type="dxa"/>
            <w:vAlign w:val="top"/>
            <w:vMerge w:val="restart"/>
            <w:tcBorders>
              <w:bottom w:val="nil"/>
            </w:tcBorders>
          </w:tcPr>
          <w:p>
            <w:pPr>
              <w:spacing w:line="297" w:lineRule="auto"/>
              <w:rPr>
                <w:rFonts w:ascii="Arial"/>
                <w:sz w:val="21"/>
              </w:rPr>
            </w:pPr>
            <w:r/>
          </w:p>
          <w:p>
            <w:pPr>
              <w:spacing w:line="297" w:lineRule="auto"/>
              <w:rPr>
                <w:rFonts w:ascii="Arial"/>
                <w:sz w:val="21"/>
              </w:rPr>
            </w:pPr>
            <w:r/>
          </w:p>
          <w:p>
            <w:pPr>
              <w:ind w:left="372"/>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1005"/>
              <w:spacing w:before="99" w:line="231" w:lineRule="auto"/>
              <w:rPr/>
            </w:pPr>
            <w:r>
              <w:rPr>
                <w:spacing w:val="9"/>
              </w:rPr>
              <w:t>镍氢电池生产过程中产生的废渣和废水处理污泥</w:t>
            </w:r>
          </w:p>
        </w:tc>
        <w:tc>
          <w:tcPr>
            <w:tcW w:w="1219" w:type="dxa"/>
            <w:vAlign w:val="top"/>
          </w:tcPr>
          <w:p>
            <w:pPr>
              <w:ind w:left="126"/>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384-005-46</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tcBorders>
          </w:tcPr>
          <w:p>
            <w:pPr>
              <w:rPr>
                <w:rFonts w:ascii="Arial"/>
                <w:sz w:val="21"/>
              </w:rPr>
            </w:pPr>
            <w:r/>
          </w:p>
        </w:tc>
        <w:tc>
          <w:tcPr>
            <w:tcW w:w="6395" w:type="dxa"/>
            <w:vAlign w:val="top"/>
          </w:tcPr>
          <w:p>
            <w:pPr>
              <w:pStyle w:val="TableText"/>
              <w:ind w:left="2475"/>
              <w:spacing w:before="97" w:line="230" w:lineRule="auto"/>
              <w:rPr/>
            </w:pPr>
            <w:r>
              <w:rPr>
                <w:spacing w:val="7"/>
              </w:rPr>
              <w:t>废弃的镍催化剂</w:t>
            </w:r>
          </w:p>
        </w:tc>
        <w:tc>
          <w:tcPr>
            <w:tcW w:w="1219" w:type="dxa"/>
            <w:vAlign w:val="top"/>
          </w:tcPr>
          <w:p>
            <w:pPr>
              <w:ind w:left="125"/>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900-037-46</w:t>
            </w:r>
          </w:p>
        </w:tc>
        <w:tc>
          <w:tcPr>
            <w:tcW w:w="1226" w:type="dxa"/>
            <w:vAlign w:val="top"/>
            <w:vMerge w:val="continue"/>
            <w:tcBorders>
              <w:top w:val="nil"/>
            </w:tcBorders>
          </w:tcPr>
          <w:p>
            <w:pPr>
              <w:rPr>
                <w:rFonts w:ascii="Arial"/>
                <w:sz w:val="21"/>
              </w:rPr>
            </w:pPr>
            <w:r/>
          </w:p>
        </w:tc>
      </w:tr>
      <w:tr>
        <w:trPr>
          <w:trHeight w:val="402" w:hRule="atLeast"/>
        </w:trPr>
        <w:tc>
          <w:tcPr>
            <w:tcW w:w="1112" w:type="dxa"/>
            <w:vAlign w:val="top"/>
            <w:vMerge w:val="restart"/>
            <w:tcBorders>
              <w:bottom w:val="nil"/>
            </w:tcBorders>
          </w:tcPr>
          <w:p>
            <w:pPr>
              <w:spacing w:line="440" w:lineRule="auto"/>
              <w:rPr>
                <w:rFonts w:ascii="Arial"/>
                <w:sz w:val="21"/>
              </w:rPr>
            </w:pPr>
            <w:r/>
          </w:p>
          <w:p>
            <w:pPr>
              <w:pStyle w:val="TableText"/>
              <w:ind w:left="151" w:right="135" w:firstLine="20"/>
              <w:spacing w:before="65" w:line="288" w:lineRule="auto"/>
              <w:jc w:val="both"/>
              <w:rPr/>
            </w:pPr>
            <w:r>
              <w:rPr>
                <w:rFonts w:ascii="Times New Roman" w:hAnsi="Times New Roman" w:eastAsia="Times New Roman" w:cs="Times New Roman"/>
              </w:rPr>
              <w:t>HW</w:t>
            </w:r>
            <w:r>
              <w:rPr>
                <w:rFonts w:ascii="Times New Roman" w:hAnsi="Times New Roman" w:eastAsia="Times New Roman" w:cs="Times New Roman"/>
                <w:spacing w:val="10"/>
              </w:rPr>
              <w:t>48</w:t>
            </w:r>
            <w:r>
              <w:rPr>
                <w:spacing w:val="10"/>
              </w:rPr>
              <w:t>有</w:t>
            </w:r>
            <w:r>
              <w:rPr/>
              <w:t xml:space="preserve"> </w:t>
            </w:r>
            <w:r>
              <w:rPr>
                <w:spacing w:val="5"/>
              </w:rPr>
              <w:t>色金属冶</w:t>
            </w:r>
            <w:r>
              <w:rPr/>
              <w:t xml:space="preserve"> </w:t>
            </w:r>
            <w:r>
              <w:rPr>
                <w:spacing w:val="39"/>
              </w:rPr>
              <w:t>炼废物</w:t>
            </w:r>
          </w:p>
        </w:tc>
        <w:tc>
          <w:tcPr>
            <w:tcW w:w="6395" w:type="dxa"/>
            <w:vAlign w:val="top"/>
          </w:tcPr>
          <w:p>
            <w:pPr>
              <w:pStyle w:val="TableText"/>
              <w:ind w:left="691"/>
              <w:spacing w:before="98" w:line="230" w:lineRule="auto"/>
              <w:rPr/>
            </w:pPr>
            <w:r>
              <w:rPr>
                <w:spacing w:val="9"/>
              </w:rPr>
              <w:t>铜火法冶炼过程中烟气处理集（除）尘装置收集的粉尘</w:t>
            </w:r>
          </w:p>
        </w:tc>
        <w:tc>
          <w:tcPr>
            <w:tcW w:w="1219" w:type="dxa"/>
            <w:vAlign w:val="top"/>
          </w:tcPr>
          <w:p>
            <w:pPr>
              <w:ind w:left="126"/>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321-002-48</w:t>
            </w:r>
          </w:p>
        </w:tc>
        <w:tc>
          <w:tcPr>
            <w:tcW w:w="1226" w:type="dxa"/>
            <w:vAlign w:val="top"/>
            <w:vMerge w:val="restart"/>
            <w:tcBorders>
              <w:bottom w:val="nil"/>
            </w:tcBorders>
          </w:tcPr>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ind w:left="356"/>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33000</w:t>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898"/>
              <w:spacing w:before="97" w:line="231" w:lineRule="auto"/>
              <w:rPr/>
            </w:pPr>
            <w:r>
              <w:rPr>
                <w:spacing w:val="9"/>
              </w:rPr>
              <w:t>粗锌精炼加工过程中湿法除尘产生的废水处理污泥</w:t>
            </w:r>
          </w:p>
        </w:tc>
        <w:tc>
          <w:tcPr>
            <w:tcW w:w="1219" w:type="dxa"/>
            <w:vAlign w:val="top"/>
          </w:tcPr>
          <w:p>
            <w:pPr>
              <w:ind w:left="126"/>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321-003-48</w:t>
            </w:r>
          </w:p>
        </w:tc>
        <w:tc>
          <w:tcPr>
            <w:tcW w:w="1226" w:type="dxa"/>
            <w:vAlign w:val="top"/>
            <w:vMerge w:val="continue"/>
            <w:tcBorders>
              <w:top w:val="nil"/>
              <w:bottom w:val="nil"/>
            </w:tcBorders>
          </w:tcPr>
          <w:p>
            <w:pPr>
              <w:rPr>
                <w:rFonts w:ascii="Arial"/>
                <w:sz w:val="21"/>
              </w:rPr>
            </w:pPr>
            <w:r/>
          </w:p>
        </w:tc>
      </w:tr>
      <w:tr>
        <w:trPr>
          <w:trHeight w:val="629"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163"/>
              <w:spacing w:before="55" w:line="231" w:lineRule="auto"/>
              <w:rPr/>
            </w:pPr>
            <w:r>
              <w:rPr>
                <w:spacing w:val="9"/>
              </w:rPr>
              <w:t>铅锌冶炼过程中，提取金、银、铋、镉、钴、铟、锗、铊、碲等金</w:t>
            </w:r>
          </w:p>
          <w:p>
            <w:pPr>
              <w:pStyle w:val="TableText"/>
              <w:ind w:left="2263"/>
              <w:spacing w:before="61" w:line="231" w:lineRule="auto"/>
              <w:rPr/>
            </w:pPr>
            <w:r>
              <w:rPr>
                <w:spacing w:val="8"/>
              </w:rPr>
              <w:t>属过程中产生的废渣</w:t>
            </w:r>
          </w:p>
        </w:tc>
        <w:tc>
          <w:tcPr>
            <w:tcW w:w="1219" w:type="dxa"/>
            <w:vAlign w:val="top"/>
          </w:tcPr>
          <w:p>
            <w:pPr>
              <w:ind w:left="126"/>
              <w:spacing w:before="2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321-013-48</w:t>
            </w:r>
          </w:p>
        </w:tc>
        <w:tc>
          <w:tcPr>
            <w:tcW w:w="1226" w:type="dxa"/>
            <w:vAlign w:val="top"/>
            <w:vMerge w:val="continue"/>
            <w:tcBorders>
              <w:top w:val="nil"/>
              <w:bottom w:val="nil"/>
            </w:tcBorders>
          </w:tcPr>
          <w:p>
            <w:pPr>
              <w:rPr>
                <w:rFonts w:ascii="Arial"/>
                <w:sz w:val="21"/>
              </w:rPr>
            </w:pPr>
            <w:r/>
          </w:p>
        </w:tc>
      </w:tr>
      <w:tr>
        <w:trPr>
          <w:trHeight w:val="404" w:hRule="atLeast"/>
        </w:trPr>
        <w:tc>
          <w:tcPr>
            <w:tcW w:w="1112" w:type="dxa"/>
            <w:vAlign w:val="top"/>
            <w:vMerge w:val="continue"/>
            <w:tcBorders>
              <w:top w:val="nil"/>
            </w:tcBorders>
          </w:tcPr>
          <w:p>
            <w:pPr>
              <w:rPr>
                <w:rFonts w:ascii="Arial"/>
                <w:sz w:val="21"/>
              </w:rPr>
            </w:pPr>
            <w:r/>
          </w:p>
        </w:tc>
        <w:tc>
          <w:tcPr>
            <w:tcW w:w="6395" w:type="dxa"/>
            <w:vAlign w:val="top"/>
          </w:tcPr>
          <w:p>
            <w:pPr>
              <w:pStyle w:val="TableText"/>
              <w:ind w:left="688"/>
              <w:spacing w:before="97" w:line="229" w:lineRule="auto"/>
              <w:rPr/>
            </w:pPr>
            <w:r>
              <w:rPr>
                <w:spacing w:val="9"/>
              </w:rPr>
              <w:t>铅锌冶炼烟气净化产生的污酸除砷处理过程产生的砷渣</w:t>
            </w:r>
          </w:p>
        </w:tc>
        <w:tc>
          <w:tcPr>
            <w:tcW w:w="1219" w:type="dxa"/>
            <w:vAlign w:val="top"/>
          </w:tcPr>
          <w:p>
            <w:pPr>
              <w:ind w:left="126"/>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321-022-48</w:t>
            </w:r>
          </w:p>
        </w:tc>
        <w:tc>
          <w:tcPr>
            <w:tcW w:w="1226" w:type="dxa"/>
            <w:vAlign w:val="top"/>
            <w:vMerge w:val="continue"/>
            <w:tcBorders>
              <w:top w:val="nil"/>
            </w:tcBorders>
          </w:tcPr>
          <w:p>
            <w:pPr>
              <w:rPr>
                <w:rFonts w:ascii="Arial"/>
                <w:sz w:val="21"/>
              </w:rPr>
            </w:pPr>
            <w:r/>
          </w:p>
        </w:tc>
      </w:tr>
    </w:tbl>
    <w:p>
      <w:pPr>
        <w:spacing w:line="240" w:lineRule="exact"/>
        <w:rPr>
          <w:rFonts w:ascii="Arial"/>
          <w:sz w:val="20"/>
        </w:rPr>
      </w:pPr>
      <w:r/>
    </w:p>
    <w:p>
      <w:pPr>
        <w:spacing w:line="240" w:lineRule="exact"/>
        <w:sectPr>
          <w:headerReference w:type="default" r:id="rId74"/>
          <w:footerReference w:type="default" r:id="rId75"/>
          <w:pgSz w:w="11906" w:h="16839"/>
          <w:pgMar w:top="1139" w:right="981" w:bottom="1252" w:left="967" w:header="831" w:footer="1090" w:gutter="0"/>
        </w:sectPr>
        <w:rPr>
          <w:rFonts w:ascii="Arial" w:hAnsi="Arial" w:eastAsia="Arial" w:cs="Arial"/>
          <w:sz w:val="20"/>
          <w:szCs w:val="20"/>
        </w:rPr>
      </w:pPr>
    </w:p>
    <w:p>
      <w:pPr>
        <w:spacing w:before="58"/>
        <w:rPr/>
      </w:pPr>
      <w:r/>
    </w:p>
    <w:tbl>
      <w:tblPr>
        <w:tblStyle w:val="TableNormal"/>
        <w:tblW w:w="9952" w:type="dxa"/>
        <w:tblInd w:w="32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12"/>
        <w:gridCol w:w="6395"/>
        <w:gridCol w:w="1219"/>
        <w:gridCol w:w="1226"/>
      </w:tblGrid>
      <w:tr>
        <w:trPr>
          <w:trHeight w:val="406" w:hRule="atLeast"/>
        </w:trPr>
        <w:tc>
          <w:tcPr>
            <w:tcW w:w="1112" w:type="dxa"/>
            <w:vAlign w:val="top"/>
          </w:tcPr>
          <w:p>
            <w:pPr>
              <w:pStyle w:val="TableText"/>
              <w:ind w:left="148"/>
              <w:spacing w:before="97" w:line="229" w:lineRule="auto"/>
              <w:rPr/>
            </w:pPr>
            <w:r>
              <w:rPr>
                <w:b/>
                <w:bCs/>
                <w:spacing w:val="4"/>
              </w:rPr>
              <w:t>废物类别</w:t>
            </w:r>
          </w:p>
        </w:tc>
        <w:tc>
          <w:tcPr>
            <w:tcW w:w="6395" w:type="dxa"/>
            <w:vAlign w:val="top"/>
          </w:tcPr>
          <w:p>
            <w:pPr>
              <w:pStyle w:val="TableText"/>
              <w:ind w:left="2789"/>
              <w:spacing w:before="97" w:line="229" w:lineRule="auto"/>
              <w:rPr/>
            </w:pPr>
            <w:r>
              <w:rPr>
                <w:b/>
                <w:bCs/>
                <w:spacing w:val="4"/>
              </w:rPr>
              <w:t>废物名称</w:t>
            </w:r>
          </w:p>
        </w:tc>
        <w:tc>
          <w:tcPr>
            <w:tcW w:w="1219" w:type="dxa"/>
            <w:vAlign w:val="top"/>
          </w:tcPr>
          <w:p>
            <w:pPr>
              <w:pStyle w:val="TableText"/>
              <w:ind w:left="203"/>
              <w:spacing w:before="97" w:line="229" w:lineRule="auto"/>
              <w:rPr/>
            </w:pPr>
            <w:r>
              <w:rPr>
                <w:b/>
                <w:bCs/>
                <w:spacing w:val="4"/>
              </w:rPr>
              <w:t>废物代码</w:t>
            </w:r>
          </w:p>
        </w:tc>
        <w:tc>
          <w:tcPr>
            <w:tcW w:w="1226" w:type="dxa"/>
            <w:vAlign w:val="top"/>
          </w:tcPr>
          <w:p>
            <w:pPr>
              <w:pStyle w:val="TableText"/>
              <w:ind w:left="134"/>
              <w:spacing w:before="97" w:line="230" w:lineRule="auto"/>
              <w:rPr/>
            </w:pPr>
            <w:r>
              <w:rPr>
                <w:b/>
                <w:bCs/>
              </w:rPr>
              <w:t>能力（</w:t>
            </w:r>
            <w:r>
              <w:rPr>
                <w:rFonts w:ascii="Times New Roman" w:hAnsi="Times New Roman" w:eastAsia="Times New Roman" w:cs="Times New Roman"/>
                <w:b/>
                <w:bCs/>
              </w:rPr>
              <w:t>t/a</w:t>
            </w:r>
            <w:r>
              <w:rPr>
                <w:b/>
                <w:bCs/>
              </w:rPr>
              <w:t>）</w:t>
            </w:r>
          </w:p>
        </w:tc>
      </w:tr>
      <w:tr>
        <w:trPr>
          <w:trHeight w:val="402" w:hRule="atLeast"/>
        </w:trPr>
        <w:tc>
          <w:tcPr>
            <w:tcW w:w="1112" w:type="dxa"/>
            <w:vAlign w:val="top"/>
            <w:vMerge w:val="restart"/>
            <w:tcBorders>
              <w:bottom w:val="nil"/>
            </w:tcBorders>
          </w:tcPr>
          <w:p>
            <w:pPr>
              <w:rPr>
                <w:rFonts w:ascii="Arial"/>
                <w:sz w:val="21"/>
              </w:rPr>
            </w:pPr>
            <w:r/>
          </w:p>
        </w:tc>
        <w:tc>
          <w:tcPr>
            <w:tcW w:w="6395" w:type="dxa"/>
            <w:vAlign w:val="top"/>
          </w:tcPr>
          <w:p>
            <w:pPr>
              <w:pStyle w:val="TableText"/>
              <w:ind w:left="186"/>
              <w:spacing w:before="94" w:line="230" w:lineRule="auto"/>
              <w:rPr/>
            </w:pPr>
            <w:r>
              <w:rPr>
                <w:spacing w:val="8"/>
              </w:rPr>
              <w:t>电解铝生产过程电解槽阴极内衬维修、更换产生的废渣（大修渣）</w:t>
            </w:r>
          </w:p>
        </w:tc>
        <w:tc>
          <w:tcPr>
            <w:tcW w:w="1219" w:type="dxa"/>
            <w:vAlign w:val="top"/>
          </w:tcPr>
          <w:p>
            <w:pPr>
              <w:ind w:left="126"/>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321-023-48</w:t>
            </w:r>
          </w:p>
        </w:tc>
        <w:tc>
          <w:tcPr>
            <w:tcW w:w="1226" w:type="dxa"/>
            <w:vAlign w:val="top"/>
            <w:vMerge w:val="restart"/>
            <w:tcBorders>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1972"/>
              <w:spacing w:before="95" w:line="231" w:lineRule="auto"/>
              <w:rPr/>
            </w:pPr>
            <w:r>
              <w:rPr>
                <w:spacing w:val="6"/>
              </w:rPr>
              <w:t>电解铝生产过程产生的炭渣</w:t>
            </w:r>
          </w:p>
        </w:tc>
        <w:tc>
          <w:tcPr>
            <w:tcW w:w="1219" w:type="dxa"/>
            <w:vAlign w:val="top"/>
          </w:tcPr>
          <w:p>
            <w:pPr>
              <w:ind w:left="126"/>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321-025-48</w:t>
            </w:r>
          </w:p>
        </w:tc>
        <w:tc>
          <w:tcPr>
            <w:tcW w:w="1226" w:type="dxa"/>
            <w:vAlign w:val="top"/>
            <w:vMerge w:val="continue"/>
            <w:tcBorders>
              <w:top w:val="nil"/>
              <w:bottom w:val="nil"/>
            </w:tcBorders>
          </w:tcPr>
          <w:p>
            <w:pPr>
              <w:rPr>
                <w:rFonts w:ascii="Arial"/>
                <w:sz w:val="21"/>
              </w:rPr>
            </w:pPr>
            <w:r/>
          </w:p>
        </w:tc>
      </w:tr>
      <w:tr>
        <w:trPr>
          <w:trHeight w:val="628"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165"/>
              <w:spacing w:before="53" w:line="230" w:lineRule="auto"/>
              <w:rPr/>
            </w:pPr>
            <w:r>
              <w:rPr>
                <w:spacing w:val="9"/>
              </w:rPr>
              <w:t>铜再生过程中集（除）尘装置收集的粉尘和湿法除尘产生的废水处</w:t>
            </w:r>
          </w:p>
          <w:p>
            <w:pPr>
              <w:pStyle w:val="TableText"/>
              <w:ind w:left="2894"/>
              <w:spacing w:before="63" w:line="233" w:lineRule="auto"/>
              <w:rPr/>
            </w:pPr>
            <w:r>
              <w:rPr>
                <w:spacing w:val="4"/>
              </w:rPr>
              <w:t>理污泥</w:t>
            </w:r>
          </w:p>
        </w:tc>
        <w:tc>
          <w:tcPr>
            <w:tcW w:w="1219" w:type="dxa"/>
            <w:vAlign w:val="top"/>
          </w:tcPr>
          <w:p>
            <w:pPr>
              <w:ind w:left="126"/>
              <w:spacing w:before="2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321-027-48</w:t>
            </w:r>
          </w:p>
        </w:tc>
        <w:tc>
          <w:tcPr>
            <w:tcW w:w="1226" w:type="dxa"/>
            <w:vAlign w:val="top"/>
            <w:vMerge w:val="continue"/>
            <w:tcBorders>
              <w:top w:val="nil"/>
              <w:bottom w:val="nil"/>
            </w:tcBorders>
          </w:tcPr>
          <w:p>
            <w:pPr>
              <w:rPr>
                <w:rFonts w:ascii="Arial"/>
                <w:sz w:val="21"/>
              </w:rPr>
            </w:pPr>
            <w:r/>
          </w:p>
        </w:tc>
      </w:tr>
      <w:tr>
        <w:trPr>
          <w:trHeight w:val="628"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163"/>
              <w:spacing w:before="53" w:line="230" w:lineRule="auto"/>
              <w:rPr/>
            </w:pPr>
            <w:r>
              <w:rPr>
                <w:spacing w:val="9"/>
              </w:rPr>
              <w:t>锌再生过程中集（除）尘装置收集的粉尘和湿法除尘产生的废水处</w:t>
            </w:r>
          </w:p>
          <w:p>
            <w:pPr>
              <w:pStyle w:val="TableText"/>
              <w:ind w:left="2894"/>
              <w:spacing w:before="62" w:line="233" w:lineRule="auto"/>
              <w:rPr/>
            </w:pPr>
            <w:r>
              <w:rPr>
                <w:spacing w:val="4"/>
              </w:rPr>
              <w:t>理污泥</w:t>
            </w:r>
          </w:p>
        </w:tc>
        <w:tc>
          <w:tcPr>
            <w:tcW w:w="1219" w:type="dxa"/>
            <w:vAlign w:val="top"/>
          </w:tcPr>
          <w:p>
            <w:pPr>
              <w:ind w:left="126"/>
              <w:spacing w:before="2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321-028-48</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1214"/>
              <w:spacing w:before="97" w:line="231" w:lineRule="auto"/>
              <w:rPr/>
            </w:pPr>
            <w:r>
              <w:rPr>
                <w:spacing w:val="8"/>
              </w:rPr>
              <w:t>铜火法冶炼烟气净化产生的酸泥（铅滤饼）</w:t>
            </w:r>
          </w:p>
        </w:tc>
        <w:tc>
          <w:tcPr>
            <w:tcW w:w="1219" w:type="dxa"/>
            <w:vAlign w:val="top"/>
          </w:tcPr>
          <w:p>
            <w:pPr>
              <w:ind w:left="126"/>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321-031-48</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tcBorders>
          </w:tcPr>
          <w:p>
            <w:pPr>
              <w:rPr>
                <w:rFonts w:ascii="Arial"/>
                <w:sz w:val="21"/>
              </w:rPr>
            </w:pPr>
            <w:r/>
          </w:p>
        </w:tc>
        <w:tc>
          <w:tcPr>
            <w:tcW w:w="6395" w:type="dxa"/>
            <w:vAlign w:val="top"/>
          </w:tcPr>
          <w:p>
            <w:pPr>
              <w:pStyle w:val="TableText"/>
              <w:ind w:left="794"/>
              <w:spacing w:before="95" w:line="229" w:lineRule="auto"/>
              <w:rPr/>
            </w:pPr>
            <w:r>
              <w:rPr>
                <w:spacing w:val="9"/>
              </w:rPr>
              <w:t>铜火法冶炼烟气净化产生的污酸处理过程产生的砷渣</w:t>
            </w:r>
          </w:p>
        </w:tc>
        <w:tc>
          <w:tcPr>
            <w:tcW w:w="1219" w:type="dxa"/>
            <w:vAlign w:val="top"/>
          </w:tcPr>
          <w:p>
            <w:pPr>
              <w:ind w:left="126"/>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321-032-48</w:t>
            </w:r>
          </w:p>
        </w:tc>
        <w:tc>
          <w:tcPr>
            <w:tcW w:w="1226" w:type="dxa"/>
            <w:vAlign w:val="top"/>
            <w:vMerge w:val="continue"/>
            <w:tcBorders>
              <w:top w:val="nil"/>
            </w:tcBorders>
          </w:tcPr>
          <w:p>
            <w:pPr>
              <w:rPr>
                <w:rFonts w:ascii="Arial"/>
                <w:sz w:val="21"/>
              </w:rPr>
            </w:pPr>
            <w:r/>
          </w:p>
        </w:tc>
      </w:tr>
      <w:tr>
        <w:trPr>
          <w:trHeight w:val="402" w:hRule="atLeast"/>
        </w:trPr>
        <w:tc>
          <w:tcPr>
            <w:tcW w:w="1112"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253" w:right="171" w:hanging="82"/>
              <w:spacing w:before="65" w:line="288" w:lineRule="auto"/>
              <w:rPr/>
            </w:pPr>
            <w:r>
              <w:rPr>
                <w:rFonts w:ascii="Times New Roman" w:hAnsi="Times New Roman" w:eastAsia="Times New Roman" w:cs="Times New Roman"/>
              </w:rPr>
              <w:t>HW</w:t>
            </w:r>
            <w:r>
              <w:rPr>
                <w:rFonts w:ascii="Times New Roman" w:hAnsi="Times New Roman" w:eastAsia="Times New Roman" w:cs="Times New Roman"/>
                <w:spacing w:val="10"/>
              </w:rPr>
              <w:t>50</w:t>
            </w:r>
            <w:r>
              <w:rPr>
                <w:spacing w:val="10"/>
              </w:rPr>
              <w:t>废</w:t>
            </w:r>
            <w:r>
              <w:rPr/>
              <w:t xml:space="preserve"> </w:t>
            </w:r>
            <w:r>
              <w:rPr>
                <w:spacing w:val="5"/>
              </w:rPr>
              <w:t>催化剂</w:t>
            </w:r>
          </w:p>
        </w:tc>
        <w:tc>
          <w:tcPr>
            <w:tcW w:w="6395" w:type="dxa"/>
            <w:vAlign w:val="top"/>
          </w:tcPr>
          <w:p>
            <w:pPr>
              <w:pStyle w:val="TableText"/>
              <w:ind w:left="376"/>
              <w:spacing w:before="97" w:line="230" w:lineRule="auto"/>
              <w:rPr/>
            </w:pPr>
            <w:r>
              <w:rPr>
                <w:spacing w:val="7"/>
              </w:rPr>
              <w:t>β</w:t>
            </w:r>
            <w:r>
              <w:rPr>
                <w:rFonts w:ascii="Times New Roman" w:hAnsi="Times New Roman" w:eastAsia="Times New Roman" w:cs="Times New Roman"/>
                <w:spacing w:val="7"/>
              </w:rPr>
              <w:t>-</w:t>
            </w:r>
            <w:r>
              <w:rPr>
                <w:spacing w:val="7"/>
              </w:rPr>
              <w:t>羟基丙腈催化加氢生产</w:t>
            </w:r>
            <w:r>
              <w:rPr>
                <w:rFonts w:ascii="Times New Roman" w:hAnsi="Times New Roman" w:eastAsia="Times New Roman" w:cs="Times New Roman"/>
                <w:spacing w:val="7"/>
              </w:rPr>
              <w:t>3-</w:t>
            </w:r>
            <w:r>
              <w:rPr>
                <w:spacing w:val="7"/>
              </w:rPr>
              <w:t>氨基</w:t>
            </w:r>
            <w:r>
              <w:rPr>
                <w:rFonts w:ascii="Times New Roman" w:hAnsi="Times New Roman" w:eastAsia="Times New Roman" w:cs="Times New Roman"/>
                <w:spacing w:val="7"/>
              </w:rPr>
              <w:t>-1-</w:t>
            </w:r>
            <w:r>
              <w:rPr>
                <w:spacing w:val="7"/>
              </w:rPr>
              <w:t>丙醇过程中产生的废催化剂</w:t>
            </w:r>
          </w:p>
        </w:tc>
        <w:tc>
          <w:tcPr>
            <w:tcW w:w="1219" w:type="dxa"/>
            <w:vAlign w:val="top"/>
          </w:tcPr>
          <w:p>
            <w:pPr>
              <w:ind w:left="12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261-178-50</w:t>
            </w:r>
          </w:p>
        </w:tc>
        <w:tc>
          <w:tcPr>
            <w:tcW w:w="1226"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ind w:left="411"/>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5000</w:t>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478"/>
              <w:spacing w:before="95" w:line="230" w:lineRule="auto"/>
              <w:rPr/>
            </w:pPr>
            <w:r>
              <w:rPr>
                <w:spacing w:val="9"/>
              </w:rPr>
              <w:t>催化重整生产高辛烷值汽油和轻芳烃过程中产生的废催化剂</w:t>
            </w:r>
          </w:p>
        </w:tc>
        <w:tc>
          <w:tcPr>
            <w:tcW w:w="1219" w:type="dxa"/>
            <w:vAlign w:val="top"/>
          </w:tcPr>
          <w:p>
            <w:pPr>
              <w:ind w:left="121"/>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261-165-50</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1641"/>
              <w:spacing w:before="96" w:line="230" w:lineRule="auto"/>
              <w:rPr/>
            </w:pPr>
            <w:r>
              <w:rPr>
                <w:spacing w:val="8"/>
              </w:rPr>
              <w:t>丙烯腈合成过程中产生的废催化剂</w:t>
            </w:r>
          </w:p>
        </w:tc>
        <w:tc>
          <w:tcPr>
            <w:tcW w:w="1219" w:type="dxa"/>
            <w:vAlign w:val="top"/>
          </w:tcPr>
          <w:p>
            <w:pPr>
              <w:ind w:left="12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261-153-50</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1318"/>
              <w:spacing w:before="95" w:line="230" w:lineRule="auto"/>
              <w:rPr/>
            </w:pPr>
            <w:r>
              <w:rPr>
                <w:spacing w:val="9"/>
              </w:rPr>
              <w:t>石油产品催化重整过程中产生的废催化剂</w:t>
            </w:r>
          </w:p>
        </w:tc>
        <w:tc>
          <w:tcPr>
            <w:tcW w:w="1219" w:type="dxa"/>
            <w:vAlign w:val="top"/>
          </w:tcPr>
          <w:p>
            <w:pPr>
              <w:ind w:left="121"/>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251-019-50</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1318"/>
              <w:spacing w:before="96" w:line="230" w:lineRule="auto"/>
              <w:rPr/>
            </w:pPr>
            <w:r>
              <w:rPr>
                <w:spacing w:val="9"/>
              </w:rPr>
              <w:t>石油产品加氢精制过程中产生的废催化剂</w:t>
            </w:r>
          </w:p>
        </w:tc>
        <w:tc>
          <w:tcPr>
            <w:tcW w:w="1219" w:type="dxa"/>
            <w:vAlign w:val="top"/>
          </w:tcPr>
          <w:p>
            <w:pPr>
              <w:ind w:left="12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251-016-50</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1317"/>
              <w:spacing w:before="97" w:line="230" w:lineRule="auto"/>
              <w:rPr/>
            </w:pPr>
            <w:r>
              <w:rPr>
                <w:spacing w:val="9"/>
              </w:rPr>
              <w:t>糠醛脱羰制备呋喃过程中产生的废催化剂</w:t>
            </w:r>
          </w:p>
        </w:tc>
        <w:tc>
          <w:tcPr>
            <w:tcW w:w="1219" w:type="dxa"/>
            <w:vAlign w:val="top"/>
          </w:tcPr>
          <w:p>
            <w:pPr>
              <w:ind w:left="12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261-181-50</w:t>
            </w:r>
          </w:p>
        </w:tc>
        <w:tc>
          <w:tcPr>
            <w:tcW w:w="1226" w:type="dxa"/>
            <w:vAlign w:val="top"/>
            <w:vMerge w:val="continue"/>
            <w:tcBorders>
              <w:top w:val="nil"/>
              <w:bottom w:val="nil"/>
            </w:tcBorders>
          </w:tcPr>
          <w:p>
            <w:pPr>
              <w:rPr>
                <w:rFonts w:ascii="Arial"/>
                <w:sz w:val="21"/>
              </w:rPr>
            </w:pPr>
            <w:r/>
          </w:p>
        </w:tc>
      </w:tr>
      <w:tr>
        <w:trPr>
          <w:trHeight w:val="628"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169"/>
              <w:spacing w:before="54" w:line="231" w:lineRule="auto"/>
              <w:rPr/>
            </w:pPr>
            <w:r>
              <w:rPr>
                <w:spacing w:val="7"/>
              </w:rPr>
              <w:t>合成气合成、</w:t>
            </w:r>
            <w:r>
              <w:rPr>
                <w:spacing w:val="-35"/>
              </w:rPr>
              <w:t xml:space="preserve"> </w:t>
            </w:r>
            <w:r>
              <w:rPr>
                <w:spacing w:val="7"/>
              </w:rPr>
              <w:t>甲烷氧化和液化石油气氧化生产甲醇过程中产生的废</w:t>
            </w:r>
          </w:p>
          <w:p>
            <w:pPr>
              <w:pStyle w:val="TableText"/>
              <w:ind w:left="2892"/>
              <w:spacing w:before="62" w:line="230" w:lineRule="auto"/>
              <w:rPr/>
            </w:pPr>
            <w:r>
              <w:rPr>
                <w:spacing w:val="5"/>
              </w:rPr>
              <w:t>催化剂</w:t>
            </w:r>
          </w:p>
        </w:tc>
        <w:tc>
          <w:tcPr>
            <w:tcW w:w="1219" w:type="dxa"/>
            <w:vAlign w:val="top"/>
          </w:tcPr>
          <w:p>
            <w:pPr>
              <w:ind w:left="121"/>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261-167-50</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1636"/>
              <w:spacing w:before="96" w:line="230" w:lineRule="auto"/>
              <w:rPr/>
            </w:pPr>
            <w:r>
              <w:rPr>
                <w:spacing w:val="8"/>
              </w:rPr>
              <w:t>聚乙烯合成过程中产生的废催化剂</w:t>
            </w:r>
          </w:p>
        </w:tc>
        <w:tc>
          <w:tcPr>
            <w:tcW w:w="1219" w:type="dxa"/>
            <w:vAlign w:val="top"/>
          </w:tcPr>
          <w:p>
            <w:pPr>
              <w:ind w:left="12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261-154-50</w:t>
            </w:r>
          </w:p>
        </w:tc>
        <w:tc>
          <w:tcPr>
            <w:tcW w:w="1226" w:type="dxa"/>
            <w:vAlign w:val="top"/>
            <w:vMerge w:val="continue"/>
            <w:tcBorders>
              <w:top w:val="nil"/>
              <w:bottom w:val="nil"/>
            </w:tcBorders>
          </w:tcPr>
          <w:p>
            <w:pPr>
              <w:rPr>
                <w:rFonts w:ascii="Arial"/>
                <w:sz w:val="21"/>
              </w:rPr>
            </w:pPr>
            <w:r/>
          </w:p>
        </w:tc>
      </w:tr>
      <w:tr>
        <w:trPr>
          <w:trHeight w:val="628"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134"/>
              <w:spacing w:before="54" w:line="230" w:lineRule="auto"/>
              <w:rPr/>
            </w:pPr>
            <w:r>
              <w:rPr>
                <w:spacing w:val="9"/>
              </w:rPr>
              <w:t>树脂、乳胶、增塑剂、胶水</w:t>
            </w:r>
            <w:r>
              <w:rPr>
                <w:rFonts w:ascii="Times New Roman" w:hAnsi="Times New Roman" w:eastAsia="Times New Roman" w:cs="Times New Roman"/>
                <w:spacing w:val="9"/>
              </w:rPr>
              <w:t>/</w:t>
            </w:r>
            <w:r>
              <w:rPr>
                <w:spacing w:val="9"/>
              </w:rPr>
              <w:t>胶合剂生产过程中合成、酯化、缩合等</w:t>
            </w:r>
          </w:p>
          <w:p>
            <w:pPr>
              <w:pStyle w:val="TableText"/>
              <w:ind w:left="2269"/>
              <w:spacing w:before="62" w:line="230" w:lineRule="auto"/>
              <w:rPr/>
            </w:pPr>
            <w:r>
              <w:rPr>
                <w:spacing w:val="7"/>
              </w:rPr>
              <w:t>工序产生的废催化剂</w:t>
            </w:r>
          </w:p>
        </w:tc>
        <w:tc>
          <w:tcPr>
            <w:tcW w:w="1219" w:type="dxa"/>
            <w:vAlign w:val="top"/>
          </w:tcPr>
          <w:p>
            <w:pPr>
              <w:ind w:left="121"/>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261-151-50</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792"/>
              <w:spacing w:before="98" w:line="229" w:lineRule="auto"/>
              <w:rPr/>
            </w:pPr>
            <w:r>
              <w:rPr>
                <w:spacing w:val="9"/>
              </w:rPr>
              <w:t>石油炼制中采用钝镍剂进行催化裂化产生的废催化剂</w:t>
            </w:r>
          </w:p>
        </w:tc>
        <w:tc>
          <w:tcPr>
            <w:tcW w:w="1219" w:type="dxa"/>
            <w:vAlign w:val="top"/>
          </w:tcPr>
          <w:p>
            <w:pPr>
              <w:ind w:left="12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251-017-50</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478"/>
              <w:spacing w:before="99" w:line="230" w:lineRule="auto"/>
              <w:rPr/>
            </w:pPr>
            <w:r>
              <w:rPr>
                <w:spacing w:val="8"/>
              </w:rPr>
              <w:t>羟丙腈氨化、加氢生产</w:t>
            </w:r>
            <w:r>
              <w:rPr>
                <w:rFonts w:ascii="Times New Roman" w:hAnsi="Times New Roman" w:eastAsia="Times New Roman" w:cs="Times New Roman"/>
                <w:spacing w:val="8"/>
              </w:rPr>
              <w:t>3-</w:t>
            </w:r>
            <w:r>
              <w:rPr>
                <w:spacing w:val="8"/>
              </w:rPr>
              <w:t>氨基</w:t>
            </w:r>
            <w:r>
              <w:rPr>
                <w:rFonts w:ascii="Times New Roman" w:hAnsi="Times New Roman" w:eastAsia="Times New Roman" w:cs="Times New Roman"/>
                <w:spacing w:val="8"/>
              </w:rPr>
              <w:t>-1-</w:t>
            </w:r>
            <w:r>
              <w:rPr>
                <w:spacing w:val="8"/>
              </w:rPr>
              <w:t>丙醇过程中产生的废催化剂</w:t>
            </w:r>
          </w:p>
        </w:tc>
        <w:tc>
          <w:tcPr>
            <w:tcW w:w="1219" w:type="dxa"/>
            <w:vAlign w:val="top"/>
          </w:tcPr>
          <w:p>
            <w:pPr>
              <w:ind w:left="121"/>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261-177-50</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898"/>
              <w:spacing w:before="97" w:line="226" w:lineRule="auto"/>
              <w:rPr/>
            </w:pPr>
            <w:r>
              <w:rPr>
                <w:spacing w:val="9"/>
              </w:rPr>
              <w:t>硝基苯催化加氢法制备苯胺过程中产生的废催化剂</w:t>
            </w:r>
          </w:p>
        </w:tc>
        <w:tc>
          <w:tcPr>
            <w:tcW w:w="1219" w:type="dxa"/>
            <w:vAlign w:val="top"/>
          </w:tcPr>
          <w:p>
            <w:pPr>
              <w:ind w:left="12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261-161-50</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1527"/>
              <w:spacing w:before="98" w:line="230" w:lineRule="auto"/>
              <w:rPr/>
            </w:pPr>
            <w:r>
              <w:rPr>
                <w:spacing w:val="9"/>
              </w:rPr>
              <w:t>有机溶剂生产过程中产生的废催化剂</w:t>
            </w:r>
          </w:p>
        </w:tc>
        <w:tc>
          <w:tcPr>
            <w:tcW w:w="1219" w:type="dxa"/>
            <w:vAlign w:val="top"/>
          </w:tcPr>
          <w:p>
            <w:pPr>
              <w:ind w:left="121"/>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261-152-50</w:t>
            </w:r>
          </w:p>
        </w:tc>
        <w:tc>
          <w:tcPr>
            <w:tcW w:w="1226" w:type="dxa"/>
            <w:vAlign w:val="top"/>
            <w:vMerge w:val="continue"/>
            <w:tcBorders>
              <w:top w:val="nil"/>
              <w:bottom w:val="nil"/>
            </w:tcBorders>
          </w:tcPr>
          <w:p>
            <w:pPr>
              <w:rPr>
                <w:rFonts w:ascii="Arial"/>
                <w:sz w:val="21"/>
              </w:rPr>
            </w:pPr>
            <w:r/>
          </w:p>
        </w:tc>
      </w:tr>
      <w:tr>
        <w:trPr>
          <w:trHeight w:val="406" w:hRule="atLeast"/>
        </w:trPr>
        <w:tc>
          <w:tcPr>
            <w:tcW w:w="1112" w:type="dxa"/>
            <w:vAlign w:val="top"/>
            <w:vMerge w:val="continue"/>
            <w:tcBorders>
              <w:top w:val="nil"/>
            </w:tcBorders>
          </w:tcPr>
          <w:p>
            <w:pPr>
              <w:rPr>
                <w:rFonts w:ascii="Arial"/>
                <w:sz w:val="21"/>
              </w:rPr>
            </w:pPr>
            <w:r/>
          </w:p>
        </w:tc>
        <w:tc>
          <w:tcPr>
            <w:tcW w:w="6395" w:type="dxa"/>
            <w:vAlign w:val="top"/>
          </w:tcPr>
          <w:p>
            <w:pPr>
              <w:pStyle w:val="TableText"/>
              <w:ind w:left="1318"/>
              <w:spacing w:before="97" w:line="230" w:lineRule="auto"/>
              <w:rPr/>
            </w:pPr>
            <w:r>
              <w:rPr>
                <w:spacing w:val="9"/>
              </w:rPr>
              <w:t>石油产品加氢裂化过程中产生的废催化剂</w:t>
            </w:r>
          </w:p>
        </w:tc>
        <w:tc>
          <w:tcPr>
            <w:tcW w:w="1219" w:type="dxa"/>
            <w:vAlign w:val="top"/>
          </w:tcPr>
          <w:p>
            <w:pPr>
              <w:ind w:left="12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251-018-50</w:t>
            </w:r>
          </w:p>
        </w:tc>
        <w:tc>
          <w:tcPr>
            <w:tcW w:w="1226" w:type="dxa"/>
            <w:vAlign w:val="top"/>
            <w:vMerge w:val="continue"/>
            <w:tcBorders>
              <w:top w:val="nil"/>
            </w:tcBorders>
          </w:tcPr>
          <w:p>
            <w:pPr>
              <w:rPr>
                <w:rFonts w:ascii="Arial"/>
                <w:sz w:val="21"/>
              </w:rPr>
            </w:pPr>
            <w:r/>
          </w:p>
        </w:tc>
      </w:tr>
    </w:tbl>
    <w:p>
      <w:pPr>
        <w:pStyle w:val="BodyText"/>
        <w:ind w:left="440"/>
        <w:spacing w:before="115" w:line="222" w:lineRule="auto"/>
        <w:outlineLvl w:val="2"/>
        <w:rPr>
          <w:rFonts w:ascii="FangSong" w:hAnsi="FangSong" w:eastAsia="FangSong" w:cs="FangSong"/>
          <w:sz w:val="24"/>
          <w:szCs w:val="24"/>
        </w:rPr>
      </w:pPr>
      <w:r>
        <w:rPr>
          <w:sz w:val="24"/>
          <w:szCs w:val="24"/>
          <w:b/>
          <w:bCs/>
          <w:spacing w:val="-2"/>
        </w:rPr>
        <w:t>4.1.3  </w:t>
      </w:r>
      <w:r>
        <w:rPr>
          <w:rFonts w:ascii="FangSong" w:hAnsi="FangSong" w:eastAsia="FangSong" w:cs="FangSong"/>
          <w:sz w:val="24"/>
          <w:szCs w:val="24"/>
          <w:b/>
          <w:bCs/>
          <w:spacing w:val="-2"/>
        </w:rPr>
        <w:t>企业污染防治措施</w:t>
      </w:r>
    </w:p>
    <w:p>
      <w:pPr>
        <w:pStyle w:val="BodyText"/>
        <w:ind w:left="937"/>
        <w:spacing w:before="178" w:line="221" w:lineRule="auto"/>
        <w:rPr>
          <w:rFonts w:ascii="FangSong" w:hAnsi="FangSong" w:eastAsia="FangSong" w:cs="FangSong"/>
          <w:sz w:val="24"/>
          <w:szCs w:val="24"/>
        </w:rPr>
      </w:pPr>
      <w:r>
        <w:rPr>
          <w:rFonts w:ascii="FangSong" w:hAnsi="FangSong" w:eastAsia="FangSong" w:cs="FangSong"/>
          <w:sz w:val="24"/>
          <w:szCs w:val="24"/>
          <w:spacing w:val="-2"/>
        </w:rPr>
        <w:t>主要污染物防治措施见表</w:t>
      </w:r>
      <w:r>
        <w:rPr>
          <w:sz w:val="24"/>
          <w:szCs w:val="24"/>
          <w:spacing w:val="-2"/>
        </w:rPr>
        <w:t>4.1-2</w:t>
      </w:r>
      <w:r>
        <w:rPr>
          <w:rFonts w:ascii="FangSong" w:hAnsi="FangSong" w:eastAsia="FangSong" w:cs="FangSong"/>
          <w:sz w:val="24"/>
          <w:szCs w:val="24"/>
          <w:spacing w:val="-2"/>
        </w:rPr>
        <w:t>。</w:t>
      </w:r>
    </w:p>
    <w:p>
      <w:pPr>
        <w:pStyle w:val="BodyText"/>
        <w:ind w:left="3750"/>
        <w:spacing w:before="181" w:line="222" w:lineRule="auto"/>
        <w:rPr>
          <w:rFonts w:ascii="FangSong" w:hAnsi="FangSong" w:eastAsia="FangSong" w:cs="FangSong"/>
          <w:sz w:val="24"/>
          <w:szCs w:val="24"/>
        </w:rPr>
      </w:pPr>
      <w:r>
        <w:rPr>
          <w:rFonts w:ascii="FangSong" w:hAnsi="FangSong" w:eastAsia="FangSong" w:cs="FangSong"/>
          <w:sz w:val="24"/>
          <w:szCs w:val="24"/>
          <w:b/>
          <w:bCs/>
          <w:spacing w:val="-2"/>
        </w:rPr>
        <w:t>表</w:t>
      </w:r>
      <w:r>
        <w:rPr>
          <w:sz w:val="24"/>
          <w:szCs w:val="24"/>
          <w:b/>
          <w:bCs/>
          <w:spacing w:val="-2"/>
        </w:rPr>
        <w:t>4.1-2    </w:t>
      </w:r>
      <w:r>
        <w:rPr>
          <w:rFonts w:ascii="FangSong" w:hAnsi="FangSong" w:eastAsia="FangSong" w:cs="FangSong"/>
          <w:sz w:val="24"/>
          <w:szCs w:val="24"/>
          <w:b/>
          <w:bCs/>
          <w:spacing w:val="-2"/>
        </w:rPr>
        <w:t>污染防治措施汇总表</w:t>
      </w:r>
    </w:p>
    <w:p>
      <w:pPr>
        <w:spacing w:line="64" w:lineRule="exact"/>
        <w:rPr/>
      </w:pPr>
      <w:r/>
    </w:p>
    <w:tbl>
      <w:tblPr>
        <w:tblStyle w:val="TableNormal"/>
        <w:tblW w:w="1060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2"/>
        <w:gridCol w:w="781"/>
        <w:gridCol w:w="1126"/>
        <w:gridCol w:w="1699"/>
        <w:gridCol w:w="6471"/>
      </w:tblGrid>
      <w:tr>
        <w:trPr>
          <w:trHeight w:val="321" w:hRule="atLeast"/>
        </w:trPr>
        <w:tc>
          <w:tcPr>
            <w:tcW w:w="532" w:type="dxa"/>
            <w:vAlign w:val="top"/>
          </w:tcPr>
          <w:p>
            <w:pPr>
              <w:pStyle w:val="TableText"/>
              <w:ind w:right="9"/>
              <w:spacing w:before="57" w:line="232" w:lineRule="auto"/>
              <w:jc w:val="right"/>
              <w:rPr/>
            </w:pPr>
            <w:r>
              <w:rPr>
                <w:b/>
                <w:bCs/>
                <w:spacing w:val="-6"/>
              </w:rPr>
              <w:t>分类</w:t>
            </w:r>
          </w:p>
        </w:tc>
        <w:tc>
          <w:tcPr>
            <w:tcW w:w="781" w:type="dxa"/>
            <w:vAlign w:val="top"/>
          </w:tcPr>
          <w:p>
            <w:pPr>
              <w:pStyle w:val="TableText"/>
              <w:ind w:left="138"/>
              <w:spacing w:before="56" w:line="231" w:lineRule="auto"/>
              <w:rPr/>
            </w:pPr>
            <w:r>
              <w:rPr>
                <w:b/>
                <w:bCs/>
                <w:spacing w:val="-13"/>
              </w:rPr>
              <w:t>污染源</w:t>
            </w:r>
          </w:p>
        </w:tc>
        <w:tc>
          <w:tcPr>
            <w:tcW w:w="1126" w:type="dxa"/>
            <w:vAlign w:val="top"/>
          </w:tcPr>
          <w:p>
            <w:pPr>
              <w:pStyle w:val="TableText"/>
              <w:ind w:left="152"/>
              <w:spacing w:before="57" w:line="230" w:lineRule="auto"/>
              <w:rPr/>
            </w:pPr>
            <w:r>
              <w:rPr>
                <w:b/>
                <w:bCs/>
                <w:spacing w:val="4"/>
              </w:rPr>
              <w:t>产污节点</w:t>
            </w:r>
          </w:p>
        </w:tc>
        <w:tc>
          <w:tcPr>
            <w:tcW w:w="1699" w:type="dxa"/>
            <w:vAlign w:val="top"/>
          </w:tcPr>
          <w:p>
            <w:pPr>
              <w:pStyle w:val="TableText"/>
              <w:ind w:left="547"/>
              <w:spacing w:before="57" w:line="229" w:lineRule="auto"/>
              <w:rPr/>
            </w:pPr>
            <w:r>
              <w:rPr>
                <w:b/>
                <w:bCs/>
                <w:spacing w:val="2"/>
              </w:rPr>
              <w:t>污染物</w:t>
            </w:r>
          </w:p>
        </w:tc>
        <w:tc>
          <w:tcPr>
            <w:tcW w:w="6471" w:type="dxa"/>
            <w:vAlign w:val="top"/>
          </w:tcPr>
          <w:p>
            <w:pPr>
              <w:pStyle w:val="TableText"/>
              <w:ind w:left="2616"/>
              <w:spacing w:before="56" w:line="231" w:lineRule="auto"/>
              <w:rPr/>
            </w:pPr>
            <w:r>
              <w:rPr>
                <w:b/>
                <w:bCs/>
                <w:spacing w:val="5"/>
              </w:rPr>
              <w:t>污染防治措施</w:t>
            </w:r>
          </w:p>
        </w:tc>
      </w:tr>
      <w:tr>
        <w:trPr>
          <w:trHeight w:val="1251" w:hRule="atLeast"/>
        </w:trPr>
        <w:tc>
          <w:tcPr>
            <w:tcW w:w="532" w:type="dxa"/>
            <w:vAlign w:val="top"/>
            <w:vMerge w:val="restart"/>
            <w:textDirection w:val="tbRlV"/>
            <w:tcBorders>
              <w:bottom w:val="nil"/>
            </w:tcBorders>
          </w:tcPr>
          <w:p>
            <w:pPr>
              <w:pStyle w:val="TableText"/>
              <w:ind w:left="1043"/>
              <w:spacing w:before="171" w:line="194" w:lineRule="auto"/>
              <w:rPr/>
            </w:pPr>
            <w:r>
              <w:rPr>
                <w:spacing w:val="8"/>
              </w:rPr>
              <w:t>废气</w:t>
            </w:r>
          </w:p>
        </w:tc>
        <w:tc>
          <w:tcPr>
            <w:tcW w:w="781" w:type="dxa"/>
            <w:vAlign w:val="top"/>
          </w:tcPr>
          <w:p>
            <w:pPr>
              <w:pStyle w:val="TableText"/>
              <w:ind w:left="193"/>
              <w:spacing w:before="208" w:line="231" w:lineRule="auto"/>
              <w:rPr/>
            </w:pPr>
            <w:r>
              <w:rPr/>
              <w:t>配筛</w:t>
            </w:r>
          </w:p>
          <w:p>
            <w:pPr>
              <w:pStyle w:val="TableText"/>
              <w:ind w:left="314" w:right="182" w:hanging="125"/>
              <w:spacing w:before="61" w:line="289" w:lineRule="auto"/>
              <w:rPr/>
            </w:pPr>
            <w:r>
              <w:rPr>
                <w:spacing w:val="2"/>
              </w:rPr>
              <w:t>料车</w:t>
            </w:r>
            <w:r>
              <w:rPr/>
              <w:t xml:space="preserve"> </w:t>
            </w:r>
            <w:r>
              <w:rPr/>
              <w:t>间</w:t>
            </w:r>
          </w:p>
        </w:tc>
        <w:tc>
          <w:tcPr>
            <w:tcW w:w="1126" w:type="dxa"/>
            <w:vAlign w:val="top"/>
          </w:tcPr>
          <w:p>
            <w:pPr>
              <w:spacing w:line="297" w:lineRule="auto"/>
              <w:rPr>
                <w:rFonts w:ascii="Arial"/>
                <w:sz w:val="21"/>
              </w:rPr>
            </w:pPr>
            <w:r/>
          </w:p>
          <w:p>
            <w:pPr>
              <w:pStyle w:val="TableText"/>
              <w:ind w:left="156"/>
              <w:spacing w:before="65" w:line="229" w:lineRule="auto"/>
              <w:rPr/>
            </w:pPr>
            <w:r>
              <w:rPr>
                <w:spacing w:val="5"/>
              </w:rPr>
              <w:t>配筛料过</w:t>
            </w:r>
          </w:p>
          <w:p>
            <w:pPr>
              <w:pStyle w:val="TableText"/>
              <w:ind w:left="469"/>
              <w:spacing w:before="63" w:line="232" w:lineRule="auto"/>
              <w:rPr/>
            </w:pPr>
            <w:r>
              <w:rPr/>
              <w:t>程</w:t>
            </w:r>
          </w:p>
        </w:tc>
        <w:tc>
          <w:tcPr>
            <w:tcW w:w="1699" w:type="dxa"/>
            <w:vAlign w:val="top"/>
          </w:tcPr>
          <w:p>
            <w:pPr>
              <w:spacing w:line="452" w:lineRule="auto"/>
              <w:rPr>
                <w:rFonts w:ascii="Arial"/>
                <w:sz w:val="21"/>
              </w:rPr>
            </w:pPr>
            <w:r/>
          </w:p>
          <w:p>
            <w:pPr>
              <w:pStyle w:val="TableText"/>
              <w:ind w:left="362"/>
              <w:spacing w:before="65" w:line="232" w:lineRule="auto"/>
              <w:rPr>
                <w:rFonts w:ascii="Times New Roman" w:hAnsi="Times New Roman" w:eastAsia="Times New Roman" w:cs="Times New Roman"/>
              </w:rPr>
            </w:pPr>
            <w:r>
              <w:rPr>
                <w:spacing w:val="8"/>
              </w:rPr>
              <w:t>粉尘、</w:t>
            </w:r>
            <w:r>
              <w:rPr>
                <w:rFonts w:ascii="Times New Roman" w:hAnsi="Times New Roman" w:eastAsia="Times New Roman" w:cs="Times New Roman"/>
              </w:rPr>
              <w:t>NH</w:t>
            </w:r>
            <w:r>
              <w:rPr>
                <w:rFonts w:ascii="Times New Roman" w:hAnsi="Times New Roman" w:eastAsia="Times New Roman" w:cs="Times New Roman"/>
                <w:spacing w:val="8"/>
              </w:rPr>
              <w:t>₃</w:t>
            </w:r>
          </w:p>
        </w:tc>
        <w:tc>
          <w:tcPr>
            <w:tcW w:w="6471" w:type="dxa"/>
            <w:vAlign w:val="top"/>
          </w:tcPr>
          <w:p>
            <w:pPr>
              <w:pStyle w:val="TableText"/>
              <w:ind w:left="122"/>
              <w:spacing w:before="52" w:line="228" w:lineRule="auto"/>
              <w:rPr/>
            </w:pPr>
            <w:r>
              <w:rPr>
                <w:spacing w:val="8"/>
              </w:rPr>
              <w:t>配筛料车间为小型封闭性车间，采用集气罩将车间内</w:t>
            </w:r>
            <w:r>
              <w:rPr>
                <w:spacing w:val="7"/>
              </w:rPr>
              <w:t>的废气进行收集</w:t>
            </w:r>
          </w:p>
          <w:p>
            <w:pPr>
              <w:pStyle w:val="TableText"/>
              <w:ind w:left="129"/>
              <w:spacing w:before="64" w:line="221" w:lineRule="auto"/>
              <w:rPr/>
            </w:pPr>
            <w:r>
              <w:rPr>
                <w:spacing w:val="7"/>
              </w:rPr>
              <w:t>处理，配备的引风机为</w:t>
            </w:r>
            <w:r>
              <w:rPr>
                <w:rFonts w:ascii="Times New Roman" w:hAnsi="Times New Roman" w:eastAsia="Times New Roman" w:cs="Times New Roman"/>
                <w:spacing w:val="7"/>
              </w:rPr>
              <w:t>15000m³/h,</w:t>
            </w:r>
            <w:r>
              <w:rPr>
                <w:spacing w:val="7"/>
              </w:rPr>
              <w:t>集气效率为</w:t>
            </w:r>
            <w:r>
              <w:rPr>
                <w:rFonts w:ascii="Times New Roman" w:hAnsi="Times New Roman" w:eastAsia="Times New Roman" w:cs="Times New Roman"/>
                <w:spacing w:val="7"/>
              </w:rPr>
              <w:t>90%,</w:t>
            </w:r>
            <w:r>
              <w:rPr>
                <w:rFonts w:ascii="Times New Roman" w:hAnsi="Times New Roman" w:eastAsia="Times New Roman" w:cs="Times New Roman"/>
                <w:spacing w:val="-24"/>
              </w:rPr>
              <w:t xml:space="preserve"> </w:t>
            </w:r>
            <w:r>
              <w:rPr>
                <w:spacing w:val="6"/>
              </w:rPr>
              <w:t>收集后的废气经过</w:t>
            </w:r>
          </w:p>
          <w:p>
            <w:pPr>
              <w:pStyle w:val="TableText"/>
              <w:ind w:left="159"/>
              <w:spacing w:before="72" w:line="221" w:lineRule="auto"/>
              <w:rPr/>
            </w:pPr>
            <w:r>
              <w:rPr>
                <w:spacing w:val="8"/>
              </w:rPr>
              <w:t>布袋除尘和水喷淋吸收</w:t>
            </w:r>
            <w:r>
              <w:rPr>
                <w:rFonts w:ascii="Times New Roman" w:hAnsi="Times New Roman" w:eastAsia="Times New Roman" w:cs="Times New Roman"/>
              </w:rPr>
              <w:t>NH</w:t>
            </w:r>
            <w:r>
              <w:rPr>
                <w:rFonts w:ascii="Times New Roman" w:hAnsi="Times New Roman" w:eastAsia="Times New Roman" w:cs="Times New Roman"/>
                <w:spacing w:val="8"/>
              </w:rPr>
              <w:t>₃,</w:t>
            </w:r>
            <w:r>
              <w:rPr>
                <w:rFonts w:ascii="Times New Roman" w:hAnsi="Times New Roman" w:eastAsia="Times New Roman" w:cs="Times New Roman"/>
                <w:spacing w:val="-26"/>
              </w:rPr>
              <w:t xml:space="preserve"> </w:t>
            </w:r>
            <w:r>
              <w:rPr>
                <w:spacing w:val="8"/>
              </w:rPr>
              <w:t>除尘效率</w:t>
            </w:r>
            <w:r>
              <w:rPr>
                <w:rFonts w:ascii="Times New Roman" w:hAnsi="Times New Roman" w:eastAsia="Times New Roman" w:cs="Times New Roman"/>
                <w:spacing w:val="8"/>
              </w:rPr>
              <w:t>95%</w:t>
            </w:r>
            <w:r>
              <w:rPr>
                <w:spacing w:val="8"/>
              </w:rPr>
              <w:t>以上，</w:t>
            </w:r>
            <w:r>
              <w:rPr>
                <w:rFonts w:ascii="Times New Roman" w:hAnsi="Times New Roman" w:eastAsia="Times New Roman" w:cs="Times New Roman"/>
              </w:rPr>
              <w:t>NH</w:t>
            </w:r>
            <w:r>
              <w:rPr>
                <w:rFonts w:ascii="Times New Roman" w:hAnsi="Times New Roman" w:eastAsia="Times New Roman" w:cs="Times New Roman"/>
                <w:spacing w:val="8"/>
              </w:rPr>
              <w:t>₃</w:t>
            </w:r>
            <w:r>
              <w:rPr>
                <w:spacing w:val="7"/>
              </w:rPr>
              <w:t>效率</w:t>
            </w:r>
            <w:r>
              <w:rPr>
                <w:rFonts w:ascii="Times New Roman" w:hAnsi="Times New Roman" w:eastAsia="Times New Roman" w:cs="Times New Roman"/>
                <w:spacing w:val="7"/>
              </w:rPr>
              <w:t>88%</w:t>
            </w:r>
            <w:r>
              <w:rPr>
                <w:spacing w:val="7"/>
              </w:rPr>
              <w:t>以上，</w:t>
            </w:r>
          </w:p>
          <w:p>
            <w:pPr>
              <w:pStyle w:val="TableText"/>
              <w:ind w:left="1905"/>
              <w:spacing w:before="72" w:line="231" w:lineRule="auto"/>
              <w:rPr/>
            </w:pPr>
            <w:r>
              <w:rPr>
                <w:spacing w:val="7"/>
              </w:rPr>
              <w:t>处理后的废气</w:t>
            </w:r>
            <w:r>
              <w:rPr>
                <w:rFonts w:ascii="Times New Roman" w:hAnsi="Times New Roman" w:eastAsia="Times New Roman" w:cs="Times New Roman"/>
                <w:spacing w:val="7"/>
              </w:rPr>
              <w:t>15m</w:t>
            </w:r>
            <w:r>
              <w:rPr>
                <w:spacing w:val="7"/>
              </w:rPr>
              <w:t>高空排放。</w:t>
            </w:r>
          </w:p>
        </w:tc>
      </w:tr>
      <w:tr>
        <w:trPr>
          <w:trHeight w:val="1253" w:hRule="atLeast"/>
        </w:trPr>
        <w:tc>
          <w:tcPr>
            <w:tcW w:w="532" w:type="dxa"/>
            <w:vAlign w:val="top"/>
            <w:vMerge w:val="continue"/>
            <w:textDirection w:val="tbRlV"/>
            <w:tcBorders>
              <w:top w:val="nil"/>
            </w:tcBorders>
          </w:tcPr>
          <w:p>
            <w:pPr>
              <w:rPr>
                <w:rFonts w:ascii="Arial"/>
                <w:sz w:val="21"/>
              </w:rPr>
            </w:pPr>
            <w:r/>
          </w:p>
        </w:tc>
        <w:tc>
          <w:tcPr>
            <w:tcW w:w="781" w:type="dxa"/>
            <w:vAlign w:val="top"/>
          </w:tcPr>
          <w:p>
            <w:pPr>
              <w:pStyle w:val="TableText"/>
              <w:ind w:left="193"/>
              <w:spacing w:before="53" w:line="234" w:lineRule="auto"/>
              <w:rPr/>
            </w:pPr>
            <w:r>
              <w:rPr/>
              <w:t>逆流</w:t>
            </w:r>
          </w:p>
          <w:p>
            <w:pPr>
              <w:pStyle w:val="TableText"/>
              <w:ind w:left="190"/>
              <w:spacing w:before="58" w:line="232" w:lineRule="auto"/>
              <w:rPr/>
            </w:pPr>
            <w:r>
              <w:rPr>
                <w:spacing w:val="1"/>
              </w:rPr>
              <w:t>烘干</w:t>
            </w:r>
          </w:p>
          <w:p>
            <w:pPr>
              <w:pStyle w:val="TableText"/>
              <w:ind w:left="191"/>
              <w:spacing w:before="61" w:line="233" w:lineRule="auto"/>
              <w:rPr/>
            </w:pPr>
            <w:r>
              <w:rPr>
                <w:spacing w:val="1"/>
              </w:rPr>
              <w:t>炉及</w:t>
            </w:r>
          </w:p>
          <w:p>
            <w:pPr>
              <w:pStyle w:val="TableText"/>
              <w:ind w:left="195"/>
              <w:spacing w:before="59" w:line="233" w:lineRule="auto"/>
              <w:rPr/>
            </w:pPr>
            <w:r>
              <w:rPr>
                <w:spacing w:val="-1"/>
              </w:rPr>
              <w:t>竖炉</w:t>
            </w:r>
          </w:p>
        </w:tc>
        <w:tc>
          <w:tcPr>
            <w:tcW w:w="1126" w:type="dxa"/>
            <w:vAlign w:val="top"/>
          </w:tcPr>
          <w:p>
            <w:pPr>
              <w:pStyle w:val="TableText"/>
              <w:ind w:left="174"/>
              <w:spacing w:before="53" w:line="229" w:lineRule="auto"/>
              <w:rPr/>
            </w:pPr>
            <w:r>
              <w:rPr/>
              <w:t>出料口废</w:t>
            </w:r>
          </w:p>
          <w:p>
            <w:pPr>
              <w:pStyle w:val="TableText"/>
              <w:ind w:left="161"/>
              <w:spacing w:before="64" w:line="233" w:lineRule="auto"/>
              <w:rPr/>
            </w:pPr>
            <w:r>
              <w:rPr>
                <w:spacing w:val="3"/>
              </w:rPr>
              <w:t>气（逆流</w:t>
            </w:r>
          </w:p>
          <w:p>
            <w:pPr>
              <w:pStyle w:val="TableText"/>
              <w:ind w:left="263" w:right="144" w:hanging="110"/>
              <w:spacing w:before="58" w:line="261" w:lineRule="auto"/>
              <w:rPr/>
            </w:pPr>
            <w:r>
              <w:rPr>
                <w:spacing w:val="5"/>
              </w:rPr>
              <w:t>烘干炉及</w:t>
            </w:r>
            <w:r>
              <w:rPr>
                <w:spacing w:val="2"/>
              </w:rPr>
              <w:t xml:space="preserve"> </w:t>
            </w:r>
            <w:r>
              <w:rPr>
                <w:spacing w:val="-1"/>
              </w:rPr>
              <w:t>竖炉）</w:t>
            </w:r>
          </w:p>
        </w:tc>
        <w:tc>
          <w:tcPr>
            <w:tcW w:w="1699" w:type="dxa"/>
            <w:vAlign w:val="top"/>
          </w:tcPr>
          <w:p>
            <w:pPr>
              <w:spacing w:line="453" w:lineRule="auto"/>
              <w:rPr>
                <w:rFonts w:ascii="Arial"/>
                <w:sz w:val="21"/>
              </w:rPr>
            </w:pPr>
            <w:r/>
          </w:p>
          <w:p>
            <w:pPr>
              <w:pStyle w:val="TableText"/>
              <w:ind w:left="650"/>
              <w:spacing w:before="65" w:line="232" w:lineRule="auto"/>
              <w:rPr/>
            </w:pPr>
            <w:r>
              <w:rPr>
                <w:spacing w:val="1"/>
              </w:rPr>
              <w:t>粉尘</w:t>
            </w:r>
          </w:p>
        </w:tc>
        <w:tc>
          <w:tcPr>
            <w:tcW w:w="6471" w:type="dxa"/>
            <w:vAlign w:val="top"/>
          </w:tcPr>
          <w:p>
            <w:pPr>
              <w:pStyle w:val="TableText"/>
              <w:ind w:left="120" w:right="108" w:hanging="3"/>
              <w:spacing w:before="55" w:line="274" w:lineRule="auto"/>
              <w:jc w:val="both"/>
              <w:rPr/>
            </w:pPr>
            <w:r>
              <w:rPr>
                <w:rFonts w:ascii="Times New Roman" w:hAnsi="Times New Roman" w:eastAsia="Times New Roman" w:cs="Times New Roman"/>
                <w:spacing w:val="9"/>
              </w:rPr>
              <w:t>5</w:t>
            </w:r>
            <w:r>
              <w:rPr>
                <w:spacing w:val="9"/>
              </w:rPr>
              <w:t>米和</w:t>
            </w:r>
            <w:r>
              <w:rPr>
                <w:rFonts w:ascii="Times New Roman" w:hAnsi="Times New Roman" w:eastAsia="Times New Roman" w:cs="Times New Roman"/>
                <w:spacing w:val="9"/>
              </w:rPr>
              <w:t>3.8</w:t>
            </w:r>
            <w:r>
              <w:rPr>
                <w:spacing w:val="9"/>
              </w:rPr>
              <w:t>米竖流烘干炉出料口废气采用集气罩收集后经过</w:t>
            </w:r>
            <w:r>
              <w:rPr>
                <w:spacing w:val="8"/>
              </w:rPr>
              <w:t>布袋除尘处</w:t>
            </w:r>
            <w:r>
              <w:rPr/>
              <w:t xml:space="preserve"> </w:t>
            </w:r>
            <w:r>
              <w:rPr>
                <w:spacing w:val="7"/>
              </w:rPr>
              <w:t>理达标后经</w:t>
            </w:r>
            <w:r>
              <w:rPr>
                <w:rFonts w:ascii="Times New Roman" w:hAnsi="Times New Roman" w:eastAsia="Times New Roman" w:cs="Times New Roman"/>
                <w:spacing w:val="7"/>
              </w:rPr>
              <w:t>15m</w:t>
            </w:r>
            <w:r>
              <w:rPr>
                <w:spacing w:val="7"/>
              </w:rPr>
              <w:t>排气筒排放；两台</w:t>
            </w:r>
            <w:r>
              <w:rPr>
                <w:rFonts w:ascii="Times New Roman" w:hAnsi="Times New Roman" w:eastAsia="Times New Roman" w:cs="Times New Roman"/>
                <w:spacing w:val="7"/>
              </w:rPr>
              <w:t>3.6</w:t>
            </w:r>
            <w:r>
              <w:rPr>
                <w:spacing w:val="7"/>
              </w:rPr>
              <w:t>米逆流烘干炉出料口废气采用集</w:t>
            </w:r>
            <w:r>
              <w:rPr/>
              <w:t xml:space="preserve"> </w:t>
            </w:r>
            <w:r>
              <w:rPr>
                <w:spacing w:val="9"/>
              </w:rPr>
              <w:t>气罩收集后经过布袋除尘处理达标后经</w:t>
            </w:r>
            <w:r>
              <w:rPr>
                <w:rFonts w:ascii="Times New Roman" w:hAnsi="Times New Roman" w:eastAsia="Times New Roman" w:cs="Times New Roman"/>
                <w:spacing w:val="9"/>
              </w:rPr>
              <w:t>18.4m</w:t>
            </w:r>
            <w:r>
              <w:rPr>
                <w:spacing w:val="9"/>
              </w:rPr>
              <w:t>排气筒排放（逆流烘干</w:t>
            </w:r>
            <w:r>
              <w:rPr>
                <w:spacing w:val="13"/>
              </w:rPr>
              <w:t xml:space="preserve"> </w:t>
            </w:r>
            <w:r>
              <w:rPr>
                <w:spacing w:val="7"/>
              </w:rPr>
              <w:t>炉两用两备）</w:t>
            </w:r>
            <w:r>
              <w:rPr>
                <w:rFonts w:ascii="Times New Roman" w:hAnsi="Times New Roman" w:eastAsia="Times New Roman" w:cs="Times New Roman"/>
                <w:spacing w:val="7"/>
              </w:rPr>
              <w:t>;1.3</w:t>
            </w:r>
            <w:r>
              <w:rPr>
                <w:spacing w:val="7"/>
              </w:rPr>
              <w:t>平方竖炉、</w:t>
            </w:r>
            <w:r>
              <w:rPr>
                <w:spacing w:val="-58"/>
              </w:rPr>
              <w:t xml:space="preserve"> </w:t>
            </w:r>
            <w:r>
              <w:rPr>
                <w:spacing w:val="7"/>
              </w:rPr>
              <w:t>电弧炉、</w:t>
            </w:r>
            <w:r>
              <w:rPr>
                <w:spacing w:val="-53"/>
              </w:rPr>
              <w:t xml:space="preserve"> </w:t>
            </w:r>
            <w:r>
              <w:rPr>
                <w:spacing w:val="7"/>
              </w:rPr>
              <w:t>中</w:t>
            </w:r>
            <w:r>
              <w:rPr>
                <w:spacing w:val="6"/>
              </w:rPr>
              <w:t>频炉出料口废气采用集气罩</w:t>
            </w:r>
          </w:p>
        </w:tc>
      </w:tr>
    </w:tbl>
    <w:p>
      <w:pPr>
        <w:rPr>
          <w:rFonts w:ascii="Arial"/>
          <w:sz w:val="21"/>
        </w:rPr>
      </w:pPr>
      <w:r/>
    </w:p>
    <w:p>
      <w:pPr>
        <w:sectPr>
          <w:headerReference w:type="default" r:id="rId76"/>
          <w:footerReference w:type="default" r:id="rId77"/>
          <w:pgSz w:w="11906" w:h="16839"/>
          <w:pgMar w:top="1139" w:right="646" w:bottom="1252" w:left="645" w:header="831" w:footer="1090" w:gutter="0"/>
        </w:sectPr>
        <w:rPr>
          <w:rFonts w:ascii="Arial" w:hAnsi="Arial" w:eastAsia="Arial" w:cs="Arial"/>
          <w:sz w:val="21"/>
          <w:szCs w:val="21"/>
        </w:rPr>
      </w:pPr>
    </w:p>
    <w:p>
      <w:pPr>
        <w:spacing w:before="58"/>
        <w:rPr/>
      </w:pPr>
      <w:r/>
    </w:p>
    <w:tbl>
      <w:tblPr>
        <w:tblStyle w:val="TableNormal"/>
        <w:tblW w:w="1060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2"/>
        <w:gridCol w:w="781"/>
        <w:gridCol w:w="1126"/>
        <w:gridCol w:w="1699"/>
        <w:gridCol w:w="6471"/>
      </w:tblGrid>
      <w:tr>
        <w:trPr>
          <w:trHeight w:val="322" w:hRule="atLeast"/>
        </w:trPr>
        <w:tc>
          <w:tcPr>
            <w:tcW w:w="532" w:type="dxa"/>
            <w:vAlign w:val="top"/>
          </w:tcPr>
          <w:p>
            <w:pPr>
              <w:pStyle w:val="TableText"/>
              <w:ind w:right="9"/>
              <w:spacing w:before="56" w:line="232" w:lineRule="auto"/>
              <w:jc w:val="right"/>
              <w:rPr/>
            </w:pPr>
            <w:r>
              <w:rPr>
                <w:b/>
                <w:bCs/>
                <w:spacing w:val="-6"/>
              </w:rPr>
              <w:t>分类</w:t>
            </w:r>
          </w:p>
        </w:tc>
        <w:tc>
          <w:tcPr>
            <w:tcW w:w="781" w:type="dxa"/>
            <w:vAlign w:val="top"/>
          </w:tcPr>
          <w:p>
            <w:pPr>
              <w:pStyle w:val="TableText"/>
              <w:ind w:left="138"/>
              <w:spacing w:before="56" w:line="231" w:lineRule="auto"/>
              <w:rPr/>
            </w:pPr>
            <w:r>
              <w:rPr>
                <w:b/>
                <w:bCs/>
                <w:spacing w:val="-13"/>
              </w:rPr>
              <w:t>污染源</w:t>
            </w:r>
          </w:p>
        </w:tc>
        <w:tc>
          <w:tcPr>
            <w:tcW w:w="1126" w:type="dxa"/>
            <w:vAlign w:val="top"/>
          </w:tcPr>
          <w:p>
            <w:pPr>
              <w:pStyle w:val="TableText"/>
              <w:ind w:left="152"/>
              <w:spacing w:before="56" w:line="230" w:lineRule="auto"/>
              <w:rPr/>
            </w:pPr>
            <w:r>
              <w:rPr>
                <w:b/>
                <w:bCs/>
                <w:spacing w:val="4"/>
              </w:rPr>
              <w:t>产污节点</w:t>
            </w:r>
          </w:p>
        </w:tc>
        <w:tc>
          <w:tcPr>
            <w:tcW w:w="1699" w:type="dxa"/>
            <w:vAlign w:val="top"/>
          </w:tcPr>
          <w:p>
            <w:pPr>
              <w:pStyle w:val="TableText"/>
              <w:ind w:left="547"/>
              <w:spacing w:before="56" w:line="229" w:lineRule="auto"/>
              <w:rPr/>
            </w:pPr>
            <w:r>
              <w:rPr>
                <w:b/>
                <w:bCs/>
                <w:spacing w:val="2"/>
              </w:rPr>
              <w:t>污染物</w:t>
            </w:r>
          </w:p>
        </w:tc>
        <w:tc>
          <w:tcPr>
            <w:tcW w:w="6471" w:type="dxa"/>
            <w:vAlign w:val="top"/>
          </w:tcPr>
          <w:p>
            <w:pPr>
              <w:pStyle w:val="TableText"/>
              <w:ind w:left="2616"/>
              <w:spacing w:before="56" w:line="231" w:lineRule="auto"/>
              <w:rPr/>
            </w:pPr>
            <w:r>
              <w:rPr>
                <w:b/>
                <w:bCs/>
                <w:spacing w:val="5"/>
              </w:rPr>
              <w:t>污染防治措施</w:t>
            </w:r>
          </w:p>
        </w:tc>
      </w:tr>
      <w:tr>
        <w:trPr>
          <w:trHeight w:val="1876" w:hRule="atLeast"/>
        </w:trPr>
        <w:tc>
          <w:tcPr>
            <w:tcW w:w="532" w:type="dxa"/>
            <w:vAlign w:val="top"/>
            <w:vMerge w:val="restart"/>
            <w:tcBorders>
              <w:bottom w:val="nil"/>
            </w:tcBorders>
          </w:tcPr>
          <w:p>
            <w:pPr>
              <w:rPr>
                <w:rFonts w:ascii="Arial"/>
                <w:sz w:val="21"/>
              </w:rPr>
            </w:pPr>
            <w:r/>
          </w:p>
        </w:tc>
        <w:tc>
          <w:tcPr>
            <w:tcW w:w="781" w:type="dxa"/>
            <w:vAlign w:val="top"/>
            <w:vMerge w:val="restart"/>
            <w:tcBorders>
              <w:bottom w:val="nil"/>
            </w:tcBorders>
          </w:tcPr>
          <w:p>
            <w:pPr>
              <w:pStyle w:val="TableText"/>
              <w:ind w:left="195"/>
              <w:spacing w:before="51" w:line="228" w:lineRule="auto"/>
              <w:rPr/>
            </w:pPr>
            <w:r>
              <w:rPr>
                <w:spacing w:val="-1"/>
              </w:rPr>
              <w:t>车间</w:t>
            </w:r>
          </w:p>
        </w:tc>
        <w:tc>
          <w:tcPr>
            <w:tcW w:w="1126" w:type="dxa"/>
            <w:vAlign w:val="top"/>
          </w:tcPr>
          <w:p>
            <w:pPr>
              <w:rPr>
                <w:rFonts w:ascii="Arial"/>
                <w:sz w:val="21"/>
              </w:rPr>
            </w:pPr>
            <w:r/>
          </w:p>
        </w:tc>
        <w:tc>
          <w:tcPr>
            <w:tcW w:w="1699" w:type="dxa"/>
            <w:vAlign w:val="top"/>
          </w:tcPr>
          <w:p>
            <w:pPr>
              <w:rPr>
                <w:rFonts w:ascii="Arial"/>
                <w:sz w:val="21"/>
              </w:rPr>
            </w:pPr>
            <w:r/>
          </w:p>
        </w:tc>
        <w:tc>
          <w:tcPr>
            <w:tcW w:w="6471" w:type="dxa"/>
            <w:vAlign w:val="top"/>
          </w:tcPr>
          <w:p>
            <w:pPr>
              <w:pStyle w:val="TableText"/>
              <w:ind w:left="130"/>
              <w:spacing w:before="50" w:line="229" w:lineRule="auto"/>
              <w:rPr/>
            </w:pPr>
            <w:r>
              <w:rPr>
                <w:spacing w:val="5"/>
              </w:rPr>
              <w:t>收集后经过布袋除尘处理达标后经</w:t>
            </w:r>
            <w:r>
              <w:rPr>
                <w:rFonts w:ascii="Times New Roman" w:hAnsi="Times New Roman" w:eastAsia="Times New Roman" w:cs="Times New Roman"/>
                <w:spacing w:val="5"/>
              </w:rPr>
              <w:t>18m</w:t>
            </w:r>
            <w:r>
              <w:rPr>
                <w:spacing w:val="5"/>
              </w:rPr>
              <w:t>排气筒排放；</w:t>
            </w:r>
            <w:r>
              <w:rPr>
                <w:rFonts w:ascii="Times New Roman" w:hAnsi="Times New Roman" w:eastAsia="Times New Roman" w:cs="Times New Roman"/>
                <w:spacing w:val="5"/>
              </w:rPr>
              <w:t>1#</w:t>
            </w:r>
            <w:r>
              <w:rPr>
                <w:spacing w:val="5"/>
              </w:rPr>
              <w:t>、</w:t>
            </w:r>
            <w:r>
              <w:rPr>
                <w:rFonts w:ascii="Times New Roman" w:hAnsi="Times New Roman" w:eastAsia="Times New Roman" w:cs="Times New Roman"/>
                <w:spacing w:val="5"/>
              </w:rPr>
              <w:t>2#</w:t>
            </w:r>
            <w:r>
              <w:rPr>
                <w:spacing w:val="5"/>
              </w:rPr>
              <w:t>的</w:t>
            </w:r>
            <w:r>
              <w:rPr>
                <w:rFonts w:ascii="Times New Roman" w:hAnsi="Times New Roman" w:eastAsia="Times New Roman" w:cs="Times New Roman"/>
                <w:spacing w:val="5"/>
              </w:rPr>
              <w:t>4</w:t>
            </w:r>
            <w:r>
              <w:rPr>
                <w:spacing w:val="5"/>
              </w:rPr>
              <w:t>平方竖</w:t>
            </w:r>
          </w:p>
          <w:p>
            <w:pPr>
              <w:pStyle w:val="TableText"/>
              <w:ind w:left="147"/>
              <w:spacing w:before="63" w:line="229" w:lineRule="auto"/>
              <w:rPr/>
            </w:pPr>
            <w:r>
              <w:rPr>
                <w:spacing w:val="9"/>
              </w:rPr>
              <w:t>炉出料口废气采用集气罩收集后经过布袋除尘处</w:t>
            </w:r>
            <w:r>
              <w:rPr>
                <w:spacing w:val="8"/>
              </w:rPr>
              <w:t>理达标后经</w:t>
            </w:r>
            <w:r>
              <w:rPr>
                <w:rFonts w:ascii="Times New Roman" w:hAnsi="Times New Roman" w:eastAsia="Times New Roman" w:cs="Times New Roman"/>
                <w:spacing w:val="8"/>
              </w:rPr>
              <w:t>18.2m</w:t>
            </w:r>
            <w:r>
              <w:rPr>
                <w:spacing w:val="8"/>
              </w:rPr>
              <w:t>排</w:t>
            </w:r>
          </w:p>
          <w:p>
            <w:pPr>
              <w:pStyle w:val="TableText"/>
              <w:ind w:left="156"/>
              <w:spacing w:before="63" w:line="229" w:lineRule="auto"/>
              <w:rPr/>
            </w:pPr>
            <w:r>
              <w:rPr>
                <w:spacing w:val="7"/>
              </w:rPr>
              <w:t>气筒排放；</w:t>
            </w:r>
            <w:r>
              <w:rPr>
                <w:rFonts w:ascii="Times New Roman" w:hAnsi="Times New Roman" w:eastAsia="Times New Roman" w:cs="Times New Roman"/>
                <w:spacing w:val="7"/>
              </w:rPr>
              <w:t>3#</w:t>
            </w:r>
            <w:r>
              <w:rPr>
                <w:rFonts w:ascii="Times New Roman" w:hAnsi="Times New Roman" w:eastAsia="Times New Roman" w:cs="Times New Roman"/>
                <w:spacing w:val="-5"/>
              </w:rPr>
              <w:t xml:space="preserve"> </w:t>
            </w:r>
            <w:r>
              <w:rPr>
                <w:spacing w:val="7"/>
              </w:rPr>
              <w:t>、</w:t>
            </w:r>
            <w:r>
              <w:rPr>
                <w:rFonts w:ascii="Times New Roman" w:hAnsi="Times New Roman" w:eastAsia="Times New Roman" w:cs="Times New Roman"/>
                <w:spacing w:val="7"/>
              </w:rPr>
              <w:t>4#</w:t>
            </w:r>
            <w:r>
              <w:rPr>
                <w:spacing w:val="7"/>
              </w:rPr>
              <w:t>的</w:t>
            </w:r>
            <w:r>
              <w:rPr>
                <w:rFonts w:ascii="Times New Roman" w:hAnsi="Times New Roman" w:eastAsia="Times New Roman" w:cs="Times New Roman"/>
                <w:spacing w:val="7"/>
              </w:rPr>
              <w:t>4</w:t>
            </w:r>
            <w:r>
              <w:rPr>
                <w:spacing w:val="7"/>
              </w:rPr>
              <w:t>平方竖炉出料口废气采用集气罩收集后经过布</w:t>
            </w:r>
          </w:p>
          <w:p>
            <w:pPr>
              <w:pStyle w:val="TableText"/>
              <w:ind w:left="148"/>
              <w:spacing w:before="64" w:line="221" w:lineRule="auto"/>
              <w:rPr/>
            </w:pPr>
            <w:r>
              <w:rPr>
                <w:spacing w:val="8"/>
              </w:rPr>
              <w:t>袋除尘处理达标后经</w:t>
            </w:r>
            <w:r>
              <w:rPr>
                <w:rFonts w:ascii="Times New Roman" w:hAnsi="Times New Roman" w:eastAsia="Times New Roman" w:cs="Times New Roman"/>
                <w:spacing w:val="8"/>
              </w:rPr>
              <w:t>16m</w:t>
            </w:r>
            <w:r>
              <w:rPr>
                <w:spacing w:val="8"/>
              </w:rPr>
              <w:t>排气筒排放（竖炉两用两备）</w:t>
            </w:r>
            <w:r>
              <w:rPr>
                <w:rFonts w:ascii="Times New Roman" w:hAnsi="Times New Roman" w:eastAsia="Times New Roman" w:cs="Times New Roman"/>
                <w:spacing w:val="8"/>
              </w:rPr>
              <w:t>;</w:t>
            </w:r>
            <w:r>
              <w:rPr>
                <w:spacing w:val="8"/>
              </w:rPr>
              <w:t>（设置</w:t>
            </w:r>
            <w:r>
              <w:rPr>
                <w:rFonts w:ascii="Times New Roman" w:hAnsi="Times New Roman" w:eastAsia="Times New Roman" w:cs="Times New Roman"/>
                <w:spacing w:val="8"/>
              </w:rPr>
              <w:t>5</w:t>
            </w:r>
            <w:r>
              <w:rPr>
                <w:spacing w:val="8"/>
              </w:rPr>
              <w:t>套布</w:t>
            </w:r>
          </w:p>
          <w:p>
            <w:pPr>
              <w:pStyle w:val="TableText"/>
              <w:ind w:left="153"/>
              <w:spacing w:before="73" w:line="231" w:lineRule="auto"/>
              <w:rPr/>
            </w:pPr>
            <w:r>
              <w:rPr>
                <w:spacing w:val="9"/>
              </w:rPr>
              <w:t>袋除尘，且</w:t>
            </w:r>
            <w:r>
              <w:rPr>
                <w:rFonts w:ascii="Times New Roman" w:hAnsi="Times New Roman" w:eastAsia="Times New Roman" w:cs="Times New Roman"/>
                <w:spacing w:val="9"/>
              </w:rPr>
              <w:t>5</w:t>
            </w:r>
            <w:r>
              <w:rPr>
                <w:spacing w:val="9"/>
              </w:rPr>
              <w:t>个排气筒分别排放，其中逆流烘干炉两用两备，竖炉两</w:t>
            </w:r>
          </w:p>
          <w:p>
            <w:pPr>
              <w:pStyle w:val="TableText"/>
              <w:ind w:left="515"/>
              <w:spacing w:before="62" w:line="228" w:lineRule="auto"/>
              <w:rPr/>
            </w:pPr>
            <w:r>
              <w:rPr>
                <w:spacing w:val="8"/>
              </w:rPr>
              <w:t>用两备</w:t>
            </w:r>
            <w:r>
              <w:rPr>
                <w:spacing w:val="21"/>
              </w:rPr>
              <w:t>）；</w:t>
            </w:r>
            <w:r>
              <w:rPr>
                <w:spacing w:val="8"/>
              </w:rPr>
              <w:t>无组织粉尘经过车间内重力沉降后无组织排放。</w:t>
            </w:r>
          </w:p>
        </w:tc>
      </w:tr>
      <w:tr>
        <w:trPr>
          <w:trHeight w:val="1564" w:hRule="atLeast"/>
        </w:trPr>
        <w:tc>
          <w:tcPr>
            <w:tcW w:w="532" w:type="dxa"/>
            <w:vAlign w:val="top"/>
            <w:vMerge w:val="continue"/>
            <w:tcBorders>
              <w:top w:val="nil"/>
              <w:bottom w:val="nil"/>
            </w:tcBorders>
          </w:tcPr>
          <w:p>
            <w:pPr>
              <w:rPr>
                <w:rFonts w:ascii="Arial"/>
                <w:sz w:val="21"/>
              </w:rPr>
            </w:pPr>
            <w:r/>
          </w:p>
        </w:tc>
        <w:tc>
          <w:tcPr>
            <w:tcW w:w="781" w:type="dxa"/>
            <w:vAlign w:val="top"/>
            <w:vMerge w:val="continue"/>
            <w:tcBorders>
              <w:top w:val="nil"/>
            </w:tcBorders>
          </w:tcPr>
          <w:p>
            <w:pPr>
              <w:rPr>
                <w:rFonts w:ascii="Arial"/>
                <w:sz w:val="21"/>
              </w:rPr>
            </w:pPr>
            <w:r/>
          </w:p>
        </w:tc>
        <w:tc>
          <w:tcPr>
            <w:tcW w:w="1126" w:type="dxa"/>
            <w:vAlign w:val="top"/>
          </w:tcPr>
          <w:p>
            <w:pPr>
              <w:spacing w:line="296" w:lineRule="auto"/>
              <w:rPr>
                <w:rFonts w:ascii="Arial"/>
                <w:sz w:val="21"/>
              </w:rPr>
            </w:pPr>
            <w:r/>
          </w:p>
          <w:p>
            <w:pPr>
              <w:pStyle w:val="TableText"/>
              <w:ind w:left="156"/>
              <w:spacing w:before="65" w:line="232" w:lineRule="auto"/>
              <w:rPr/>
            </w:pPr>
            <w:r>
              <w:rPr>
                <w:spacing w:val="5"/>
              </w:rPr>
              <w:t>逆流烘干</w:t>
            </w:r>
          </w:p>
          <w:p>
            <w:pPr>
              <w:pStyle w:val="TableText"/>
              <w:ind w:left="363" w:right="144" w:hanging="209"/>
              <w:spacing w:before="61" w:line="289" w:lineRule="auto"/>
              <w:rPr/>
            </w:pPr>
            <w:r>
              <w:rPr>
                <w:spacing w:val="5"/>
              </w:rPr>
              <w:t>炉及竖炉</w:t>
            </w:r>
            <w:r>
              <w:rPr>
                <w:spacing w:val="1"/>
              </w:rPr>
              <w:t xml:space="preserve"> </w:t>
            </w:r>
            <w:r>
              <w:rPr/>
              <w:t>废气</w:t>
            </w:r>
          </w:p>
        </w:tc>
        <w:tc>
          <w:tcPr>
            <w:tcW w:w="1699" w:type="dxa"/>
            <w:vAlign w:val="top"/>
          </w:tcPr>
          <w:p>
            <w:pPr>
              <w:pStyle w:val="TableText"/>
              <w:ind w:left="131"/>
              <w:spacing w:before="52" w:line="229" w:lineRule="auto"/>
              <w:rPr/>
            </w:pPr>
            <w:r>
              <w:rPr>
                <w:spacing w:val="8"/>
              </w:rPr>
              <w:t>颗粒物、</w:t>
            </w:r>
            <w:r>
              <w:rPr>
                <w:rFonts w:ascii="Times New Roman" w:hAnsi="Times New Roman" w:eastAsia="Times New Roman" w:cs="Times New Roman"/>
              </w:rPr>
              <w:t>NOx</w:t>
            </w:r>
            <w:r>
              <w:rPr>
                <w:spacing w:val="8"/>
              </w:rPr>
              <w:t>、</w:t>
            </w:r>
          </w:p>
          <w:p>
            <w:pPr>
              <w:pStyle w:val="TableText"/>
              <w:ind w:left="166"/>
              <w:spacing w:before="63" w:line="229" w:lineRule="auto"/>
              <w:rPr/>
            </w:pPr>
            <w:r>
              <w:rPr>
                <w:rFonts w:ascii="Times New Roman" w:hAnsi="Times New Roman" w:eastAsia="Times New Roman" w:cs="Times New Roman"/>
              </w:rPr>
              <w:t>SO</w:t>
            </w:r>
            <w:r>
              <w:rPr>
                <w:rFonts w:ascii="Times New Roman" w:hAnsi="Times New Roman" w:eastAsia="Times New Roman" w:cs="Times New Roman"/>
                <w:sz w:val="13"/>
                <w:szCs w:val="13"/>
                <w:spacing w:val="1"/>
                <w:position w:val="-1"/>
              </w:rPr>
              <w:t>2 </w:t>
            </w:r>
            <w:r>
              <w:rPr>
                <w:spacing w:val="1"/>
              </w:rPr>
              <w:t>、氟化物，</w:t>
            </w:r>
          </w:p>
          <w:p>
            <w:pPr>
              <w:pStyle w:val="TableText"/>
              <w:ind w:right="11"/>
              <w:spacing w:before="63" w:line="229" w:lineRule="auto"/>
              <w:jc w:val="right"/>
              <w:rPr/>
            </w:pPr>
            <w:r>
              <w:rPr>
                <w:spacing w:val="-6"/>
              </w:rPr>
              <w:t>氯化氢，砷、铅、</w:t>
            </w:r>
          </w:p>
          <w:p>
            <w:pPr>
              <w:pStyle w:val="TableText"/>
              <w:ind w:right="11"/>
              <w:spacing w:before="64" w:line="230" w:lineRule="auto"/>
              <w:jc w:val="right"/>
              <w:rPr/>
            </w:pPr>
            <w:r>
              <w:rPr>
                <w:spacing w:val="-5"/>
              </w:rPr>
              <w:t>铬、镉、镍、锌、</w:t>
            </w:r>
          </w:p>
          <w:p>
            <w:pPr>
              <w:pStyle w:val="TableText"/>
              <w:ind w:left="231"/>
              <w:spacing w:before="62" w:line="232" w:lineRule="auto"/>
              <w:rPr/>
            </w:pPr>
            <w:r>
              <w:rPr>
                <w:spacing w:val="7"/>
              </w:rPr>
              <w:t>铜、二噁英等</w:t>
            </w:r>
          </w:p>
        </w:tc>
        <w:tc>
          <w:tcPr>
            <w:tcW w:w="6471" w:type="dxa"/>
            <w:vAlign w:val="top"/>
          </w:tcPr>
          <w:p>
            <w:pPr>
              <w:pStyle w:val="TableText"/>
              <w:ind w:left="187"/>
              <w:spacing w:before="51" w:line="229" w:lineRule="auto"/>
              <w:rPr>
                <w:rFonts w:ascii="Times New Roman" w:hAnsi="Times New Roman" w:eastAsia="Times New Roman" w:cs="Times New Roman"/>
              </w:rPr>
            </w:pPr>
            <w:r>
              <w:rPr>
                <w:spacing w:val="7"/>
              </w:rPr>
              <w:t>烘干炉炉顶上部接有排烟管接</w:t>
            </w:r>
            <w:r>
              <w:rPr>
                <w:spacing w:val="-34"/>
              </w:rPr>
              <w:t xml:space="preserve"> </w:t>
            </w:r>
            <w:r>
              <w:rPr>
                <w:spacing w:val="7"/>
              </w:rPr>
              <w:t>口，废气经过重力沉降</w:t>
            </w:r>
            <w:r>
              <w:rPr>
                <w:rFonts w:ascii="Times New Roman" w:hAnsi="Times New Roman" w:eastAsia="Times New Roman" w:cs="Times New Roman"/>
                <w:spacing w:val="7"/>
              </w:rPr>
              <w:t>+</w:t>
            </w:r>
            <w:r>
              <w:rPr>
                <w:spacing w:val="7"/>
              </w:rPr>
              <w:t>活性炭喷射</w:t>
            </w:r>
            <w:r>
              <w:rPr>
                <w:rFonts w:ascii="Times New Roman" w:hAnsi="Times New Roman" w:eastAsia="Times New Roman" w:cs="Times New Roman"/>
                <w:spacing w:val="7"/>
              </w:rPr>
              <w:t>+</w:t>
            </w:r>
          </w:p>
          <w:p>
            <w:pPr>
              <w:pStyle w:val="TableText"/>
              <w:ind w:left="140"/>
              <w:spacing w:before="64" w:line="228" w:lineRule="auto"/>
              <w:rPr/>
            </w:pPr>
            <w:r>
              <w:rPr>
                <w:spacing w:val="8"/>
              </w:rPr>
              <w:t>布袋除尘</w:t>
            </w:r>
            <w:r>
              <w:rPr>
                <w:rFonts w:ascii="Times New Roman" w:hAnsi="Times New Roman" w:eastAsia="Times New Roman" w:cs="Times New Roman"/>
                <w:spacing w:val="8"/>
              </w:rPr>
              <w:t>+</w:t>
            </w:r>
            <w:r>
              <w:rPr>
                <w:rFonts w:ascii="Times New Roman" w:hAnsi="Times New Roman" w:eastAsia="Times New Roman" w:cs="Times New Roman"/>
                <w:spacing w:val="-12"/>
              </w:rPr>
              <w:t xml:space="preserve"> </w:t>
            </w:r>
            <w:r>
              <w:rPr>
                <w:spacing w:val="8"/>
              </w:rPr>
              <w:t>氧化镁脱硫</w:t>
            </w:r>
            <w:r>
              <w:rPr>
                <w:rFonts w:ascii="Times New Roman" w:hAnsi="Times New Roman" w:eastAsia="Times New Roman" w:cs="Times New Roman"/>
                <w:spacing w:val="8"/>
              </w:rPr>
              <w:t>+</w:t>
            </w:r>
            <w:r>
              <w:rPr>
                <w:spacing w:val="8"/>
              </w:rPr>
              <w:t>湿电除尘</w:t>
            </w:r>
            <w:r>
              <w:rPr>
                <w:rFonts w:ascii="Times New Roman" w:hAnsi="Times New Roman" w:eastAsia="Times New Roman" w:cs="Times New Roman"/>
                <w:spacing w:val="8"/>
              </w:rPr>
              <w:t>+</w:t>
            </w:r>
            <w:r>
              <w:rPr>
                <w:rFonts w:ascii="Times New Roman" w:hAnsi="Times New Roman" w:eastAsia="Times New Roman" w:cs="Times New Roman"/>
              </w:rPr>
              <w:t>SCR</w:t>
            </w:r>
            <w:r>
              <w:rPr>
                <w:spacing w:val="8"/>
              </w:rPr>
              <w:t>脱硝处理后后引至</w:t>
            </w:r>
            <w:r>
              <w:rPr>
                <w:rFonts w:ascii="Times New Roman" w:hAnsi="Times New Roman" w:eastAsia="Times New Roman" w:cs="Times New Roman"/>
                <w:spacing w:val="8"/>
              </w:rPr>
              <w:t>45</w:t>
            </w:r>
            <w:r>
              <w:rPr>
                <w:spacing w:val="8"/>
              </w:rPr>
              <w:t>米合并高</w:t>
            </w:r>
          </w:p>
          <w:p>
            <w:pPr>
              <w:pStyle w:val="TableText"/>
              <w:ind w:left="130"/>
              <w:spacing w:before="64" w:line="231" w:lineRule="auto"/>
              <w:rPr>
                <w:rFonts w:ascii="Times New Roman" w:hAnsi="Times New Roman" w:eastAsia="Times New Roman" w:cs="Times New Roman"/>
              </w:rPr>
            </w:pPr>
            <w:r>
              <w:rPr>
                <w:spacing w:val="4"/>
              </w:rPr>
              <w:t>空排放；竖炉炉顶上部亦接有排烟管接</w:t>
            </w:r>
            <w:r>
              <w:rPr>
                <w:spacing w:val="-45"/>
              </w:rPr>
              <w:t xml:space="preserve"> </w:t>
            </w:r>
            <w:r>
              <w:rPr>
                <w:spacing w:val="4"/>
              </w:rPr>
              <w:t>口，废气经过水冷</w:t>
            </w:r>
            <w:r>
              <w:rPr>
                <w:rFonts w:ascii="Times New Roman" w:hAnsi="Times New Roman" w:eastAsia="Times New Roman" w:cs="Times New Roman"/>
                <w:spacing w:val="4"/>
              </w:rPr>
              <w:t>+</w:t>
            </w:r>
            <w:r>
              <w:rPr>
                <w:rFonts w:ascii="Times New Roman" w:hAnsi="Times New Roman" w:eastAsia="Times New Roman" w:cs="Times New Roman"/>
                <w:spacing w:val="-29"/>
              </w:rPr>
              <w:t xml:space="preserve"> </w:t>
            </w:r>
            <w:r>
              <w:rPr>
                <w:spacing w:val="4"/>
              </w:rPr>
              <w:t>重力沉降</w:t>
            </w:r>
            <w:r>
              <w:rPr>
                <w:rFonts w:ascii="Times New Roman" w:hAnsi="Times New Roman" w:eastAsia="Times New Roman" w:cs="Times New Roman"/>
                <w:spacing w:val="4"/>
              </w:rPr>
              <w:t>+</w:t>
            </w:r>
          </w:p>
          <w:p>
            <w:pPr>
              <w:pStyle w:val="TableText"/>
              <w:ind w:left="221"/>
              <w:spacing w:before="61" w:line="229" w:lineRule="auto"/>
              <w:rPr/>
            </w:pPr>
            <w:r>
              <w:rPr>
                <w:spacing w:val="9"/>
              </w:rPr>
              <w:t>布袋除尘</w:t>
            </w:r>
            <w:r>
              <w:rPr>
                <w:rFonts w:ascii="Times New Roman" w:hAnsi="Times New Roman" w:eastAsia="Times New Roman" w:cs="Times New Roman"/>
                <w:spacing w:val="9"/>
              </w:rPr>
              <w:t>+</w:t>
            </w:r>
            <w:r>
              <w:rPr>
                <w:spacing w:val="9"/>
              </w:rPr>
              <w:t>活性炭喷射</w:t>
            </w:r>
            <w:r>
              <w:rPr>
                <w:rFonts w:ascii="Times New Roman" w:hAnsi="Times New Roman" w:eastAsia="Times New Roman" w:cs="Times New Roman"/>
                <w:spacing w:val="9"/>
              </w:rPr>
              <w:t>+</w:t>
            </w:r>
            <w:r>
              <w:rPr>
                <w:spacing w:val="9"/>
              </w:rPr>
              <w:t>布袋除尘</w:t>
            </w:r>
            <w:r>
              <w:rPr>
                <w:rFonts w:ascii="Times New Roman" w:hAnsi="Times New Roman" w:eastAsia="Times New Roman" w:cs="Times New Roman"/>
                <w:spacing w:val="9"/>
              </w:rPr>
              <w:t>+</w:t>
            </w:r>
            <w:r>
              <w:rPr>
                <w:spacing w:val="9"/>
              </w:rPr>
              <w:t>氧化镁脱硫</w:t>
            </w:r>
            <w:r>
              <w:rPr>
                <w:rFonts w:ascii="Times New Roman" w:hAnsi="Times New Roman" w:eastAsia="Times New Roman" w:cs="Times New Roman"/>
                <w:spacing w:val="9"/>
              </w:rPr>
              <w:t>+</w:t>
            </w:r>
            <w:r>
              <w:rPr>
                <w:spacing w:val="8"/>
              </w:rPr>
              <w:t>氧化镁脱硫</w:t>
            </w:r>
            <w:r>
              <w:rPr>
                <w:rFonts w:ascii="Times New Roman" w:hAnsi="Times New Roman" w:eastAsia="Times New Roman" w:cs="Times New Roman"/>
                <w:spacing w:val="8"/>
              </w:rPr>
              <w:t>+</w:t>
            </w:r>
            <w:r>
              <w:rPr>
                <w:spacing w:val="8"/>
              </w:rPr>
              <w:t>湿电除</w:t>
            </w:r>
          </w:p>
          <w:p>
            <w:pPr>
              <w:pStyle w:val="TableText"/>
              <w:ind w:left="1882"/>
              <w:spacing w:before="63" w:line="229" w:lineRule="auto"/>
              <w:rPr/>
            </w:pPr>
            <w:r>
              <w:rPr>
                <w:spacing w:val="7"/>
              </w:rPr>
              <w:t>尘后引至</w:t>
            </w:r>
            <w:r>
              <w:rPr>
                <w:rFonts w:ascii="Times New Roman" w:hAnsi="Times New Roman" w:eastAsia="Times New Roman" w:cs="Times New Roman"/>
                <w:spacing w:val="7"/>
              </w:rPr>
              <w:t>45</w:t>
            </w:r>
            <w:r>
              <w:rPr>
                <w:spacing w:val="7"/>
              </w:rPr>
              <w:t>米合并高空排放。</w:t>
            </w:r>
          </w:p>
        </w:tc>
      </w:tr>
      <w:tr>
        <w:trPr>
          <w:trHeight w:val="629" w:hRule="atLeast"/>
        </w:trPr>
        <w:tc>
          <w:tcPr>
            <w:tcW w:w="532" w:type="dxa"/>
            <w:vAlign w:val="top"/>
            <w:vMerge w:val="continue"/>
            <w:tcBorders>
              <w:top w:val="nil"/>
              <w:bottom w:val="nil"/>
            </w:tcBorders>
          </w:tcPr>
          <w:p>
            <w:pPr>
              <w:rPr>
                <w:rFonts w:ascii="Arial"/>
                <w:sz w:val="21"/>
              </w:rPr>
            </w:pPr>
            <w:r/>
          </w:p>
        </w:tc>
        <w:tc>
          <w:tcPr>
            <w:tcW w:w="781" w:type="dxa"/>
            <w:vAlign w:val="top"/>
            <w:vMerge w:val="restart"/>
            <w:tcBorders>
              <w:bottom w:val="nil"/>
            </w:tcBorders>
          </w:tcPr>
          <w:p>
            <w:pPr>
              <w:spacing w:line="304" w:lineRule="auto"/>
              <w:rPr>
                <w:rFonts w:ascii="Arial"/>
                <w:sz w:val="21"/>
              </w:rPr>
            </w:pPr>
            <w:r/>
          </w:p>
          <w:p>
            <w:pPr>
              <w:pStyle w:val="TableText"/>
              <w:ind w:left="195"/>
              <w:spacing w:before="65" w:line="232" w:lineRule="auto"/>
              <w:rPr/>
            </w:pPr>
            <w:r>
              <w:rPr>
                <w:spacing w:val="-1"/>
              </w:rPr>
              <w:t>合金</w:t>
            </w:r>
          </w:p>
          <w:p>
            <w:pPr>
              <w:pStyle w:val="TableText"/>
              <w:ind w:left="195"/>
              <w:spacing w:before="60" w:line="228" w:lineRule="auto"/>
              <w:rPr/>
            </w:pPr>
            <w:r>
              <w:rPr>
                <w:spacing w:val="-1"/>
              </w:rPr>
              <w:t>车间</w:t>
            </w:r>
          </w:p>
        </w:tc>
        <w:tc>
          <w:tcPr>
            <w:tcW w:w="1126" w:type="dxa"/>
            <w:vAlign w:val="top"/>
          </w:tcPr>
          <w:p>
            <w:pPr>
              <w:pStyle w:val="TableText"/>
              <w:ind w:left="175"/>
              <w:spacing w:before="52" w:line="233" w:lineRule="auto"/>
              <w:rPr/>
            </w:pPr>
            <w:r>
              <w:rPr/>
              <w:t>电弧炉废</w:t>
            </w:r>
          </w:p>
          <w:p>
            <w:pPr>
              <w:pStyle w:val="TableText"/>
              <w:ind w:left="475"/>
              <w:spacing w:before="59" w:line="233" w:lineRule="auto"/>
              <w:rPr/>
            </w:pPr>
            <w:r>
              <w:rPr/>
              <w:t>气</w:t>
            </w:r>
          </w:p>
        </w:tc>
        <w:tc>
          <w:tcPr>
            <w:tcW w:w="1699" w:type="dxa"/>
            <w:vAlign w:val="top"/>
          </w:tcPr>
          <w:p>
            <w:pPr>
              <w:pStyle w:val="TableText"/>
              <w:ind w:left="547" w:right="112" w:hanging="420"/>
              <w:spacing w:before="51" w:line="262" w:lineRule="auto"/>
              <w:rPr/>
            </w:pPr>
            <w:r>
              <w:rPr>
                <w:spacing w:val="7"/>
              </w:rPr>
              <w:t>颗粒物、铬及其</w:t>
            </w:r>
            <w:r>
              <w:rPr>
                <w:spacing w:val="4"/>
              </w:rPr>
              <w:t xml:space="preserve"> </w:t>
            </w:r>
            <w:r>
              <w:rPr>
                <w:spacing w:val="4"/>
              </w:rPr>
              <w:t>化合物</w:t>
            </w:r>
          </w:p>
        </w:tc>
        <w:tc>
          <w:tcPr>
            <w:tcW w:w="6471" w:type="dxa"/>
            <w:vAlign w:val="top"/>
            <w:vMerge w:val="restart"/>
            <w:tcBorders>
              <w:bottom w:val="nil"/>
            </w:tcBorders>
          </w:tcPr>
          <w:p>
            <w:pPr>
              <w:pStyle w:val="TableText"/>
              <w:ind w:left="190"/>
              <w:spacing w:before="215" w:line="229" w:lineRule="auto"/>
              <w:rPr/>
            </w:pPr>
            <w:r>
              <w:rPr>
                <w:spacing w:val="8"/>
              </w:rPr>
              <w:t>电弧炉废气及中频炉废气经收集后统一经</w:t>
            </w:r>
            <w:r>
              <w:rPr>
                <w:rFonts w:ascii="Times New Roman" w:hAnsi="Times New Roman" w:eastAsia="Times New Roman" w:cs="Times New Roman"/>
                <w:spacing w:val="8"/>
              </w:rPr>
              <w:t>"1</w:t>
            </w:r>
            <w:r>
              <w:rPr>
                <w:spacing w:val="8"/>
              </w:rPr>
              <w:t>套布袋除尘装置</w:t>
            </w:r>
            <w:r>
              <w:rPr>
                <w:rFonts w:ascii="Times New Roman" w:hAnsi="Times New Roman" w:eastAsia="Times New Roman" w:cs="Times New Roman"/>
                <w:spacing w:val="8"/>
              </w:rPr>
              <w:t>"</w:t>
            </w:r>
            <w:r>
              <w:rPr>
                <w:spacing w:val="8"/>
              </w:rPr>
              <w:t>处理后</w:t>
            </w:r>
          </w:p>
          <w:p>
            <w:pPr>
              <w:pStyle w:val="TableText"/>
              <w:ind w:left="130"/>
              <w:spacing w:before="63" w:line="229" w:lineRule="auto"/>
              <w:rPr/>
            </w:pPr>
            <w:r>
              <w:rPr>
                <w:spacing w:val="8"/>
              </w:rPr>
              <w:t>进入竖炉烟气总管，再经过活性炭喷射</w:t>
            </w:r>
            <w:r>
              <w:rPr>
                <w:rFonts w:ascii="Times New Roman" w:hAnsi="Times New Roman" w:eastAsia="Times New Roman" w:cs="Times New Roman"/>
                <w:spacing w:val="8"/>
              </w:rPr>
              <w:t>+</w:t>
            </w:r>
            <w:r>
              <w:rPr>
                <w:spacing w:val="8"/>
              </w:rPr>
              <w:t>布袋除尘</w:t>
            </w:r>
            <w:r>
              <w:rPr>
                <w:rFonts w:ascii="Times New Roman" w:hAnsi="Times New Roman" w:eastAsia="Times New Roman" w:cs="Times New Roman"/>
                <w:spacing w:val="8"/>
              </w:rPr>
              <w:t>+</w:t>
            </w:r>
            <w:r>
              <w:rPr>
                <w:spacing w:val="8"/>
              </w:rPr>
              <w:t>氧化镁脱硫</w:t>
            </w:r>
            <w:r>
              <w:rPr>
                <w:rFonts w:ascii="Times New Roman" w:hAnsi="Times New Roman" w:eastAsia="Times New Roman" w:cs="Times New Roman"/>
                <w:spacing w:val="8"/>
              </w:rPr>
              <w:t>+</w:t>
            </w:r>
            <w:r>
              <w:rPr>
                <w:rFonts w:ascii="Times New Roman" w:hAnsi="Times New Roman" w:eastAsia="Times New Roman" w:cs="Times New Roman"/>
                <w:spacing w:val="-20"/>
              </w:rPr>
              <w:t xml:space="preserve"> </w:t>
            </w:r>
            <w:r>
              <w:rPr>
                <w:spacing w:val="8"/>
              </w:rPr>
              <w:t>氧化</w:t>
            </w:r>
          </w:p>
          <w:p>
            <w:pPr>
              <w:pStyle w:val="TableText"/>
              <w:ind w:left="1505"/>
              <w:spacing w:before="64" w:line="231" w:lineRule="auto"/>
              <w:rPr/>
            </w:pPr>
            <w:r>
              <w:rPr>
                <w:spacing w:val="8"/>
              </w:rPr>
              <w:t>镁脱硫</w:t>
            </w:r>
            <w:r>
              <w:rPr>
                <w:rFonts w:ascii="Times New Roman" w:hAnsi="Times New Roman" w:eastAsia="Times New Roman" w:cs="Times New Roman"/>
                <w:spacing w:val="8"/>
              </w:rPr>
              <w:t>+</w:t>
            </w:r>
            <w:r>
              <w:rPr>
                <w:spacing w:val="8"/>
              </w:rPr>
              <w:t>湿电除尘处理后</w:t>
            </w:r>
            <w:r>
              <w:rPr>
                <w:rFonts w:ascii="Times New Roman" w:hAnsi="Times New Roman" w:eastAsia="Times New Roman" w:cs="Times New Roman"/>
                <w:spacing w:val="8"/>
              </w:rPr>
              <w:t>45</w:t>
            </w:r>
            <w:r>
              <w:rPr>
                <w:spacing w:val="8"/>
              </w:rPr>
              <w:t>米高空排放</w:t>
            </w:r>
          </w:p>
        </w:tc>
      </w:tr>
      <w:tr>
        <w:trPr>
          <w:trHeight w:val="629" w:hRule="atLeast"/>
        </w:trPr>
        <w:tc>
          <w:tcPr>
            <w:tcW w:w="532" w:type="dxa"/>
            <w:vAlign w:val="top"/>
            <w:vMerge w:val="continue"/>
            <w:tcBorders>
              <w:top w:val="nil"/>
              <w:bottom w:val="nil"/>
            </w:tcBorders>
          </w:tcPr>
          <w:p>
            <w:pPr>
              <w:rPr>
                <w:rFonts w:ascii="Arial"/>
                <w:sz w:val="21"/>
              </w:rPr>
            </w:pPr>
            <w:r/>
          </w:p>
        </w:tc>
        <w:tc>
          <w:tcPr>
            <w:tcW w:w="781" w:type="dxa"/>
            <w:vAlign w:val="top"/>
            <w:vMerge w:val="continue"/>
            <w:tcBorders>
              <w:top w:val="nil"/>
            </w:tcBorders>
          </w:tcPr>
          <w:p>
            <w:pPr>
              <w:rPr>
                <w:rFonts w:ascii="Arial"/>
                <w:sz w:val="21"/>
              </w:rPr>
            </w:pPr>
            <w:r/>
          </w:p>
        </w:tc>
        <w:tc>
          <w:tcPr>
            <w:tcW w:w="1126" w:type="dxa"/>
            <w:vAlign w:val="top"/>
          </w:tcPr>
          <w:p>
            <w:pPr>
              <w:pStyle w:val="TableText"/>
              <w:ind w:left="179"/>
              <w:spacing w:before="54" w:line="231" w:lineRule="auto"/>
              <w:rPr/>
            </w:pPr>
            <w:r>
              <w:rPr>
                <w:spacing w:val="-1"/>
              </w:rPr>
              <w:t>中频炉废</w:t>
            </w:r>
          </w:p>
          <w:p>
            <w:pPr>
              <w:pStyle w:val="TableText"/>
              <w:ind w:left="475"/>
              <w:spacing w:before="61" w:line="233" w:lineRule="auto"/>
              <w:rPr/>
            </w:pPr>
            <w:r>
              <w:rPr/>
              <w:t>气</w:t>
            </w:r>
          </w:p>
        </w:tc>
        <w:tc>
          <w:tcPr>
            <w:tcW w:w="1699" w:type="dxa"/>
            <w:vAlign w:val="top"/>
          </w:tcPr>
          <w:p>
            <w:pPr>
              <w:pStyle w:val="TableText"/>
              <w:ind w:left="547"/>
              <w:spacing w:before="210" w:line="229" w:lineRule="auto"/>
              <w:rPr/>
            </w:pPr>
            <w:r>
              <w:rPr>
                <w:spacing w:val="4"/>
              </w:rPr>
              <w:t>颗粒物</w:t>
            </w:r>
          </w:p>
        </w:tc>
        <w:tc>
          <w:tcPr>
            <w:tcW w:w="6471" w:type="dxa"/>
            <w:vAlign w:val="top"/>
            <w:vMerge w:val="continue"/>
            <w:tcBorders>
              <w:top w:val="nil"/>
            </w:tcBorders>
          </w:tcPr>
          <w:p>
            <w:pPr>
              <w:rPr>
                <w:rFonts w:ascii="Arial"/>
                <w:sz w:val="21"/>
              </w:rPr>
            </w:pPr>
            <w:r/>
          </w:p>
        </w:tc>
      </w:tr>
      <w:tr>
        <w:trPr>
          <w:trHeight w:val="2500" w:hRule="atLeast"/>
        </w:trPr>
        <w:tc>
          <w:tcPr>
            <w:tcW w:w="532" w:type="dxa"/>
            <w:vAlign w:val="top"/>
            <w:vMerge w:val="continue"/>
            <w:tcBorders>
              <w:top w:val="nil"/>
            </w:tcBorders>
          </w:tcPr>
          <w:p>
            <w:pPr>
              <w:rPr>
                <w:rFonts w:ascii="Arial"/>
                <w:sz w:val="21"/>
              </w:rPr>
            </w:pPr>
            <w:r/>
          </w:p>
        </w:tc>
        <w:tc>
          <w:tcPr>
            <w:tcW w:w="1907" w:type="dxa"/>
            <w:vAlign w:val="top"/>
            <w:gridSpan w:val="2"/>
          </w:tcPr>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755"/>
              <w:spacing w:before="65" w:line="230" w:lineRule="auto"/>
              <w:rPr/>
            </w:pPr>
            <w:r>
              <w:rPr>
                <w:spacing w:val="1"/>
              </w:rPr>
              <w:t>其他</w:t>
            </w:r>
          </w:p>
        </w:tc>
        <w:tc>
          <w:tcPr>
            <w:tcW w:w="1699"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785"/>
              <w:spacing w:before="57"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6471" w:type="dxa"/>
            <w:vAlign w:val="top"/>
          </w:tcPr>
          <w:p>
            <w:pPr>
              <w:pStyle w:val="TableText"/>
              <w:ind w:left="152"/>
              <w:spacing w:before="53" w:line="228" w:lineRule="auto"/>
              <w:rPr/>
            </w:pPr>
            <w:r>
              <w:rPr>
                <w:spacing w:val="9"/>
              </w:rPr>
              <w:t>（</w:t>
            </w:r>
            <w:r>
              <w:rPr>
                <w:rFonts w:ascii="Times New Roman" w:hAnsi="Times New Roman" w:eastAsia="Times New Roman" w:cs="Times New Roman"/>
                <w:spacing w:val="9"/>
              </w:rPr>
              <w:t>1</w:t>
            </w:r>
            <w:r>
              <w:rPr>
                <w:spacing w:val="9"/>
              </w:rPr>
              <w:t>）危险废物原料仓库进行整改，整改后对原料分类堆存，原料仓</w:t>
            </w:r>
          </w:p>
          <w:p>
            <w:pPr>
              <w:pStyle w:val="TableText"/>
              <w:ind w:left="122"/>
              <w:spacing w:before="65" w:line="228" w:lineRule="auto"/>
              <w:rPr/>
            </w:pPr>
            <w:r>
              <w:rPr>
                <w:spacing w:val="8"/>
              </w:rPr>
              <w:t>库三面封闭，仅留一面用于车辆进车。在管理上，制定</w:t>
            </w:r>
            <w:r>
              <w:rPr>
                <w:spacing w:val="7"/>
              </w:rPr>
              <w:t>严格的入厂标</w:t>
            </w:r>
          </w:p>
          <w:p>
            <w:pPr>
              <w:pStyle w:val="TableText"/>
              <w:ind w:left="150"/>
              <w:spacing w:before="64" w:line="229" w:lineRule="auto"/>
              <w:rPr/>
            </w:pPr>
            <w:r>
              <w:rPr>
                <w:spacing w:val="9"/>
              </w:rPr>
              <w:t>准，严禁收集恶臭原料，防止原料无组织恶臭产生。（</w:t>
            </w:r>
            <w:r>
              <w:rPr>
                <w:rFonts w:ascii="Times New Roman" w:hAnsi="Times New Roman" w:eastAsia="Times New Roman" w:cs="Times New Roman"/>
                <w:spacing w:val="9"/>
              </w:rPr>
              <w:t>2</w:t>
            </w:r>
            <w:r>
              <w:rPr>
                <w:spacing w:val="9"/>
              </w:rPr>
              <w:t>）厂区内以</w:t>
            </w:r>
          </w:p>
          <w:p>
            <w:pPr>
              <w:pStyle w:val="TableText"/>
              <w:ind w:left="121"/>
              <w:spacing w:before="63" w:line="229" w:lineRule="auto"/>
              <w:rPr/>
            </w:pPr>
            <w:r>
              <w:rPr>
                <w:spacing w:val="8"/>
              </w:rPr>
              <w:t>及周边加强绿化设计和投入，选择一些耐酸、对硫化氢</w:t>
            </w:r>
            <w:r>
              <w:rPr>
                <w:spacing w:val="7"/>
              </w:rPr>
              <w:t>等恶臭废气有</w:t>
            </w:r>
          </w:p>
          <w:p>
            <w:pPr>
              <w:pStyle w:val="TableText"/>
              <w:ind w:left="151"/>
              <w:spacing w:before="64" w:line="229" w:lineRule="auto"/>
              <w:rPr/>
            </w:pPr>
            <w:r>
              <w:rPr>
                <w:spacing w:val="9"/>
              </w:rPr>
              <w:t>一定吸附作用的植被作为绿化树种。（</w:t>
            </w:r>
            <w:r>
              <w:rPr>
                <w:rFonts w:ascii="Times New Roman" w:hAnsi="Times New Roman" w:eastAsia="Times New Roman" w:cs="Times New Roman"/>
                <w:spacing w:val="9"/>
              </w:rPr>
              <w:t>3</w:t>
            </w:r>
            <w:r>
              <w:rPr>
                <w:spacing w:val="9"/>
              </w:rPr>
              <w:t>）考虑到周边空气环境质量</w:t>
            </w:r>
          </w:p>
          <w:p>
            <w:pPr>
              <w:pStyle w:val="TableText"/>
              <w:ind w:left="121"/>
              <w:spacing w:before="65" w:line="229" w:lineRule="auto"/>
              <w:rPr/>
            </w:pPr>
            <w:r>
              <w:rPr>
                <w:spacing w:val="8"/>
              </w:rPr>
              <w:t>安全，本次技改实施后企业不得收集含汞危险废物，同</w:t>
            </w:r>
            <w:r>
              <w:rPr>
                <w:spacing w:val="7"/>
              </w:rPr>
              <w:t>时严格控制收</w:t>
            </w:r>
          </w:p>
          <w:p>
            <w:pPr>
              <w:pStyle w:val="TableText"/>
              <w:ind w:left="120"/>
              <w:spacing w:before="63" w:line="229" w:lineRule="auto"/>
              <w:rPr/>
            </w:pPr>
            <w:r>
              <w:rPr>
                <w:spacing w:val="8"/>
              </w:rPr>
              <w:t>集危险废物中的砷含量。同时，企业需指定入场标准，对进</w:t>
            </w:r>
            <w:r>
              <w:rPr>
                <w:spacing w:val="7"/>
              </w:rPr>
              <w:t>厂原料进</w:t>
            </w:r>
          </w:p>
          <w:p>
            <w:pPr>
              <w:pStyle w:val="TableText"/>
              <w:ind w:left="308"/>
              <w:spacing w:before="64" w:line="229" w:lineRule="auto"/>
              <w:rPr/>
            </w:pPr>
            <w:r>
              <w:rPr>
                <w:spacing w:val="9"/>
              </w:rPr>
              <w:t>行分析，严禁恶臭类原料进厂，防止原料仓库产生无组织恶臭。</w:t>
            </w:r>
          </w:p>
        </w:tc>
      </w:tr>
      <w:tr>
        <w:trPr>
          <w:trHeight w:val="1876" w:hRule="atLeast"/>
        </w:trPr>
        <w:tc>
          <w:tcPr>
            <w:tcW w:w="532" w:type="dxa"/>
            <w:vAlign w:val="top"/>
            <w:vMerge w:val="restart"/>
            <w:textDirection w:val="tbRlV"/>
            <w:tcBorders>
              <w:bottom w:val="nil"/>
            </w:tcBorders>
          </w:tcPr>
          <w:p>
            <w:pPr>
              <w:pStyle w:val="TableText"/>
              <w:ind w:left="1518"/>
              <w:spacing w:before="170" w:line="198" w:lineRule="auto"/>
              <w:rPr/>
            </w:pPr>
            <w:r>
              <w:rPr>
                <w:spacing w:val="8"/>
              </w:rPr>
              <w:t>废水</w:t>
            </w:r>
          </w:p>
        </w:tc>
        <w:tc>
          <w:tcPr>
            <w:tcW w:w="781" w:type="dxa"/>
            <w:vAlign w:val="top"/>
          </w:tcPr>
          <w:p>
            <w:pPr>
              <w:spacing w:line="304" w:lineRule="auto"/>
              <w:rPr>
                <w:rFonts w:ascii="Arial"/>
                <w:sz w:val="21"/>
              </w:rPr>
            </w:pPr>
            <w:r/>
          </w:p>
          <w:p>
            <w:pPr>
              <w:spacing w:line="305" w:lineRule="auto"/>
              <w:rPr>
                <w:rFonts w:ascii="Arial"/>
                <w:sz w:val="21"/>
              </w:rPr>
            </w:pPr>
            <w:r/>
          </w:p>
          <w:p>
            <w:pPr>
              <w:pStyle w:val="TableText"/>
              <w:ind w:left="202"/>
              <w:spacing w:before="66" w:line="232" w:lineRule="auto"/>
              <w:rPr/>
            </w:pPr>
            <w:r>
              <w:rPr>
                <w:spacing w:val="-5"/>
              </w:rPr>
              <w:t>生产</w:t>
            </w:r>
          </w:p>
          <w:p>
            <w:pPr>
              <w:pStyle w:val="TableText"/>
              <w:ind w:left="192"/>
              <w:spacing w:before="59" w:line="232" w:lineRule="auto"/>
              <w:rPr/>
            </w:pPr>
            <w:r>
              <w:rPr/>
              <w:t>废水</w:t>
            </w:r>
          </w:p>
        </w:tc>
        <w:tc>
          <w:tcPr>
            <w:tcW w:w="1126" w:type="dxa"/>
            <w:vAlign w:val="top"/>
          </w:tcPr>
          <w:p>
            <w:pPr>
              <w:spacing w:line="304" w:lineRule="auto"/>
              <w:rPr>
                <w:rFonts w:ascii="Arial"/>
                <w:sz w:val="21"/>
              </w:rPr>
            </w:pPr>
            <w:r/>
          </w:p>
          <w:p>
            <w:pPr>
              <w:spacing w:line="305" w:lineRule="auto"/>
              <w:rPr>
                <w:rFonts w:ascii="Arial"/>
                <w:sz w:val="21"/>
              </w:rPr>
            </w:pPr>
            <w:r/>
          </w:p>
          <w:p>
            <w:pPr>
              <w:pStyle w:val="TableText"/>
              <w:ind w:left="152"/>
              <w:spacing w:before="65" w:line="232" w:lineRule="auto"/>
              <w:rPr/>
            </w:pPr>
            <w:r>
              <w:rPr>
                <w:spacing w:val="3"/>
              </w:rPr>
              <w:t>脱硫液、</w:t>
            </w:r>
          </w:p>
          <w:p>
            <w:pPr>
              <w:pStyle w:val="TableText"/>
              <w:ind w:left="162"/>
              <w:spacing w:before="61" w:line="230" w:lineRule="auto"/>
              <w:rPr/>
            </w:pPr>
            <w:r>
              <w:rPr>
                <w:spacing w:val="3"/>
              </w:rPr>
              <w:t>喷淋废水</w:t>
            </w:r>
          </w:p>
        </w:tc>
        <w:tc>
          <w:tcPr>
            <w:tcW w:w="1699" w:type="dxa"/>
            <w:vAlign w:val="top"/>
          </w:tcPr>
          <w:p>
            <w:pPr>
              <w:spacing w:line="323" w:lineRule="auto"/>
              <w:rPr>
                <w:rFonts w:ascii="Arial"/>
                <w:sz w:val="21"/>
              </w:rPr>
            </w:pPr>
            <w:r/>
          </w:p>
          <w:p>
            <w:pPr>
              <w:spacing w:line="323" w:lineRule="auto"/>
              <w:rPr>
                <w:rFonts w:ascii="Arial"/>
                <w:sz w:val="21"/>
              </w:rPr>
            </w:pPr>
            <w:r/>
          </w:p>
          <w:p>
            <w:pPr>
              <w:pStyle w:val="TableText"/>
              <w:ind w:left="447" w:right="157" w:hanging="320"/>
              <w:spacing w:before="65" w:line="288" w:lineRule="auto"/>
              <w:rPr/>
            </w:pPr>
            <w:r>
              <w:rPr>
                <w:rFonts w:ascii="Times New Roman" w:hAnsi="Times New Roman" w:eastAsia="Times New Roman" w:cs="Times New Roman"/>
                <w:spacing w:val="-1"/>
              </w:rPr>
              <w:t>COD</w:t>
            </w:r>
            <w:r>
              <w:rPr>
                <w:rFonts w:ascii="Times New Roman" w:hAnsi="Times New Roman" w:eastAsia="Times New Roman" w:cs="Times New Roman"/>
                <w:spacing w:val="-20"/>
              </w:rPr>
              <w:t xml:space="preserve"> </w:t>
            </w:r>
            <w:r>
              <w:rPr>
                <w:spacing w:val="-1"/>
              </w:rPr>
              <w:t>、</w:t>
            </w:r>
            <w:r>
              <w:rPr>
                <w:rFonts w:ascii="Times New Roman" w:hAnsi="Times New Roman" w:eastAsia="Times New Roman" w:cs="Times New Roman"/>
                <w:spacing w:val="-1"/>
              </w:rPr>
              <w:t>NH</w:t>
            </w:r>
            <w:r>
              <w:rPr>
                <w:rFonts w:ascii="Times New Roman" w:hAnsi="Times New Roman" w:eastAsia="Times New Roman" w:cs="Times New Roman"/>
                <w:sz w:val="13"/>
                <w:szCs w:val="13"/>
                <w:spacing w:val="-1"/>
              </w:rPr>
              <w:t>4</w:t>
            </w:r>
            <w:r>
              <w:rPr>
                <w:rFonts w:ascii="Times New Roman" w:hAnsi="Times New Roman" w:eastAsia="Times New Roman" w:cs="Times New Roman"/>
                <w:spacing w:val="-1"/>
              </w:rPr>
              <w:t>-N</w:t>
            </w:r>
            <w:r>
              <w:rPr>
                <w:spacing w:val="-1"/>
              </w:rPr>
              <w:t>、</w:t>
            </w:r>
            <w:r>
              <w:rPr/>
              <w:t xml:space="preserve"> </w:t>
            </w:r>
            <w:r>
              <w:rPr>
                <w:spacing w:val="4"/>
              </w:rPr>
              <w:t>重金属等</w:t>
            </w:r>
          </w:p>
        </w:tc>
        <w:tc>
          <w:tcPr>
            <w:tcW w:w="6471" w:type="dxa"/>
            <w:vAlign w:val="top"/>
          </w:tcPr>
          <w:p>
            <w:pPr>
              <w:pStyle w:val="TableText"/>
              <w:ind w:left="121"/>
              <w:spacing w:before="54" w:line="230" w:lineRule="auto"/>
              <w:rPr/>
            </w:pPr>
            <w:r>
              <w:rPr>
                <w:spacing w:val="7"/>
              </w:rPr>
              <w:t>废水收集进入企业污水处理设施，污水处理设施利用“纳米技术</w:t>
            </w:r>
            <w:r>
              <w:rPr>
                <w:spacing w:val="-70"/>
              </w:rPr>
              <w:t xml:space="preserve"> </w:t>
            </w:r>
            <w:r>
              <w:rPr>
                <w:spacing w:val="7"/>
              </w:rPr>
              <w:t>”工</w:t>
            </w:r>
          </w:p>
          <w:p>
            <w:pPr>
              <w:pStyle w:val="TableText"/>
              <w:ind w:left="135"/>
              <w:spacing w:before="63" w:line="229" w:lineRule="auto"/>
              <w:rPr/>
            </w:pPr>
            <w:r>
              <w:rPr>
                <w:spacing w:val="9"/>
              </w:rPr>
              <w:t>艺除重金属，利用“混凝</w:t>
            </w:r>
            <w:r>
              <w:rPr>
                <w:rFonts w:ascii="Times New Roman" w:hAnsi="Times New Roman" w:eastAsia="Times New Roman" w:cs="Times New Roman"/>
                <w:spacing w:val="9"/>
              </w:rPr>
              <w:t>+</w:t>
            </w:r>
            <w:r>
              <w:rPr>
                <w:spacing w:val="9"/>
              </w:rPr>
              <w:t>芬顿</w:t>
            </w:r>
            <w:r>
              <w:rPr>
                <w:spacing w:val="-70"/>
              </w:rPr>
              <w:t xml:space="preserve"> </w:t>
            </w:r>
            <w:r>
              <w:rPr>
                <w:spacing w:val="9"/>
              </w:rPr>
              <w:t>”工艺除</w:t>
            </w:r>
            <w:r>
              <w:rPr>
                <w:rFonts w:ascii="Times New Roman" w:hAnsi="Times New Roman" w:eastAsia="Times New Roman" w:cs="Times New Roman"/>
              </w:rPr>
              <w:t>COD</w:t>
            </w:r>
            <w:r>
              <w:rPr>
                <w:spacing w:val="9"/>
              </w:rPr>
              <w:t>前（</w:t>
            </w:r>
            <w:r>
              <w:rPr>
                <w:spacing w:val="8"/>
              </w:rPr>
              <w:t>单独为逆流烘干炉</w:t>
            </w:r>
          </w:p>
          <w:p>
            <w:pPr>
              <w:pStyle w:val="TableText"/>
              <w:ind w:left="121"/>
              <w:spacing w:before="63" w:line="228" w:lineRule="auto"/>
              <w:rPr/>
            </w:pPr>
            <w:r>
              <w:rPr>
                <w:spacing w:val="8"/>
              </w:rPr>
              <w:t>废气脱硫废水增加预处理设施后再进入废水调节池；在</w:t>
            </w:r>
            <w:r>
              <w:rPr>
                <w:spacing w:val="7"/>
              </w:rPr>
              <w:t>调节池与絮凝</w:t>
            </w:r>
          </w:p>
          <w:p>
            <w:pPr>
              <w:pStyle w:val="TableText"/>
              <w:ind w:left="150"/>
              <w:spacing w:before="64" w:line="221" w:lineRule="auto"/>
              <w:rPr/>
            </w:pPr>
            <w:r>
              <w:rPr>
                <w:spacing w:val="10"/>
              </w:rPr>
              <w:t>沉淀池之间增设高效浅层气浮机）</w:t>
            </w:r>
            <w:r>
              <w:rPr>
                <w:rFonts w:ascii="Times New Roman" w:hAnsi="Times New Roman" w:eastAsia="Times New Roman" w:cs="Times New Roman"/>
                <w:spacing w:val="10"/>
              </w:rPr>
              <w:t>,</w:t>
            </w:r>
            <w:r>
              <w:rPr>
                <w:spacing w:val="10"/>
              </w:rPr>
              <w:t>处理后废水</w:t>
            </w:r>
            <w:r>
              <w:rPr>
                <w:spacing w:val="9"/>
              </w:rPr>
              <w:t>经过</w:t>
            </w:r>
            <w:r>
              <w:rPr>
                <w:rFonts w:ascii="Times New Roman" w:hAnsi="Times New Roman" w:eastAsia="Times New Roman" w:cs="Times New Roman"/>
              </w:rPr>
              <w:t>MVR</w:t>
            </w:r>
            <w:r>
              <w:rPr>
                <w:spacing w:val="9"/>
              </w:rPr>
              <w:t>蒸发结晶处</w:t>
            </w:r>
          </w:p>
          <w:p>
            <w:pPr>
              <w:pStyle w:val="TableText"/>
              <w:ind w:left="147"/>
              <w:spacing w:before="72" w:line="221" w:lineRule="auto"/>
              <w:rPr/>
            </w:pPr>
            <w:r>
              <w:rPr>
                <w:spacing w:val="10"/>
              </w:rPr>
              <w:t>理（增加一套备用</w:t>
            </w:r>
            <w:r>
              <w:rPr>
                <w:rFonts w:ascii="Times New Roman" w:hAnsi="Times New Roman" w:eastAsia="Times New Roman" w:cs="Times New Roman"/>
              </w:rPr>
              <w:t>MVR</w:t>
            </w:r>
            <w:r>
              <w:rPr>
                <w:spacing w:val="10"/>
              </w:rPr>
              <w:t>蒸发结晶系统）</w:t>
            </w:r>
            <w:r>
              <w:rPr>
                <w:rFonts w:ascii="Times New Roman" w:hAnsi="Times New Roman" w:eastAsia="Times New Roman" w:cs="Times New Roman"/>
                <w:spacing w:val="10"/>
              </w:rPr>
              <w:t>,</w:t>
            </w:r>
            <w:r>
              <w:rPr>
                <w:spacing w:val="10"/>
              </w:rPr>
              <w:t>蒸馏水回用作</w:t>
            </w:r>
            <w:r>
              <w:rPr>
                <w:spacing w:val="9"/>
              </w:rPr>
              <w:t>为冷却循环补</w:t>
            </w:r>
          </w:p>
          <w:p>
            <w:pPr>
              <w:pStyle w:val="TableText"/>
              <w:ind w:left="2090"/>
              <w:spacing w:before="73" w:line="231" w:lineRule="auto"/>
              <w:rPr/>
            </w:pPr>
            <w:r>
              <w:rPr>
                <w:spacing w:val="7"/>
              </w:rPr>
              <w:t>充水，不外排生产废水。</w:t>
            </w:r>
          </w:p>
        </w:tc>
      </w:tr>
      <w:tr>
        <w:trPr>
          <w:trHeight w:val="629" w:hRule="atLeast"/>
        </w:trPr>
        <w:tc>
          <w:tcPr>
            <w:tcW w:w="532" w:type="dxa"/>
            <w:vAlign w:val="top"/>
            <w:vMerge w:val="continue"/>
            <w:textDirection w:val="tbRlV"/>
            <w:tcBorders>
              <w:top w:val="nil"/>
              <w:bottom w:val="nil"/>
            </w:tcBorders>
          </w:tcPr>
          <w:p>
            <w:pPr>
              <w:rPr>
                <w:rFonts w:ascii="Arial"/>
                <w:sz w:val="21"/>
              </w:rPr>
            </w:pPr>
            <w:r/>
          </w:p>
        </w:tc>
        <w:tc>
          <w:tcPr>
            <w:tcW w:w="781" w:type="dxa"/>
            <w:vAlign w:val="top"/>
          </w:tcPr>
          <w:p>
            <w:pPr>
              <w:pStyle w:val="TableText"/>
              <w:ind w:left="189"/>
              <w:spacing w:before="54" w:line="232" w:lineRule="auto"/>
              <w:rPr/>
            </w:pPr>
            <w:r>
              <w:rPr>
                <w:spacing w:val="2"/>
              </w:rPr>
              <w:t>初期</w:t>
            </w:r>
          </w:p>
          <w:p>
            <w:pPr>
              <w:pStyle w:val="TableText"/>
              <w:ind w:left="189"/>
              <w:spacing w:before="60" w:line="232" w:lineRule="auto"/>
              <w:rPr/>
            </w:pPr>
            <w:r>
              <w:rPr>
                <w:spacing w:val="2"/>
              </w:rPr>
              <w:t>雨水</w:t>
            </w:r>
          </w:p>
        </w:tc>
        <w:tc>
          <w:tcPr>
            <w:tcW w:w="1126" w:type="dxa"/>
            <w:vAlign w:val="top"/>
          </w:tcPr>
          <w:p>
            <w:pPr>
              <w:pStyle w:val="TableText"/>
              <w:ind w:left="152"/>
              <w:spacing w:before="210" w:line="232" w:lineRule="auto"/>
              <w:rPr/>
            </w:pPr>
            <w:r>
              <w:rPr>
                <w:spacing w:val="5"/>
              </w:rPr>
              <w:t>初期雨水</w:t>
            </w:r>
          </w:p>
        </w:tc>
        <w:tc>
          <w:tcPr>
            <w:tcW w:w="1699" w:type="dxa"/>
            <w:vAlign w:val="top"/>
          </w:tcPr>
          <w:p>
            <w:pPr>
              <w:pStyle w:val="TableText"/>
              <w:ind w:left="636"/>
              <w:spacing w:before="211" w:line="232" w:lineRule="auto"/>
              <w:rPr/>
            </w:pPr>
            <w:r>
              <w:rPr>
                <w:rFonts w:ascii="Times New Roman" w:hAnsi="Times New Roman" w:eastAsia="Times New Roman" w:cs="Times New Roman"/>
              </w:rPr>
              <w:t>SS</w:t>
            </w:r>
            <w:r>
              <w:rPr>
                <w:spacing w:val="8"/>
              </w:rPr>
              <w:t>等</w:t>
            </w:r>
          </w:p>
        </w:tc>
        <w:tc>
          <w:tcPr>
            <w:tcW w:w="6471" w:type="dxa"/>
            <w:vAlign w:val="top"/>
          </w:tcPr>
          <w:p>
            <w:pPr>
              <w:pStyle w:val="TableText"/>
              <w:ind w:left="118"/>
              <w:spacing w:before="54" w:line="229" w:lineRule="auto"/>
              <w:rPr/>
            </w:pPr>
            <w:r>
              <w:rPr>
                <w:spacing w:val="9"/>
              </w:rPr>
              <w:t>厂区内沉淀池沉淀处理达到回用水标准后作为逆流烘干炉</w:t>
            </w:r>
            <w:r>
              <w:rPr>
                <w:spacing w:val="8"/>
              </w:rPr>
              <w:t>、竖炉、电</w:t>
            </w:r>
          </w:p>
          <w:p>
            <w:pPr>
              <w:pStyle w:val="TableText"/>
              <w:ind w:left="2091"/>
              <w:spacing w:before="64" w:line="230" w:lineRule="auto"/>
              <w:rPr/>
            </w:pPr>
            <w:r>
              <w:rPr>
                <w:spacing w:val="8"/>
              </w:rPr>
              <w:t>弧炉和中频炉冷却循环水</w:t>
            </w:r>
          </w:p>
        </w:tc>
      </w:tr>
      <w:tr>
        <w:trPr>
          <w:trHeight w:val="940" w:hRule="atLeast"/>
        </w:trPr>
        <w:tc>
          <w:tcPr>
            <w:tcW w:w="532" w:type="dxa"/>
            <w:vAlign w:val="top"/>
            <w:vMerge w:val="continue"/>
            <w:textDirection w:val="tbRlV"/>
            <w:tcBorders>
              <w:top w:val="nil"/>
            </w:tcBorders>
          </w:tcPr>
          <w:p>
            <w:pPr>
              <w:rPr>
                <w:rFonts w:ascii="Arial"/>
                <w:sz w:val="21"/>
              </w:rPr>
            </w:pPr>
            <w:r/>
          </w:p>
        </w:tc>
        <w:tc>
          <w:tcPr>
            <w:tcW w:w="781" w:type="dxa"/>
            <w:vAlign w:val="top"/>
          </w:tcPr>
          <w:p>
            <w:pPr>
              <w:pStyle w:val="TableText"/>
              <w:ind w:left="202"/>
              <w:spacing w:before="210" w:line="232" w:lineRule="auto"/>
              <w:rPr/>
            </w:pPr>
            <w:r>
              <w:rPr>
                <w:spacing w:val="-5"/>
              </w:rPr>
              <w:t>生活</w:t>
            </w:r>
          </w:p>
          <w:p>
            <w:pPr>
              <w:pStyle w:val="TableText"/>
              <w:ind w:left="194"/>
              <w:spacing w:before="59" w:line="232" w:lineRule="auto"/>
              <w:rPr/>
            </w:pPr>
            <w:r>
              <w:rPr>
                <w:spacing w:val="-1"/>
              </w:rPr>
              <w:t>污水</w:t>
            </w:r>
          </w:p>
        </w:tc>
        <w:tc>
          <w:tcPr>
            <w:tcW w:w="1126" w:type="dxa"/>
            <w:vAlign w:val="top"/>
          </w:tcPr>
          <w:p>
            <w:pPr>
              <w:pStyle w:val="TableText"/>
              <w:ind w:left="361" w:right="144" w:hanging="209"/>
              <w:spacing w:before="210" w:line="289" w:lineRule="auto"/>
              <w:rPr/>
            </w:pPr>
            <w:r>
              <w:rPr>
                <w:spacing w:val="5"/>
              </w:rPr>
              <w:t>食堂、冲</w:t>
            </w:r>
            <w:r>
              <w:rPr>
                <w:spacing w:val="2"/>
              </w:rPr>
              <w:t xml:space="preserve"> </w:t>
            </w:r>
            <w:r>
              <w:rPr>
                <w:spacing w:val="1"/>
              </w:rPr>
              <w:t>厕等</w:t>
            </w:r>
          </w:p>
        </w:tc>
        <w:tc>
          <w:tcPr>
            <w:tcW w:w="1699" w:type="dxa"/>
            <w:vAlign w:val="top"/>
          </w:tcPr>
          <w:p>
            <w:pPr>
              <w:spacing w:line="335" w:lineRule="auto"/>
              <w:rPr>
                <w:rFonts w:ascii="Arial"/>
                <w:sz w:val="21"/>
              </w:rPr>
            </w:pPr>
            <w:r/>
          </w:p>
          <w:p>
            <w:pPr>
              <w:pStyle w:val="TableText"/>
              <w:ind w:left="230"/>
              <w:spacing w:before="65" w:line="190" w:lineRule="auto"/>
              <w:rPr>
                <w:rFonts w:ascii="Times New Roman" w:hAnsi="Times New Roman" w:eastAsia="Times New Roman" w:cs="Times New Roman"/>
              </w:rPr>
            </w:pPr>
            <w:r>
              <w:rPr>
                <w:rFonts w:ascii="Times New Roman" w:hAnsi="Times New Roman" w:eastAsia="Times New Roman" w:cs="Times New Roman"/>
              </w:rPr>
              <w:t>COD</w:t>
            </w:r>
            <w:r>
              <w:rPr>
                <w:rFonts w:ascii="Times New Roman" w:hAnsi="Times New Roman" w:eastAsia="Times New Roman" w:cs="Times New Roman"/>
                <w:spacing w:val="-17"/>
              </w:rPr>
              <w:t xml:space="preserve"> </w:t>
            </w:r>
            <w:r>
              <w:rPr>
                <w:spacing w:val="4"/>
              </w:rPr>
              <w:t>、</w:t>
            </w:r>
            <w:r>
              <w:rPr>
                <w:rFonts w:ascii="Times New Roman" w:hAnsi="Times New Roman" w:eastAsia="Times New Roman" w:cs="Times New Roman"/>
              </w:rPr>
              <w:t>NH</w:t>
            </w:r>
            <w:r>
              <w:rPr>
                <w:rFonts w:ascii="Times New Roman" w:hAnsi="Times New Roman" w:eastAsia="Times New Roman" w:cs="Times New Roman"/>
                <w:sz w:val="13"/>
                <w:szCs w:val="13"/>
                <w:spacing w:val="4"/>
              </w:rPr>
              <w:t>4</w:t>
            </w:r>
            <w:r>
              <w:rPr>
                <w:rFonts w:ascii="Times New Roman" w:hAnsi="Times New Roman" w:eastAsia="Times New Roman" w:cs="Times New Roman"/>
                <w:spacing w:val="4"/>
              </w:rPr>
              <w:t>-N</w:t>
            </w:r>
          </w:p>
        </w:tc>
        <w:tc>
          <w:tcPr>
            <w:tcW w:w="6471" w:type="dxa"/>
            <w:vAlign w:val="top"/>
          </w:tcPr>
          <w:p>
            <w:pPr>
              <w:pStyle w:val="TableText"/>
              <w:ind w:left="131"/>
              <w:spacing w:before="54" w:line="231" w:lineRule="auto"/>
              <w:rPr/>
            </w:pPr>
            <w:r>
              <w:rPr>
                <w:spacing w:val="7"/>
              </w:rPr>
              <w:t>生活污水中的冲厕废水经过化粪池、食堂废水经过隔油池预处理后与</w:t>
            </w:r>
          </w:p>
          <w:p>
            <w:pPr>
              <w:pStyle w:val="TableText"/>
              <w:ind w:left="120"/>
              <w:spacing w:before="61" w:line="229" w:lineRule="auto"/>
              <w:rPr/>
            </w:pPr>
            <w:r>
              <w:rPr>
                <w:spacing w:val="8"/>
              </w:rPr>
              <w:t>其他的生活污水一并纳管，委托物产中大（桐庐）水处理</w:t>
            </w:r>
            <w:r>
              <w:rPr>
                <w:spacing w:val="7"/>
              </w:rPr>
              <w:t>有限公司处</w:t>
            </w:r>
          </w:p>
          <w:p>
            <w:pPr>
              <w:pStyle w:val="TableText"/>
              <w:ind w:left="2302"/>
              <w:spacing w:before="64" w:line="231" w:lineRule="auto"/>
              <w:rPr/>
            </w:pPr>
            <w:r>
              <w:rPr>
                <w:spacing w:val="6"/>
              </w:rPr>
              <w:t>理达标后统一外排。</w:t>
            </w:r>
          </w:p>
        </w:tc>
      </w:tr>
      <w:tr>
        <w:trPr>
          <w:trHeight w:val="2815" w:hRule="atLeast"/>
        </w:trPr>
        <w:tc>
          <w:tcPr>
            <w:tcW w:w="532" w:type="dxa"/>
            <w:vAlign w:val="top"/>
            <w:textDirection w:val="tbRlV"/>
          </w:tcPr>
          <w:p>
            <w:pPr>
              <w:pStyle w:val="TableText"/>
              <w:ind w:left="1199"/>
              <w:spacing w:before="169" w:line="198" w:lineRule="auto"/>
              <w:rPr/>
            </w:pPr>
            <w:r>
              <w:rPr>
                <w:spacing w:val="8"/>
              </w:rPr>
              <w:t>噪声</w:t>
            </w:r>
          </w:p>
        </w:tc>
        <w:tc>
          <w:tcPr>
            <w:tcW w:w="781" w:type="dxa"/>
            <w:vAlign w:val="top"/>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ind w:left="323"/>
              <w:spacing w:before="58" w:line="9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2"/>
              </w:rPr>
              <w:t>--</w:t>
            </w:r>
          </w:p>
        </w:tc>
        <w:tc>
          <w:tcPr>
            <w:tcW w:w="1126" w:type="dxa"/>
            <w:vAlign w:val="top"/>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ind w:left="498"/>
              <w:spacing w:before="58" w:line="9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1699" w:type="dxa"/>
            <w:vAlign w:val="top"/>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ind w:left="785"/>
              <w:spacing w:before="58" w:line="9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6471" w:type="dxa"/>
            <w:vAlign w:val="top"/>
          </w:tcPr>
          <w:p>
            <w:pPr>
              <w:pStyle w:val="TableText"/>
              <w:ind w:left="152"/>
              <w:spacing w:before="55" w:line="228" w:lineRule="auto"/>
              <w:rPr/>
            </w:pPr>
            <w:r>
              <w:rPr>
                <w:spacing w:val="9"/>
              </w:rPr>
              <w:t>（</w:t>
            </w:r>
            <w:r>
              <w:rPr>
                <w:rFonts w:ascii="Times New Roman" w:hAnsi="Times New Roman" w:eastAsia="Times New Roman" w:cs="Times New Roman"/>
                <w:spacing w:val="9"/>
              </w:rPr>
              <w:t>1</w:t>
            </w:r>
            <w:r>
              <w:rPr>
                <w:spacing w:val="9"/>
              </w:rPr>
              <w:t>）在规划设计时合理进行布局，提高生产车间墙体面密度，增大</w:t>
            </w:r>
          </w:p>
          <w:p>
            <w:pPr>
              <w:pStyle w:val="TableText"/>
              <w:ind w:left="147"/>
              <w:spacing w:before="64" w:line="228" w:lineRule="auto"/>
              <w:rPr/>
            </w:pPr>
            <w:r>
              <w:rPr>
                <w:spacing w:val="9"/>
              </w:rPr>
              <w:t>整体隔声量。（</w:t>
            </w:r>
            <w:r>
              <w:rPr>
                <w:rFonts w:ascii="Times New Roman" w:hAnsi="Times New Roman" w:eastAsia="Times New Roman" w:cs="Times New Roman"/>
                <w:spacing w:val="9"/>
              </w:rPr>
              <w:t>2</w:t>
            </w:r>
            <w:r>
              <w:rPr>
                <w:spacing w:val="9"/>
              </w:rPr>
              <w:t>）车间内所需通风设施在选用低噪声型的基础</w:t>
            </w:r>
            <w:r>
              <w:rPr>
                <w:spacing w:val="8"/>
              </w:rPr>
              <w:t>上，</w:t>
            </w:r>
          </w:p>
          <w:p>
            <w:pPr>
              <w:pStyle w:val="TableText"/>
              <w:ind w:left="147"/>
              <w:spacing w:before="64" w:line="228" w:lineRule="auto"/>
              <w:rPr/>
            </w:pPr>
            <w:r>
              <w:rPr>
                <w:spacing w:val="9"/>
              </w:rPr>
              <w:t>应对风机出口加装高效消声器。（</w:t>
            </w:r>
            <w:r>
              <w:rPr>
                <w:rFonts w:ascii="Times New Roman" w:hAnsi="Times New Roman" w:eastAsia="Times New Roman" w:cs="Times New Roman"/>
                <w:spacing w:val="9"/>
              </w:rPr>
              <w:t>3</w:t>
            </w:r>
            <w:r>
              <w:rPr>
                <w:spacing w:val="9"/>
              </w:rPr>
              <w:t>）对高噪声源动力设备应布置在</w:t>
            </w:r>
          </w:p>
          <w:p>
            <w:pPr>
              <w:pStyle w:val="TableText"/>
              <w:ind w:left="134"/>
              <w:spacing w:before="64" w:line="229" w:lineRule="auto"/>
              <w:rPr/>
            </w:pPr>
            <w:r>
              <w:rPr>
                <w:spacing w:val="7"/>
              </w:rPr>
              <w:t>室内，并采取必要的减震措施，如采用钢弹簧、中等硬度橡胶等容许</w:t>
            </w:r>
          </w:p>
          <w:p>
            <w:pPr>
              <w:pStyle w:val="TableText"/>
              <w:ind w:left="147"/>
              <w:spacing w:before="64" w:line="229" w:lineRule="auto"/>
              <w:rPr/>
            </w:pPr>
            <w:r>
              <w:rPr>
                <w:spacing w:val="9"/>
              </w:rPr>
              <w:t>应力较高的隔震材料或减震沟对各类设备进行减震。（</w:t>
            </w:r>
            <w:r>
              <w:rPr>
                <w:rFonts w:ascii="Times New Roman" w:hAnsi="Times New Roman" w:eastAsia="Times New Roman" w:cs="Times New Roman"/>
                <w:spacing w:val="9"/>
              </w:rPr>
              <w:t>4</w:t>
            </w:r>
            <w:r>
              <w:rPr>
                <w:spacing w:val="9"/>
              </w:rPr>
              <w:t>）加强设备</w:t>
            </w:r>
          </w:p>
          <w:p>
            <w:pPr>
              <w:pStyle w:val="TableText"/>
              <w:ind w:left="131"/>
              <w:spacing w:before="65" w:line="227" w:lineRule="auto"/>
              <w:rPr/>
            </w:pPr>
            <w:r>
              <w:rPr>
                <w:spacing w:val="7"/>
              </w:rPr>
              <w:t>的维护，确保设备处于良好的运转状态，杜绝因设备不正常运转使产</w:t>
            </w:r>
          </w:p>
          <w:p>
            <w:pPr>
              <w:pStyle w:val="TableText"/>
              <w:ind w:left="160"/>
              <w:spacing w:before="66" w:line="228" w:lineRule="auto"/>
              <w:rPr/>
            </w:pPr>
            <w:r>
              <w:rPr>
                <w:spacing w:val="9"/>
              </w:rPr>
              <w:t>生的高噪声现象。（</w:t>
            </w:r>
            <w:r>
              <w:rPr>
                <w:rFonts w:ascii="Times New Roman" w:hAnsi="Times New Roman" w:eastAsia="Times New Roman" w:cs="Times New Roman"/>
                <w:spacing w:val="9"/>
              </w:rPr>
              <w:t>5</w:t>
            </w:r>
            <w:r>
              <w:rPr>
                <w:spacing w:val="9"/>
              </w:rPr>
              <w:t>）加强厂内绿化，在厂区内种植一定数</w:t>
            </w:r>
            <w:r>
              <w:rPr>
                <w:spacing w:val="8"/>
              </w:rPr>
              <w:t>量的乔</w:t>
            </w:r>
          </w:p>
          <w:p>
            <w:pPr>
              <w:pStyle w:val="TableText"/>
              <w:ind w:left="119"/>
              <w:spacing w:before="65" w:line="228" w:lineRule="auto"/>
              <w:rPr/>
            </w:pPr>
            <w:r>
              <w:rPr>
                <w:spacing w:val="8"/>
              </w:rPr>
              <w:t>木和灌木林，同时在围墙上种植爬山虎之类的藤本植物，从而</w:t>
            </w:r>
            <w:r>
              <w:rPr>
                <w:spacing w:val="7"/>
              </w:rPr>
              <w:t>使噪声</w:t>
            </w:r>
          </w:p>
          <w:p>
            <w:pPr>
              <w:pStyle w:val="TableText"/>
              <w:ind w:left="1886"/>
              <w:spacing w:before="64" w:line="231" w:lineRule="auto"/>
              <w:rPr/>
            </w:pPr>
            <w:r>
              <w:rPr>
                <w:spacing w:val="7"/>
              </w:rPr>
              <w:t>最大限度地随距离自然衰减。</w:t>
            </w:r>
          </w:p>
        </w:tc>
      </w:tr>
    </w:tbl>
    <w:p>
      <w:pPr>
        <w:rPr>
          <w:rFonts w:ascii="Arial"/>
          <w:sz w:val="21"/>
        </w:rPr>
      </w:pPr>
      <w:r/>
    </w:p>
    <w:p>
      <w:pPr>
        <w:sectPr>
          <w:footerReference w:type="default" r:id="rId78"/>
          <w:pgSz w:w="11906" w:h="16839"/>
          <w:pgMar w:top="1139" w:right="646" w:bottom="1252" w:left="645" w:header="831" w:footer="1090" w:gutter="0"/>
        </w:sectPr>
        <w:rPr>
          <w:rFonts w:ascii="Arial" w:hAnsi="Arial" w:eastAsia="Arial" w:cs="Arial"/>
          <w:sz w:val="21"/>
          <w:szCs w:val="21"/>
        </w:rPr>
      </w:pPr>
    </w:p>
    <w:p>
      <w:pPr>
        <w:spacing w:before="58"/>
        <w:rPr/>
      </w:pPr>
      <w:r/>
    </w:p>
    <w:tbl>
      <w:tblPr>
        <w:tblStyle w:val="TableNormal"/>
        <w:tblW w:w="1060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2"/>
        <w:gridCol w:w="781"/>
        <w:gridCol w:w="1126"/>
        <w:gridCol w:w="1699"/>
        <w:gridCol w:w="6471"/>
      </w:tblGrid>
      <w:tr>
        <w:trPr>
          <w:trHeight w:val="321" w:hRule="atLeast"/>
        </w:trPr>
        <w:tc>
          <w:tcPr>
            <w:tcW w:w="532" w:type="dxa"/>
            <w:vAlign w:val="top"/>
          </w:tcPr>
          <w:p>
            <w:pPr>
              <w:pStyle w:val="TableText"/>
              <w:ind w:right="9"/>
              <w:spacing w:before="56" w:line="232" w:lineRule="auto"/>
              <w:jc w:val="right"/>
              <w:rPr/>
            </w:pPr>
            <w:r>
              <w:rPr>
                <w:b/>
                <w:bCs/>
                <w:spacing w:val="-6"/>
              </w:rPr>
              <w:t>分类</w:t>
            </w:r>
          </w:p>
        </w:tc>
        <w:tc>
          <w:tcPr>
            <w:tcW w:w="781" w:type="dxa"/>
            <w:vAlign w:val="top"/>
          </w:tcPr>
          <w:p>
            <w:pPr>
              <w:pStyle w:val="TableText"/>
              <w:ind w:left="138"/>
              <w:spacing w:before="56" w:line="231" w:lineRule="auto"/>
              <w:rPr/>
            </w:pPr>
            <w:r>
              <w:rPr>
                <w:b/>
                <w:bCs/>
                <w:spacing w:val="-13"/>
              </w:rPr>
              <w:t>污染源</w:t>
            </w:r>
          </w:p>
        </w:tc>
        <w:tc>
          <w:tcPr>
            <w:tcW w:w="1126" w:type="dxa"/>
            <w:vAlign w:val="top"/>
          </w:tcPr>
          <w:p>
            <w:pPr>
              <w:pStyle w:val="TableText"/>
              <w:ind w:left="152"/>
              <w:spacing w:before="56" w:line="230" w:lineRule="auto"/>
              <w:rPr/>
            </w:pPr>
            <w:r>
              <w:rPr>
                <w:b/>
                <w:bCs/>
                <w:spacing w:val="4"/>
              </w:rPr>
              <w:t>产污节点</w:t>
            </w:r>
          </w:p>
        </w:tc>
        <w:tc>
          <w:tcPr>
            <w:tcW w:w="1699" w:type="dxa"/>
            <w:vAlign w:val="top"/>
          </w:tcPr>
          <w:p>
            <w:pPr>
              <w:pStyle w:val="TableText"/>
              <w:ind w:left="547"/>
              <w:spacing w:before="56" w:line="229" w:lineRule="auto"/>
              <w:rPr/>
            </w:pPr>
            <w:r>
              <w:rPr>
                <w:b/>
                <w:bCs/>
                <w:spacing w:val="2"/>
              </w:rPr>
              <w:t>污染物</w:t>
            </w:r>
          </w:p>
        </w:tc>
        <w:tc>
          <w:tcPr>
            <w:tcW w:w="6471" w:type="dxa"/>
            <w:vAlign w:val="top"/>
          </w:tcPr>
          <w:p>
            <w:pPr>
              <w:pStyle w:val="TableText"/>
              <w:ind w:left="2616"/>
              <w:spacing w:before="56" w:line="231" w:lineRule="auto"/>
              <w:rPr/>
            </w:pPr>
            <w:r>
              <w:rPr>
                <w:b/>
                <w:bCs/>
                <w:spacing w:val="5"/>
              </w:rPr>
              <w:t>污染防治措施</w:t>
            </w:r>
          </w:p>
        </w:tc>
      </w:tr>
      <w:tr>
        <w:trPr>
          <w:trHeight w:val="1252" w:hRule="atLeast"/>
        </w:trPr>
        <w:tc>
          <w:tcPr>
            <w:tcW w:w="532" w:type="dxa"/>
            <w:vAlign w:val="top"/>
            <w:vMerge w:val="restart"/>
            <w:textDirection w:val="tbRlV"/>
            <w:tcBorders>
              <w:bottom w:val="nil"/>
            </w:tcBorders>
          </w:tcPr>
          <w:p>
            <w:pPr>
              <w:pStyle w:val="TableText"/>
              <w:ind w:left="2169"/>
              <w:spacing w:before="170" w:line="195" w:lineRule="auto"/>
              <w:rPr/>
            </w:pPr>
            <w:r>
              <w:rPr>
                <w:spacing w:val="9"/>
              </w:rPr>
              <w:t>固体废弃物</w:t>
            </w:r>
          </w:p>
        </w:tc>
        <w:tc>
          <w:tcPr>
            <w:tcW w:w="781" w:type="dxa"/>
            <w:vAlign w:val="top"/>
            <w:vMerge w:val="restart"/>
            <w:tcBorders>
              <w:bottom w:val="nil"/>
            </w:tcBorders>
          </w:tcPr>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323"/>
              <w:spacing w:before="57"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2"/>
              </w:rPr>
              <w:t>--</w:t>
            </w:r>
          </w:p>
        </w:tc>
        <w:tc>
          <w:tcPr>
            <w:tcW w:w="1126" w:type="dxa"/>
            <w:vAlign w:val="top"/>
          </w:tcPr>
          <w:p>
            <w:pPr>
              <w:spacing w:line="452" w:lineRule="auto"/>
              <w:rPr>
                <w:rFonts w:ascii="Arial"/>
                <w:sz w:val="21"/>
              </w:rPr>
            </w:pPr>
            <w:r/>
          </w:p>
          <w:p>
            <w:pPr>
              <w:pStyle w:val="TableText"/>
              <w:ind w:left="158"/>
              <w:spacing w:before="65" w:line="231" w:lineRule="auto"/>
              <w:rPr/>
            </w:pPr>
            <w:r>
              <w:rPr>
                <w:spacing w:val="4"/>
              </w:rPr>
              <w:t>竖炉熔炼</w:t>
            </w:r>
          </w:p>
        </w:tc>
        <w:tc>
          <w:tcPr>
            <w:tcW w:w="1699" w:type="dxa"/>
            <w:vAlign w:val="top"/>
          </w:tcPr>
          <w:p>
            <w:pPr>
              <w:spacing w:line="451" w:lineRule="auto"/>
              <w:rPr>
                <w:rFonts w:ascii="Arial"/>
                <w:sz w:val="21"/>
              </w:rPr>
            </w:pPr>
            <w:r/>
          </w:p>
          <w:p>
            <w:pPr>
              <w:pStyle w:val="TableText"/>
              <w:ind w:left="340"/>
              <w:spacing w:before="65" w:line="232" w:lineRule="auto"/>
              <w:rPr/>
            </w:pPr>
            <w:r>
              <w:rPr>
                <w:spacing w:val="5"/>
              </w:rPr>
              <w:t>竖炉冶炼渣</w:t>
            </w:r>
          </w:p>
        </w:tc>
        <w:tc>
          <w:tcPr>
            <w:tcW w:w="6471" w:type="dxa"/>
            <w:vAlign w:val="top"/>
          </w:tcPr>
          <w:p>
            <w:pPr>
              <w:pStyle w:val="TableText"/>
              <w:ind w:left="125"/>
              <w:spacing w:before="52" w:line="229" w:lineRule="auto"/>
              <w:rPr/>
            </w:pPr>
            <w:r>
              <w:rPr>
                <w:spacing w:val="8"/>
              </w:rPr>
              <w:t>竖炉冶炼渣需要进行危险废物鉴别。通过危险废</w:t>
            </w:r>
            <w:r>
              <w:rPr>
                <w:spacing w:val="7"/>
              </w:rPr>
              <w:t>物鉴别后，铜品位低</w:t>
            </w:r>
          </w:p>
          <w:p>
            <w:pPr>
              <w:pStyle w:val="TableText"/>
              <w:ind w:left="135"/>
              <w:spacing w:before="63" w:line="228" w:lineRule="auto"/>
              <w:rPr/>
            </w:pPr>
            <w:r>
              <w:rPr>
                <w:spacing w:val="9"/>
              </w:rPr>
              <w:t>于</w:t>
            </w:r>
            <w:r>
              <w:rPr>
                <w:rFonts w:ascii="Times New Roman" w:hAnsi="Times New Roman" w:eastAsia="Times New Roman" w:cs="Times New Roman"/>
                <w:spacing w:val="9"/>
              </w:rPr>
              <w:t>1%</w:t>
            </w:r>
            <w:r>
              <w:rPr>
                <w:spacing w:val="9"/>
              </w:rPr>
              <w:t>的外售给建材企业，铜品位高于</w:t>
            </w:r>
            <w:r>
              <w:rPr>
                <w:rFonts w:ascii="Times New Roman" w:hAnsi="Times New Roman" w:eastAsia="Times New Roman" w:cs="Times New Roman"/>
                <w:spacing w:val="9"/>
              </w:rPr>
              <w:t>1%</w:t>
            </w:r>
            <w:r>
              <w:rPr>
                <w:spacing w:val="9"/>
              </w:rPr>
              <w:t>的进入铜渣选</w:t>
            </w:r>
            <w:r>
              <w:rPr>
                <w:spacing w:val="8"/>
              </w:rPr>
              <w:t>矿车间进行矿</w:t>
            </w:r>
          </w:p>
          <w:p>
            <w:pPr>
              <w:pStyle w:val="TableText"/>
              <w:ind w:left="121"/>
              <w:spacing w:before="64" w:line="229" w:lineRule="auto"/>
              <w:rPr/>
            </w:pPr>
            <w:r>
              <w:rPr>
                <w:spacing w:val="8"/>
              </w:rPr>
              <w:t>选，矿选后产生的尾矿外售给建材企业，精矿返回原料</w:t>
            </w:r>
            <w:r>
              <w:rPr>
                <w:spacing w:val="7"/>
              </w:rPr>
              <w:t>仓库作为竖炉</w:t>
            </w:r>
          </w:p>
          <w:p>
            <w:pPr>
              <w:pStyle w:val="TableText"/>
              <w:ind w:left="2627"/>
              <w:spacing w:before="63" w:line="229" w:lineRule="auto"/>
              <w:rPr/>
            </w:pPr>
            <w:r>
              <w:rPr>
                <w:spacing w:val="3"/>
              </w:rPr>
              <w:t>生产的原料。</w:t>
            </w:r>
          </w:p>
        </w:tc>
      </w:tr>
      <w:tr>
        <w:trPr>
          <w:trHeight w:val="316" w:hRule="atLeast"/>
        </w:trPr>
        <w:tc>
          <w:tcPr>
            <w:tcW w:w="532" w:type="dxa"/>
            <w:vAlign w:val="top"/>
            <w:vMerge w:val="continue"/>
            <w:textDirection w:val="tbRlV"/>
            <w:tcBorders>
              <w:top w:val="nil"/>
              <w:bottom w:val="nil"/>
            </w:tcBorders>
          </w:tcPr>
          <w:p>
            <w:pPr>
              <w:rPr>
                <w:rFonts w:ascii="Arial"/>
                <w:sz w:val="21"/>
              </w:rPr>
            </w:pPr>
            <w:r/>
          </w:p>
        </w:tc>
        <w:tc>
          <w:tcPr>
            <w:tcW w:w="781" w:type="dxa"/>
            <w:vAlign w:val="top"/>
            <w:vMerge w:val="continue"/>
            <w:tcBorders>
              <w:top w:val="nil"/>
              <w:bottom w:val="nil"/>
            </w:tcBorders>
          </w:tcPr>
          <w:p>
            <w:pPr>
              <w:rPr>
                <w:rFonts w:ascii="Arial"/>
                <w:sz w:val="21"/>
              </w:rPr>
            </w:pPr>
            <w:r/>
          </w:p>
        </w:tc>
        <w:tc>
          <w:tcPr>
            <w:tcW w:w="1126" w:type="dxa"/>
            <w:vAlign w:val="top"/>
            <w:vMerge w:val="restart"/>
            <w:tcBorders>
              <w:bottom w:val="nil"/>
            </w:tcBorders>
          </w:tcPr>
          <w:p>
            <w:pPr>
              <w:pStyle w:val="TableText"/>
              <w:ind w:left="158"/>
              <w:spacing w:before="213" w:line="231" w:lineRule="auto"/>
              <w:rPr/>
            </w:pPr>
            <w:r>
              <w:rPr>
                <w:spacing w:val="4"/>
              </w:rPr>
              <w:t>合金熔炼</w:t>
            </w:r>
          </w:p>
        </w:tc>
        <w:tc>
          <w:tcPr>
            <w:tcW w:w="1699" w:type="dxa"/>
            <w:vAlign w:val="top"/>
          </w:tcPr>
          <w:p>
            <w:pPr>
              <w:pStyle w:val="TableText"/>
              <w:ind w:left="463"/>
              <w:spacing w:before="52" w:line="233" w:lineRule="auto"/>
              <w:rPr/>
            </w:pPr>
            <w:r>
              <w:rPr/>
              <w:t>电弧炉渣</w:t>
            </w:r>
          </w:p>
        </w:tc>
        <w:tc>
          <w:tcPr>
            <w:tcW w:w="6471" w:type="dxa"/>
            <w:vAlign w:val="top"/>
            <w:vMerge w:val="restart"/>
            <w:tcBorders>
              <w:bottom w:val="nil"/>
            </w:tcBorders>
          </w:tcPr>
          <w:p>
            <w:pPr>
              <w:pStyle w:val="TableText"/>
              <w:ind w:left="2746"/>
              <w:spacing w:before="213" w:line="232" w:lineRule="auto"/>
              <w:rPr/>
            </w:pPr>
            <w:r>
              <w:rPr>
                <w:spacing w:val="1"/>
              </w:rPr>
              <w:t>回用于竖炉</w:t>
            </w:r>
          </w:p>
        </w:tc>
      </w:tr>
      <w:tr>
        <w:trPr>
          <w:trHeight w:val="317" w:hRule="atLeast"/>
        </w:trPr>
        <w:tc>
          <w:tcPr>
            <w:tcW w:w="532" w:type="dxa"/>
            <w:vAlign w:val="top"/>
            <w:vMerge w:val="continue"/>
            <w:textDirection w:val="tbRlV"/>
            <w:tcBorders>
              <w:top w:val="nil"/>
              <w:bottom w:val="nil"/>
            </w:tcBorders>
          </w:tcPr>
          <w:p>
            <w:pPr>
              <w:rPr>
                <w:rFonts w:ascii="Arial"/>
                <w:sz w:val="21"/>
              </w:rPr>
            </w:pPr>
            <w:r/>
          </w:p>
        </w:tc>
        <w:tc>
          <w:tcPr>
            <w:tcW w:w="781" w:type="dxa"/>
            <w:vAlign w:val="top"/>
            <w:vMerge w:val="continue"/>
            <w:tcBorders>
              <w:top w:val="nil"/>
              <w:bottom w:val="nil"/>
            </w:tcBorders>
          </w:tcPr>
          <w:p>
            <w:pPr>
              <w:rPr>
                <w:rFonts w:ascii="Arial"/>
                <w:sz w:val="21"/>
              </w:rPr>
            </w:pPr>
            <w:r/>
          </w:p>
        </w:tc>
        <w:tc>
          <w:tcPr>
            <w:tcW w:w="1126" w:type="dxa"/>
            <w:vAlign w:val="top"/>
            <w:vMerge w:val="continue"/>
            <w:tcBorders>
              <w:top w:val="nil"/>
            </w:tcBorders>
          </w:tcPr>
          <w:p>
            <w:pPr>
              <w:rPr>
                <w:rFonts w:ascii="Arial"/>
                <w:sz w:val="21"/>
              </w:rPr>
            </w:pPr>
            <w:r/>
          </w:p>
        </w:tc>
        <w:tc>
          <w:tcPr>
            <w:tcW w:w="1699" w:type="dxa"/>
            <w:vAlign w:val="top"/>
          </w:tcPr>
          <w:p>
            <w:pPr>
              <w:pStyle w:val="TableText"/>
              <w:ind w:left="467"/>
              <w:spacing w:before="53" w:line="231" w:lineRule="auto"/>
              <w:rPr/>
            </w:pPr>
            <w:r>
              <w:rPr>
                <w:spacing w:val="-1"/>
              </w:rPr>
              <w:t>中频炉渣</w:t>
            </w:r>
          </w:p>
        </w:tc>
        <w:tc>
          <w:tcPr>
            <w:tcW w:w="6471" w:type="dxa"/>
            <w:vAlign w:val="top"/>
            <w:vMerge w:val="continue"/>
            <w:tcBorders>
              <w:top w:val="nil"/>
            </w:tcBorders>
          </w:tcPr>
          <w:p>
            <w:pPr>
              <w:rPr>
                <w:rFonts w:ascii="Arial"/>
                <w:sz w:val="21"/>
              </w:rPr>
            </w:pPr>
            <w:r/>
          </w:p>
        </w:tc>
      </w:tr>
      <w:tr>
        <w:trPr>
          <w:trHeight w:val="628" w:hRule="atLeast"/>
        </w:trPr>
        <w:tc>
          <w:tcPr>
            <w:tcW w:w="532" w:type="dxa"/>
            <w:vAlign w:val="top"/>
            <w:vMerge w:val="continue"/>
            <w:textDirection w:val="tbRlV"/>
            <w:tcBorders>
              <w:top w:val="nil"/>
              <w:bottom w:val="nil"/>
            </w:tcBorders>
          </w:tcPr>
          <w:p>
            <w:pPr>
              <w:rPr>
                <w:rFonts w:ascii="Arial"/>
                <w:sz w:val="21"/>
              </w:rPr>
            </w:pPr>
            <w:r/>
          </w:p>
        </w:tc>
        <w:tc>
          <w:tcPr>
            <w:tcW w:w="781" w:type="dxa"/>
            <w:vAlign w:val="top"/>
            <w:vMerge w:val="continue"/>
            <w:tcBorders>
              <w:top w:val="nil"/>
              <w:bottom w:val="nil"/>
            </w:tcBorders>
          </w:tcPr>
          <w:p>
            <w:pPr>
              <w:rPr>
                <w:rFonts w:ascii="Arial"/>
                <w:sz w:val="21"/>
              </w:rPr>
            </w:pPr>
            <w:r/>
          </w:p>
        </w:tc>
        <w:tc>
          <w:tcPr>
            <w:tcW w:w="1126" w:type="dxa"/>
            <w:vAlign w:val="top"/>
          </w:tcPr>
          <w:p>
            <w:pPr>
              <w:pStyle w:val="TableText"/>
              <w:ind w:left="162"/>
              <w:spacing w:before="211" w:line="231" w:lineRule="auto"/>
              <w:rPr/>
            </w:pPr>
            <w:r>
              <w:rPr>
                <w:spacing w:val="3"/>
              </w:rPr>
              <w:t>除尘工序</w:t>
            </w:r>
          </w:p>
        </w:tc>
        <w:tc>
          <w:tcPr>
            <w:tcW w:w="1699" w:type="dxa"/>
            <w:vAlign w:val="top"/>
          </w:tcPr>
          <w:p>
            <w:pPr>
              <w:pStyle w:val="TableText"/>
              <w:ind w:left="545"/>
              <w:spacing w:before="210" w:line="232" w:lineRule="auto"/>
              <w:rPr/>
            </w:pPr>
            <w:r>
              <w:rPr>
                <w:spacing w:val="5"/>
              </w:rPr>
              <w:t>烟尘灰</w:t>
            </w:r>
          </w:p>
        </w:tc>
        <w:tc>
          <w:tcPr>
            <w:tcW w:w="6471" w:type="dxa"/>
            <w:vAlign w:val="top"/>
          </w:tcPr>
          <w:p>
            <w:pPr>
              <w:pStyle w:val="TableText"/>
              <w:ind w:left="164"/>
              <w:spacing w:before="54" w:line="229" w:lineRule="auto"/>
              <w:rPr/>
            </w:pPr>
            <w:r>
              <w:rPr>
                <w:spacing w:val="9"/>
              </w:rPr>
              <w:t>烟尘灰中铜含量高于</w:t>
            </w:r>
            <w:r>
              <w:rPr>
                <w:rFonts w:ascii="Times New Roman" w:hAnsi="Times New Roman" w:eastAsia="Times New Roman" w:cs="Times New Roman"/>
                <w:spacing w:val="9"/>
              </w:rPr>
              <w:t>3%</w:t>
            </w:r>
            <w:r>
              <w:rPr>
                <w:spacing w:val="9"/>
              </w:rPr>
              <w:t>部分用于配筛料工序，其余的外售相关资质</w:t>
            </w:r>
          </w:p>
          <w:p>
            <w:pPr>
              <w:pStyle w:val="TableText"/>
              <w:ind w:left="2830"/>
              <w:spacing w:before="64" w:line="229" w:lineRule="auto"/>
              <w:rPr/>
            </w:pPr>
            <w:r>
              <w:rPr>
                <w:spacing w:val="4"/>
              </w:rPr>
              <w:t>单位处置</w:t>
            </w:r>
          </w:p>
        </w:tc>
      </w:tr>
      <w:tr>
        <w:trPr>
          <w:trHeight w:val="1252" w:hRule="atLeast"/>
        </w:trPr>
        <w:tc>
          <w:tcPr>
            <w:tcW w:w="532" w:type="dxa"/>
            <w:vAlign w:val="top"/>
            <w:vMerge w:val="continue"/>
            <w:textDirection w:val="tbRlV"/>
            <w:tcBorders>
              <w:top w:val="nil"/>
              <w:bottom w:val="nil"/>
            </w:tcBorders>
          </w:tcPr>
          <w:p>
            <w:pPr>
              <w:rPr>
                <w:rFonts w:ascii="Arial"/>
                <w:sz w:val="21"/>
              </w:rPr>
            </w:pPr>
            <w:r/>
          </w:p>
        </w:tc>
        <w:tc>
          <w:tcPr>
            <w:tcW w:w="781" w:type="dxa"/>
            <w:vAlign w:val="top"/>
            <w:vMerge w:val="continue"/>
            <w:tcBorders>
              <w:top w:val="nil"/>
              <w:bottom w:val="nil"/>
            </w:tcBorders>
          </w:tcPr>
          <w:p>
            <w:pPr>
              <w:rPr>
                <w:rFonts w:ascii="Arial"/>
                <w:sz w:val="21"/>
              </w:rPr>
            </w:pPr>
            <w:r/>
          </w:p>
        </w:tc>
        <w:tc>
          <w:tcPr>
            <w:tcW w:w="1126" w:type="dxa"/>
            <w:vAlign w:val="top"/>
          </w:tcPr>
          <w:p>
            <w:pPr>
              <w:pStyle w:val="TableText"/>
              <w:ind w:left="156" w:right="144" w:firstLine="106"/>
              <w:spacing w:before="55" w:line="288" w:lineRule="auto"/>
              <w:rPr/>
            </w:pPr>
            <w:r>
              <w:rPr>
                <w:spacing w:val="3"/>
              </w:rPr>
              <w:t>原料仓</w:t>
            </w:r>
            <w:r>
              <w:rPr/>
              <w:t xml:space="preserve">  </w:t>
            </w:r>
            <w:r>
              <w:rPr>
                <w:spacing w:val="5"/>
              </w:rPr>
              <w:t>库、实验</w:t>
            </w:r>
          </w:p>
          <w:p>
            <w:pPr>
              <w:pStyle w:val="TableText"/>
              <w:ind w:left="259" w:right="144" w:hanging="104"/>
              <w:spacing w:line="259" w:lineRule="auto"/>
              <w:rPr/>
            </w:pPr>
            <w:r>
              <w:rPr>
                <w:spacing w:val="5"/>
              </w:rPr>
              <w:t>过程及设</w:t>
            </w:r>
            <w:r>
              <w:rPr/>
              <w:t xml:space="preserve"> </w:t>
            </w:r>
            <w:r>
              <w:rPr>
                <w:spacing w:val="4"/>
              </w:rPr>
              <w:t>备更换</w:t>
            </w:r>
          </w:p>
        </w:tc>
        <w:tc>
          <w:tcPr>
            <w:tcW w:w="1699" w:type="dxa"/>
            <w:vAlign w:val="top"/>
          </w:tcPr>
          <w:p>
            <w:pPr>
              <w:pStyle w:val="TableText"/>
              <w:ind w:left="130"/>
              <w:spacing w:before="212" w:line="229" w:lineRule="auto"/>
              <w:rPr/>
            </w:pPr>
            <w:r>
              <w:rPr>
                <w:spacing w:val="8"/>
              </w:rPr>
              <w:t>实验室废物、原</w:t>
            </w:r>
          </w:p>
          <w:p>
            <w:pPr>
              <w:pStyle w:val="TableText"/>
              <w:ind w:left="125"/>
              <w:spacing w:before="63" w:line="229" w:lineRule="auto"/>
              <w:rPr/>
            </w:pPr>
            <w:r>
              <w:rPr>
                <w:spacing w:val="7"/>
              </w:rPr>
              <w:t>料包装袋、除尘</w:t>
            </w:r>
          </w:p>
          <w:p>
            <w:pPr>
              <w:pStyle w:val="TableText"/>
              <w:ind w:left="651"/>
              <w:spacing w:before="63" w:line="229" w:lineRule="auto"/>
              <w:rPr/>
            </w:pPr>
            <w:r>
              <w:rPr>
                <w:spacing w:val="1"/>
              </w:rPr>
              <w:t>布袋</w:t>
            </w:r>
          </w:p>
        </w:tc>
        <w:tc>
          <w:tcPr>
            <w:tcW w:w="6471" w:type="dxa"/>
            <w:vAlign w:val="top"/>
          </w:tcPr>
          <w:p>
            <w:pPr>
              <w:spacing w:line="456" w:lineRule="auto"/>
              <w:rPr>
                <w:rFonts w:ascii="Arial"/>
                <w:sz w:val="21"/>
              </w:rPr>
            </w:pPr>
            <w:r/>
          </w:p>
          <w:p>
            <w:pPr>
              <w:pStyle w:val="TableText"/>
              <w:ind w:left="943"/>
              <w:spacing w:before="65" w:line="229" w:lineRule="auto"/>
              <w:rPr/>
            </w:pPr>
            <w:r>
              <w:rPr>
                <w:spacing w:val="8"/>
              </w:rPr>
              <w:t>委托杭州立佳环境服务有限公司等有资质单位处置</w:t>
            </w:r>
          </w:p>
        </w:tc>
      </w:tr>
      <w:tr>
        <w:trPr>
          <w:trHeight w:val="317" w:hRule="atLeast"/>
        </w:trPr>
        <w:tc>
          <w:tcPr>
            <w:tcW w:w="532" w:type="dxa"/>
            <w:vAlign w:val="top"/>
            <w:vMerge w:val="continue"/>
            <w:textDirection w:val="tbRlV"/>
            <w:tcBorders>
              <w:top w:val="nil"/>
              <w:bottom w:val="nil"/>
            </w:tcBorders>
          </w:tcPr>
          <w:p>
            <w:pPr>
              <w:rPr>
                <w:rFonts w:ascii="Arial"/>
                <w:sz w:val="21"/>
              </w:rPr>
            </w:pPr>
            <w:r/>
          </w:p>
        </w:tc>
        <w:tc>
          <w:tcPr>
            <w:tcW w:w="781" w:type="dxa"/>
            <w:vAlign w:val="top"/>
            <w:vMerge w:val="continue"/>
            <w:tcBorders>
              <w:top w:val="nil"/>
              <w:bottom w:val="nil"/>
            </w:tcBorders>
          </w:tcPr>
          <w:p>
            <w:pPr>
              <w:rPr>
                <w:rFonts w:ascii="Arial"/>
                <w:sz w:val="21"/>
              </w:rPr>
            </w:pPr>
            <w:r/>
          </w:p>
        </w:tc>
        <w:tc>
          <w:tcPr>
            <w:tcW w:w="1126" w:type="dxa"/>
            <w:vAlign w:val="top"/>
          </w:tcPr>
          <w:p>
            <w:pPr>
              <w:pStyle w:val="TableText"/>
              <w:ind w:left="169"/>
              <w:spacing w:before="56" w:line="231" w:lineRule="auto"/>
              <w:rPr/>
            </w:pPr>
            <w:r>
              <w:rPr>
                <w:spacing w:val="1"/>
              </w:rPr>
              <w:t>员工生活</w:t>
            </w:r>
          </w:p>
        </w:tc>
        <w:tc>
          <w:tcPr>
            <w:tcW w:w="1699" w:type="dxa"/>
            <w:vAlign w:val="top"/>
          </w:tcPr>
          <w:p>
            <w:pPr>
              <w:pStyle w:val="TableText"/>
              <w:ind w:left="452"/>
              <w:spacing w:before="56" w:line="231" w:lineRule="auto"/>
              <w:rPr/>
            </w:pPr>
            <w:r>
              <w:rPr>
                <w:spacing w:val="2"/>
              </w:rPr>
              <w:t>生活垃圾</w:t>
            </w:r>
          </w:p>
        </w:tc>
        <w:tc>
          <w:tcPr>
            <w:tcW w:w="6471" w:type="dxa"/>
            <w:vAlign w:val="top"/>
          </w:tcPr>
          <w:p>
            <w:pPr>
              <w:pStyle w:val="TableText"/>
              <w:ind w:left="962"/>
              <w:spacing w:before="56" w:line="230" w:lineRule="auto"/>
              <w:rPr/>
            </w:pPr>
            <w:r>
              <w:rPr>
                <w:spacing w:val="8"/>
              </w:rPr>
              <w:t>由厂内的垃圾收集系统收集后由环卫部门统一处置</w:t>
            </w:r>
          </w:p>
        </w:tc>
      </w:tr>
      <w:tr>
        <w:trPr>
          <w:trHeight w:val="317" w:hRule="atLeast"/>
        </w:trPr>
        <w:tc>
          <w:tcPr>
            <w:tcW w:w="532" w:type="dxa"/>
            <w:vAlign w:val="top"/>
            <w:vMerge w:val="continue"/>
            <w:textDirection w:val="tbRlV"/>
            <w:tcBorders>
              <w:top w:val="nil"/>
              <w:bottom w:val="nil"/>
            </w:tcBorders>
          </w:tcPr>
          <w:p>
            <w:pPr>
              <w:rPr>
                <w:rFonts w:ascii="Arial"/>
                <w:sz w:val="21"/>
              </w:rPr>
            </w:pPr>
            <w:r/>
          </w:p>
        </w:tc>
        <w:tc>
          <w:tcPr>
            <w:tcW w:w="781" w:type="dxa"/>
            <w:vAlign w:val="top"/>
            <w:vMerge w:val="continue"/>
            <w:tcBorders>
              <w:top w:val="nil"/>
              <w:bottom w:val="nil"/>
            </w:tcBorders>
          </w:tcPr>
          <w:p>
            <w:pPr>
              <w:rPr>
                <w:rFonts w:ascii="Arial"/>
                <w:sz w:val="21"/>
              </w:rPr>
            </w:pPr>
            <w:r/>
          </w:p>
        </w:tc>
        <w:tc>
          <w:tcPr>
            <w:tcW w:w="1126" w:type="dxa"/>
            <w:vAlign w:val="top"/>
          </w:tcPr>
          <w:p>
            <w:pPr>
              <w:pStyle w:val="TableText"/>
              <w:ind w:left="157"/>
              <w:spacing w:before="55" w:line="232" w:lineRule="auto"/>
              <w:rPr/>
            </w:pPr>
            <w:r>
              <w:rPr>
                <w:spacing w:val="4"/>
              </w:rPr>
              <w:t>污水处理</w:t>
            </w:r>
          </w:p>
        </w:tc>
        <w:tc>
          <w:tcPr>
            <w:tcW w:w="1699" w:type="dxa"/>
            <w:vAlign w:val="top"/>
          </w:tcPr>
          <w:p>
            <w:pPr>
              <w:pStyle w:val="TableText"/>
              <w:ind w:left="233"/>
              <w:spacing w:before="55" w:line="232" w:lineRule="auto"/>
              <w:rPr/>
            </w:pPr>
            <w:r>
              <w:rPr>
                <w:spacing w:val="6"/>
              </w:rPr>
              <w:t>污水处理污泥</w:t>
            </w:r>
          </w:p>
        </w:tc>
        <w:tc>
          <w:tcPr>
            <w:tcW w:w="6471" w:type="dxa"/>
            <w:vAlign w:val="top"/>
          </w:tcPr>
          <w:p>
            <w:pPr>
              <w:pStyle w:val="TableText"/>
              <w:ind w:left="2304"/>
              <w:spacing w:before="55" w:line="229" w:lineRule="auto"/>
              <w:rPr/>
            </w:pPr>
            <w:r>
              <w:rPr>
                <w:spacing w:val="7"/>
              </w:rPr>
              <w:t>作为原料回用至生产</w:t>
            </w:r>
          </w:p>
        </w:tc>
      </w:tr>
      <w:tr>
        <w:trPr>
          <w:trHeight w:val="317" w:hRule="atLeast"/>
        </w:trPr>
        <w:tc>
          <w:tcPr>
            <w:tcW w:w="532" w:type="dxa"/>
            <w:vAlign w:val="top"/>
            <w:vMerge w:val="continue"/>
            <w:textDirection w:val="tbRlV"/>
            <w:tcBorders>
              <w:top w:val="nil"/>
              <w:bottom w:val="nil"/>
            </w:tcBorders>
          </w:tcPr>
          <w:p>
            <w:pPr>
              <w:rPr>
                <w:rFonts w:ascii="Arial"/>
                <w:sz w:val="21"/>
              </w:rPr>
            </w:pPr>
            <w:r/>
          </w:p>
        </w:tc>
        <w:tc>
          <w:tcPr>
            <w:tcW w:w="781" w:type="dxa"/>
            <w:vAlign w:val="top"/>
            <w:vMerge w:val="continue"/>
            <w:tcBorders>
              <w:top w:val="nil"/>
              <w:bottom w:val="nil"/>
            </w:tcBorders>
          </w:tcPr>
          <w:p>
            <w:pPr>
              <w:rPr>
                <w:rFonts w:ascii="Arial"/>
                <w:sz w:val="21"/>
              </w:rPr>
            </w:pPr>
            <w:r/>
          </w:p>
        </w:tc>
        <w:tc>
          <w:tcPr>
            <w:tcW w:w="1126" w:type="dxa"/>
            <w:vAlign w:val="top"/>
          </w:tcPr>
          <w:p>
            <w:pPr>
              <w:pStyle w:val="TableText"/>
              <w:ind w:left="361"/>
              <w:spacing w:before="55" w:line="228" w:lineRule="auto"/>
              <w:rPr/>
            </w:pPr>
            <w:r>
              <w:rPr>
                <w:spacing w:val="2"/>
              </w:rPr>
              <w:t>脱硝</w:t>
            </w:r>
          </w:p>
        </w:tc>
        <w:tc>
          <w:tcPr>
            <w:tcW w:w="1699" w:type="dxa"/>
            <w:vAlign w:val="top"/>
          </w:tcPr>
          <w:p>
            <w:pPr>
              <w:pStyle w:val="TableText"/>
              <w:ind w:left="443"/>
              <w:spacing w:before="55" w:line="230" w:lineRule="auto"/>
              <w:rPr/>
            </w:pPr>
            <w:r>
              <w:rPr>
                <w:spacing w:val="5"/>
              </w:rPr>
              <w:t>废催化剂</w:t>
            </w:r>
          </w:p>
        </w:tc>
        <w:tc>
          <w:tcPr>
            <w:tcW w:w="6471" w:type="dxa"/>
            <w:vAlign w:val="top"/>
            <w:vMerge w:val="restart"/>
            <w:tcBorders>
              <w:bottom w:val="nil"/>
            </w:tcBorders>
          </w:tcPr>
          <w:p>
            <w:pPr>
              <w:spacing w:line="305" w:lineRule="auto"/>
              <w:rPr>
                <w:rFonts w:ascii="Arial"/>
                <w:sz w:val="21"/>
              </w:rPr>
            </w:pPr>
            <w:r/>
          </w:p>
          <w:p>
            <w:pPr>
              <w:pStyle w:val="TableText"/>
              <w:ind w:left="943"/>
              <w:spacing w:before="66" w:line="229" w:lineRule="auto"/>
              <w:rPr/>
            </w:pPr>
            <w:r>
              <w:rPr>
                <w:spacing w:val="8"/>
              </w:rPr>
              <w:t>委托杭州立佳环境服务有限公司等有资质单位处置</w:t>
            </w:r>
          </w:p>
        </w:tc>
      </w:tr>
      <w:tr>
        <w:trPr>
          <w:trHeight w:val="633" w:hRule="atLeast"/>
        </w:trPr>
        <w:tc>
          <w:tcPr>
            <w:tcW w:w="532" w:type="dxa"/>
            <w:vAlign w:val="top"/>
            <w:vMerge w:val="continue"/>
            <w:textDirection w:val="tbRlV"/>
            <w:tcBorders>
              <w:top w:val="nil"/>
            </w:tcBorders>
          </w:tcPr>
          <w:p>
            <w:pPr>
              <w:rPr>
                <w:rFonts w:ascii="Arial"/>
                <w:sz w:val="21"/>
              </w:rPr>
            </w:pPr>
            <w:r/>
          </w:p>
        </w:tc>
        <w:tc>
          <w:tcPr>
            <w:tcW w:w="781" w:type="dxa"/>
            <w:vAlign w:val="top"/>
            <w:vMerge w:val="continue"/>
            <w:tcBorders>
              <w:top w:val="nil"/>
            </w:tcBorders>
          </w:tcPr>
          <w:p>
            <w:pPr>
              <w:rPr>
                <w:rFonts w:ascii="Arial"/>
                <w:sz w:val="21"/>
              </w:rPr>
            </w:pPr>
            <w:r/>
          </w:p>
        </w:tc>
        <w:tc>
          <w:tcPr>
            <w:tcW w:w="1126" w:type="dxa"/>
            <w:vAlign w:val="top"/>
          </w:tcPr>
          <w:p>
            <w:pPr>
              <w:pStyle w:val="TableText"/>
              <w:ind w:left="365" w:right="144" w:hanging="210"/>
              <w:spacing w:before="55" w:line="262" w:lineRule="auto"/>
              <w:rPr/>
            </w:pPr>
            <w:r>
              <w:rPr>
                <w:spacing w:val="5"/>
              </w:rPr>
              <w:t>废催化剂</w:t>
            </w:r>
            <w:r>
              <w:rPr/>
              <w:t xml:space="preserve"> </w:t>
            </w:r>
            <w:r>
              <w:rPr>
                <w:spacing w:val="-1"/>
              </w:rPr>
              <w:t>仓库</w:t>
            </w:r>
          </w:p>
        </w:tc>
        <w:tc>
          <w:tcPr>
            <w:tcW w:w="1699" w:type="dxa"/>
            <w:vAlign w:val="top"/>
          </w:tcPr>
          <w:p>
            <w:pPr>
              <w:pStyle w:val="TableText"/>
              <w:ind w:left="443"/>
              <w:spacing w:before="210" w:line="229" w:lineRule="auto"/>
              <w:rPr/>
            </w:pPr>
            <w:r>
              <w:rPr>
                <w:spacing w:val="5"/>
              </w:rPr>
              <w:t>废活性炭</w:t>
            </w:r>
          </w:p>
        </w:tc>
        <w:tc>
          <w:tcPr>
            <w:tcW w:w="6471" w:type="dxa"/>
            <w:vAlign w:val="top"/>
            <w:vMerge w:val="continue"/>
            <w:tcBorders>
              <w:top w:val="nil"/>
            </w:tcBorders>
          </w:tcPr>
          <w:p>
            <w:pPr>
              <w:rPr>
                <w:rFonts w:ascii="Arial"/>
                <w:sz w:val="21"/>
              </w:rPr>
            </w:pPr>
            <w:r/>
          </w:p>
        </w:tc>
      </w:tr>
    </w:tbl>
    <w:p>
      <w:pPr>
        <w:rPr>
          <w:rFonts w:ascii="Arial"/>
          <w:sz w:val="21"/>
        </w:rPr>
      </w:pPr>
      <w:r/>
    </w:p>
    <w:p>
      <w:pPr>
        <w:sectPr>
          <w:footerReference w:type="default" r:id="rId79"/>
          <w:pgSz w:w="11906" w:h="16839"/>
          <w:pgMar w:top="1139" w:right="646" w:bottom="1252" w:left="645" w:header="831" w:footer="1090" w:gutter="0"/>
        </w:sectPr>
        <w:rPr>
          <w:rFonts w:ascii="Arial" w:hAnsi="Arial" w:eastAsia="Arial" w:cs="Arial"/>
          <w:sz w:val="21"/>
          <w:szCs w:val="21"/>
        </w:rPr>
      </w:pPr>
    </w:p>
    <w:p>
      <w:pPr>
        <w:spacing w:line="378" w:lineRule="auto"/>
        <w:rPr>
          <w:rFonts w:ascii="Arial"/>
          <w:sz w:val="21"/>
        </w:rPr>
      </w:pPr>
      <w:r/>
    </w:p>
    <w:p>
      <w:pPr>
        <w:pStyle w:val="BodyText"/>
        <w:ind w:left="7"/>
        <w:spacing w:before="91" w:line="224" w:lineRule="auto"/>
        <w:outlineLvl w:val="1"/>
        <w:rPr>
          <w:rFonts w:ascii="FangSong" w:hAnsi="FangSong" w:eastAsia="FangSong" w:cs="FangSong"/>
          <w:sz w:val="28"/>
          <w:szCs w:val="28"/>
        </w:rPr>
      </w:pPr>
      <w:bookmarkStart w:name="bookmark14" w:id="18"/>
      <w:bookmarkEnd w:id="18"/>
      <w:r>
        <w:rPr>
          <w:sz w:val="28"/>
          <w:szCs w:val="28"/>
          <w:b/>
          <w:bCs/>
          <w:spacing w:val="-2"/>
        </w:rPr>
        <w:t>4.2  </w:t>
      </w:r>
      <w:r>
        <w:rPr>
          <w:rFonts w:ascii="FangSong" w:hAnsi="FangSong" w:eastAsia="FangSong" w:cs="FangSong"/>
          <w:sz w:val="28"/>
          <w:szCs w:val="28"/>
          <w:b/>
          <w:bCs/>
          <w:spacing w:val="-2"/>
        </w:rPr>
        <w:t>企业总平面图</w:t>
      </w:r>
    </w:p>
    <w:p>
      <w:pPr>
        <w:pStyle w:val="BodyText"/>
        <w:ind w:left="496"/>
        <w:spacing w:before="226" w:line="220" w:lineRule="auto"/>
        <w:rPr>
          <w:rFonts w:ascii="FangSong" w:hAnsi="FangSong" w:eastAsia="FangSong" w:cs="FangSong"/>
          <w:sz w:val="24"/>
          <w:szCs w:val="24"/>
        </w:rPr>
      </w:pPr>
      <w:r>
        <w:rPr>
          <w:rFonts w:ascii="FangSong" w:hAnsi="FangSong" w:eastAsia="FangSong" w:cs="FangSong"/>
          <w:sz w:val="24"/>
          <w:szCs w:val="24"/>
          <w:spacing w:val="-1"/>
        </w:rPr>
        <w:t>企业总平面布置图具体见图</w:t>
      </w:r>
      <w:r>
        <w:rPr>
          <w:sz w:val="24"/>
          <w:szCs w:val="24"/>
          <w:spacing w:val="-1"/>
        </w:rPr>
        <w:t>4.2-1</w:t>
      </w:r>
      <w:r>
        <w:rPr>
          <w:rFonts w:ascii="FangSong" w:hAnsi="FangSong" w:eastAsia="FangSong" w:cs="FangSong"/>
          <w:sz w:val="24"/>
          <w:szCs w:val="24"/>
          <w:spacing w:val="-1"/>
        </w:rPr>
        <w:t>。</w:t>
      </w:r>
    </w:p>
    <w:p>
      <w:pPr>
        <w:spacing w:before="199" w:line="10035" w:lineRule="exact"/>
        <w:rPr/>
      </w:pPr>
      <w:r>
        <w:rPr>
          <w:position w:val="-200"/>
        </w:rPr>
        <w:drawing>
          <wp:inline distT="0" distB="0" distL="0" distR="0">
            <wp:extent cx="6187440" cy="6371843"/>
            <wp:effectExtent l="0" t="0" r="0" b="0"/>
            <wp:docPr id="54" name="IM 54"/>
            <wp:cNvGraphicFramePr/>
            <a:graphic>
              <a:graphicData uri="http://schemas.openxmlformats.org/drawingml/2006/picture">
                <pic:pic>
                  <pic:nvPicPr>
                    <pic:cNvPr id="54" name="IM 54"/>
                    <pic:cNvPicPr/>
                  </pic:nvPicPr>
                  <pic:blipFill>
                    <a:blip r:embed="rId81"/>
                    <a:stretch>
                      <a:fillRect/>
                    </a:stretch>
                  </pic:blipFill>
                  <pic:spPr>
                    <a:xfrm rot="0">
                      <a:off x="0" y="0"/>
                      <a:ext cx="6187440" cy="6371843"/>
                    </a:xfrm>
                    <a:prstGeom prst="rect">
                      <a:avLst/>
                    </a:prstGeom>
                  </pic:spPr>
                </pic:pic>
              </a:graphicData>
            </a:graphic>
          </wp:inline>
        </w:drawing>
      </w:r>
    </w:p>
    <w:p>
      <w:pPr>
        <w:pStyle w:val="BodyText"/>
        <w:ind w:left="3336"/>
        <w:spacing w:before="243" w:line="220" w:lineRule="auto"/>
        <w:rPr>
          <w:rFonts w:ascii="FangSong" w:hAnsi="FangSong" w:eastAsia="FangSong" w:cs="FangSong"/>
          <w:sz w:val="24"/>
          <w:szCs w:val="24"/>
        </w:rPr>
      </w:pPr>
      <w:r>
        <w:rPr>
          <w:rFonts w:ascii="FangSong" w:hAnsi="FangSong" w:eastAsia="FangSong" w:cs="FangSong"/>
          <w:sz w:val="24"/>
          <w:szCs w:val="24"/>
          <w:b/>
          <w:bCs/>
          <w:spacing w:val="-4"/>
        </w:rPr>
        <w:t>图</w:t>
      </w:r>
      <w:r>
        <w:rPr>
          <w:sz w:val="24"/>
          <w:szCs w:val="24"/>
          <w:b/>
          <w:bCs/>
          <w:spacing w:val="-4"/>
        </w:rPr>
        <w:t>4.2-1    </w:t>
      </w:r>
      <w:r>
        <w:rPr>
          <w:rFonts w:ascii="FangSong" w:hAnsi="FangSong" w:eastAsia="FangSong" w:cs="FangSong"/>
          <w:sz w:val="24"/>
          <w:szCs w:val="24"/>
          <w:b/>
          <w:bCs/>
          <w:spacing w:val="-4"/>
        </w:rPr>
        <w:t>企业厂区平面布置图</w:t>
      </w:r>
    </w:p>
    <w:p>
      <w:pPr>
        <w:spacing w:line="220" w:lineRule="auto"/>
        <w:sectPr>
          <w:headerReference w:type="default" r:id="rId29"/>
          <w:footerReference w:type="default" r:id="rId80"/>
          <w:pgSz w:w="11906" w:h="16839"/>
          <w:pgMar w:top="1139" w:right="1080" w:bottom="1252" w:left="1080" w:header="831" w:footer="1090" w:gutter="0"/>
        </w:sectPr>
        <w:rPr>
          <w:rFonts w:ascii="FangSong" w:hAnsi="FangSong" w:eastAsia="FangSong" w:cs="FangSong"/>
          <w:sz w:val="24"/>
          <w:szCs w:val="24"/>
        </w:rPr>
      </w:pPr>
    </w:p>
    <w:p>
      <w:pPr>
        <w:spacing w:line="379" w:lineRule="auto"/>
        <w:rPr>
          <w:rFonts w:ascii="Arial"/>
          <w:sz w:val="21"/>
        </w:rPr>
      </w:pPr>
      <w:r/>
    </w:p>
    <w:p>
      <w:pPr>
        <w:pStyle w:val="BodyText"/>
        <w:ind w:left="119"/>
        <w:spacing w:before="91" w:line="223" w:lineRule="auto"/>
        <w:outlineLvl w:val="1"/>
        <w:rPr>
          <w:rFonts w:ascii="FangSong" w:hAnsi="FangSong" w:eastAsia="FangSong" w:cs="FangSong"/>
          <w:sz w:val="28"/>
          <w:szCs w:val="28"/>
        </w:rPr>
      </w:pPr>
      <w:bookmarkStart w:name="bookmark15" w:id="19"/>
      <w:bookmarkEnd w:id="19"/>
      <w:r>
        <w:rPr>
          <w:sz w:val="28"/>
          <w:szCs w:val="28"/>
          <w:b/>
          <w:bCs/>
          <w:spacing w:val="-2"/>
        </w:rPr>
        <w:t>4.3  </w:t>
      </w:r>
      <w:r>
        <w:rPr>
          <w:rFonts w:ascii="FangSong" w:hAnsi="FangSong" w:eastAsia="FangSong" w:cs="FangSong"/>
          <w:sz w:val="28"/>
          <w:szCs w:val="28"/>
          <w:b/>
          <w:bCs/>
          <w:spacing w:val="-2"/>
        </w:rPr>
        <w:t>各重点场所、重点设施设备情况</w:t>
      </w:r>
    </w:p>
    <w:p>
      <w:pPr>
        <w:pStyle w:val="BodyText"/>
        <w:ind w:left="609"/>
        <w:spacing w:before="227" w:line="220" w:lineRule="auto"/>
        <w:rPr>
          <w:rFonts w:ascii="FangSong" w:hAnsi="FangSong" w:eastAsia="FangSong" w:cs="FangSong"/>
          <w:sz w:val="24"/>
          <w:szCs w:val="24"/>
        </w:rPr>
      </w:pPr>
      <w:r>
        <w:rPr>
          <w:rFonts w:ascii="FangSong" w:hAnsi="FangSong" w:eastAsia="FangSong" w:cs="FangSong"/>
          <w:sz w:val="24"/>
          <w:szCs w:val="24"/>
          <w:spacing w:val="-1"/>
        </w:rPr>
        <w:t>地块内建筑物分布情况见表</w:t>
      </w:r>
      <w:r>
        <w:rPr>
          <w:sz w:val="24"/>
          <w:szCs w:val="24"/>
          <w:spacing w:val="-1"/>
        </w:rPr>
        <w:t>4.3-1</w:t>
      </w:r>
      <w:r>
        <w:rPr>
          <w:rFonts w:ascii="FangSong" w:hAnsi="FangSong" w:eastAsia="FangSong" w:cs="FangSong"/>
          <w:sz w:val="24"/>
          <w:szCs w:val="24"/>
          <w:spacing w:val="-1"/>
        </w:rPr>
        <w:t>。</w:t>
      </w:r>
    </w:p>
    <w:p>
      <w:pPr>
        <w:pStyle w:val="BodyText"/>
        <w:ind w:left="3308"/>
        <w:spacing w:before="182" w:line="220" w:lineRule="auto"/>
        <w:rPr>
          <w:rFonts w:ascii="FangSong" w:hAnsi="FangSong" w:eastAsia="FangSong" w:cs="FangSong"/>
          <w:sz w:val="24"/>
          <w:szCs w:val="24"/>
        </w:rPr>
      </w:pPr>
      <w:r>
        <w:rPr>
          <w:rFonts w:ascii="FangSong" w:hAnsi="FangSong" w:eastAsia="FangSong" w:cs="FangSong"/>
          <w:sz w:val="24"/>
          <w:szCs w:val="24"/>
          <w:b/>
          <w:bCs/>
          <w:spacing w:val="-2"/>
        </w:rPr>
        <w:t>表</w:t>
      </w:r>
      <w:r>
        <w:rPr>
          <w:sz w:val="24"/>
          <w:szCs w:val="24"/>
          <w:b/>
          <w:bCs/>
          <w:spacing w:val="-2"/>
        </w:rPr>
        <w:t>4.3-1    </w:t>
      </w:r>
      <w:r>
        <w:rPr>
          <w:rFonts w:ascii="FangSong" w:hAnsi="FangSong" w:eastAsia="FangSong" w:cs="FangSong"/>
          <w:sz w:val="24"/>
          <w:szCs w:val="24"/>
          <w:b/>
          <w:bCs/>
          <w:spacing w:val="-2"/>
        </w:rPr>
        <w:t>厂区内建筑物分布情况</w:t>
      </w:r>
    </w:p>
    <w:p>
      <w:pPr>
        <w:spacing w:line="67" w:lineRule="exact"/>
        <w:rPr/>
      </w:pPr>
      <w:r/>
    </w:p>
    <w:tbl>
      <w:tblPr>
        <w:tblStyle w:val="TableNormal"/>
        <w:tblW w:w="995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0"/>
        <w:gridCol w:w="2045"/>
        <w:gridCol w:w="1528"/>
        <w:gridCol w:w="1536"/>
        <w:gridCol w:w="4193"/>
      </w:tblGrid>
      <w:tr>
        <w:trPr>
          <w:trHeight w:val="349" w:hRule="atLeast"/>
        </w:trPr>
        <w:tc>
          <w:tcPr>
            <w:tcW w:w="650" w:type="dxa"/>
            <w:vAlign w:val="top"/>
          </w:tcPr>
          <w:p>
            <w:pPr>
              <w:pStyle w:val="TableText"/>
              <w:ind w:left="126"/>
              <w:spacing w:before="70" w:line="231" w:lineRule="auto"/>
              <w:rPr/>
            </w:pPr>
            <w:r>
              <w:rPr>
                <w:b/>
                <w:bCs/>
                <w:spacing w:val="1"/>
              </w:rPr>
              <w:t>序号</w:t>
            </w:r>
          </w:p>
        </w:tc>
        <w:tc>
          <w:tcPr>
            <w:tcW w:w="2045" w:type="dxa"/>
            <w:vAlign w:val="top"/>
          </w:tcPr>
          <w:p>
            <w:pPr>
              <w:pStyle w:val="TableText"/>
              <w:ind w:left="505"/>
              <w:spacing w:before="71" w:line="229" w:lineRule="auto"/>
              <w:rPr/>
            </w:pPr>
            <w:r>
              <w:rPr>
                <w:b/>
                <w:bCs/>
                <w:spacing w:val="5"/>
              </w:rPr>
              <w:t>建筑物名称</w:t>
            </w:r>
          </w:p>
        </w:tc>
        <w:tc>
          <w:tcPr>
            <w:tcW w:w="1528" w:type="dxa"/>
            <w:vAlign w:val="top"/>
          </w:tcPr>
          <w:p>
            <w:pPr>
              <w:pStyle w:val="TableText"/>
              <w:ind w:right="12"/>
              <w:spacing w:before="70" w:line="232" w:lineRule="auto"/>
              <w:jc w:val="right"/>
              <w:rPr/>
            </w:pPr>
            <w:r>
              <w:rPr>
                <w:b/>
                <w:bCs/>
                <w:spacing w:val="-16"/>
              </w:rPr>
              <w:t>占地面积（</w:t>
            </w:r>
            <w:r>
              <w:rPr>
                <w:rFonts w:ascii="Times New Roman" w:hAnsi="Times New Roman" w:eastAsia="Times New Roman" w:cs="Times New Roman"/>
                <w:b/>
                <w:bCs/>
                <w:spacing w:val="-16"/>
              </w:rPr>
              <w:t>m2</w:t>
            </w:r>
            <w:r>
              <w:rPr>
                <w:b/>
                <w:bCs/>
                <w:spacing w:val="-16"/>
              </w:rPr>
              <w:t>）</w:t>
            </w:r>
          </w:p>
        </w:tc>
        <w:tc>
          <w:tcPr>
            <w:tcW w:w="1536" w:type="dxa"/>
            <w:vAlign w:val="top"/>
          </w:tcPr>
          <w:p>
            <w:pPr>
              <w:pStyle w:val="TableText"/>
              <w:ind w:left="147"/>
              <w:spacing w:before="71" w:line="232" w:lineRule="auto"/>
              <w:rPr/>
            </w:pPr>
            <w:r>
              <w:rPr>
                <w:b/>
                <w:bCs/>
                <w:spacing w:val="5"/>
              </w:rPr>
              <w:t>是否重点区域</w:t>
            </w:r>
          </w:p>
        </w:tc>
        <w:tc>
          <w:tcPr>
            <w:tcW w:w="4193" w:type="dxa"/>
            <w:vAlign w:val="top"/>
          </w:tcPr>
          <w:p>
            <w:pPr>
              <w:pStyle w:val="TableText"/>
              <w:ind w:left="1897"/>
              <w:spacing w:before="70" w:line="233" w:lineRule="auto"/>
              <w:rPr/>
            </w:pPr>
            <w:r>
              <w:rPr>
                <w:b/>
                <w:bCs/>
              </w:rPr>
              <w:t>备注</w:t>
            </w:r>
          </w:p>
        </w:tc>
      </w:tr>
      <w:tr>
        <w:trPr>
          <w:trHeight w:val="344" w:hRule="atLeast"/>
        </w:trPr>
        <w:tc>
          <w:tcPr>
            <w:tcW w:w="650" w:type="dxa"/>
            <w:vAlign w:val="top"/>
          </w:tcPr>
          <w:p>
            <w:pPr>
              <w:ind w:left="293"/>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045" w:type="dxa"/>
            <w:vAlign w:val="top"/>
          </w:tcPr>
          <w:p>
            <w:pPr>
              <w:pStyle w:val="TableText"/>
              <w:ind w:left="824"/>
              <w:spacing w:before="67" w:line="231" w:lineRule="auto"/>
              <w:rPr/>
            </w:pPr>
            <w:r>
              <w:rPr>
                <w:spacing w:val="1"/>
              </w:rPr>
              <w:t>宿舍</w:t>
            </w:r>
          </w:p>
        </w:tc>
        <w:tc>
          <w:tcPr>
            <w:tcW w:w="1528" w:type="dxa"/>
            <w:vAlign w:val="top"/>
          </w:tcPr>
          <w:p>
            <w:pPr>
              <w:ind w:left="612"/>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740</w:t>
            </w:r>
          </w:p>
        </w:tc>
        <w:tc>
          <w:tcPr>
            <w:tcW w:w="1536" w:type="dxa"/>
            <w:vAlign w:val="top"/>
          </w:tcPr>
          <w:p>
            <w:pPr>
              <w:pStyle w:val="TableText"/>
              <w:ind w:left="679"/>
              <w:spacing w:before="67" w:line="233" w:lineRule="auto"/>
              <w:rPr/>
            </w:pPr>
            <w:r>
              <w:rPr/>
              <w:t>否</w:t>
            </w:r>
          </w:p>
        </w:tc>
        <w:tc>
          <w:tcPr>
            <w:tcW w:w="4193" w:type="dxa"/>
            <w:vAlign w:val="top"/>
          </w:tcPr>
          <w:p>
            <w:pPr>
              <w:ind w:left="2032"/>
              <w:spacing w:before="177" w:line="9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2"/>
              </w:rPr>
              <w:t>--</w:t>
            </w:r>
          </w:p>
        </w:tc>
      </w:tr>
      <w:tr>
        <w:trPr>
          <w:trHeight w:val="345" w:hRule="atLeast"/>
        </w:trPr>
        <w:tc>
          <w:tcPr>
            <w:tcW w:w="650" w:type="dxa"/>
            <w:vAlign w:val="top"/>
          </w:tcPr>
          <w:p>
            <w:pPr>
              <w:ind w:left="272"/>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045" w:type="dxa"/>
            <w:vAlign w:val="top"/>
          </w:tcPr>
          <w:p>
            <w:pPr>
              <w:pStyle w:val="TableText"/>
              <w:ind w:left="723"/>
              <w:spacing w:before="66" w:line="231" w:lineRule="auto"/>
              <w:rPr/>
            </w:pPr>
            <w:r>
              <w:rPr>
                <w:spacing w:val="2"/>
              </w:rPr>
              <w:t>办公楼</w:t>
            </w:r>
          </w:p>
        </w:tc>
        <w:tc>
          <w:tcPr>
            <w:tcW w:w="1528" w:type="dxa"/>
            <w:vAlign w:val="top"/>
          </w:tcPr>
          <w:p>
            <w:pPr>
              <w:ind w:left="613"/>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370</w:t>
            </w:r>
          </w:p>
        </w:tc>
        <w:tc>
          <w:tcPr>
            <w:tcW w:w="1536" w:type="dxa"/>
            <w:vAlign w:val="top"/>
          </w:tcPr>
          <w:p>
            <w:pPr>
              <w:pStyle w:val="TableText"/>
              <w:ind w:left="679"/>
              <w:spacing w:before="66" w:line="233" w:lineRule="auto"/>
              <w:rPr/>
            </w:pPr>
            <w:r>
              <w:rPr/>
              <w:t>否</w:t>
            </w:r>
          </w:p>
        </w:tc>
        <w:tc>
          <w:tcPr>
            <w:tcW w:w="4193" w:type="dxa"/>
            <w:vAlign w:val="top"/>
          </w:tcPr>
          <w:p>
            <w:pPr>
              <w:ind w:left="2032"/>
              <w:spacing w:before="178"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2"/>
              </w:rPr>
              <w:t>--</w:t>
            </w:r>
          </w:p>
        </w:tc>
      </w:tr>
      <w:tr>
        <w:trPr>
          <w:trHeight w:val="345" w:hRule="atLeast"/>
        </w:trPr>
        <w:tc>
          <w:tcPr>
            <w:tcW w:w="650" w:type="dxa"/>
            <w:vAlign w:val="top"/>
          </w:tcPr>
          <w:p>
            <w:pPr>
              <w:ind w:left="277"/>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045" w:type="dxa"/>
            <w:vAlign w:val="top"/>
          </w:tcPr>
          <w:p>
            <w:pPr>
              <w:pStyle w:val="TableText"/>
              <w:ind w:left="822"/>
              <w:spacing w:before="66" w:line="235" w:lineRule="auto"/>
              <w:rPr/>
            </w:pPr>
            <w:r>
              <w:rPr>
                <w:spacing w:val="2"/>
              </w:rPr>
              <w:t>食堂</w:t>
            </w:r>
          </w:p>
        </w:tc>
        <w:tc>
          <w:tcPr>
            <w:tcW w:w="1528" w:type="dxa"/>
            <w:vAlign w:val="top"/>
          </w:tcPr>
          <w:p>
            <w:pPr>
              <w:ind w:left="612"/>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730</w:t>
            </w:r>
          </w:p>
        </w:tc>
        <w:tc>
          <w:tcPr>
            <w:tcW w:w="1536" w:type="dxa"/>
            <w:vAlign w:val="top"/>
          </w:tcPr>
          <w:p>
            <w:pPr>
              <w:pStyle w:val="TableText"/>
              <w:ind w:left="679"/>
              <w:spacing w:before="66" w:line="233" w:lineRule="auto"/>
              <w:rPr/>
            </w:pPr>
            <w:r>
              <w:rPr/>
              <w:t>否</w:t>
            </w:r>
          </w:p>
        </w:tc>
        <w:tc>
          <w:tcPr>
            <w:tcW w:w="4193" w:type="dxa"/>
            <w:vAlign w:val="top"/>
          </w:tcPr>
          <w:p>
            <w:pPr>
              <w:ind w:left="2032"/>
              <w:spacing w:before="176"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2"/>
              </w:rPr>
              <w:t>--</w:t>
            </w:r>
          </w:p>
        </w:tc>
      </w:tr>
      <w:tr>
        <w:trPr>
          <w:trHeight w:val="345" w:hRule="atLeast"/>
        </w:trPr>
        <w:tc>
          <w:tcPr>
            <w:tcW w:w="650" w:type="dxa"/>
            <w:vAlign w:val="top"/>
          </w:tcPr>
          <w:p>
            <w:pPr>
              <w:ind w:left="271"/>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2045" w:type="dxa"/>
            <w:vAlign w:val="top"/>
          </w:tcPr>
          <w:p>
            <w:pPr>
              <w:pStyle w:val="TableText"/>
              <w:ind w:left="616"/>
              <w:spacing w:before="66" w:line="229" w:lineRule="auto"/>
              <w:rPr/>
            </w:pPr>
            <w:r>
              <w:rPr>
                <w:spacing w:val="4"/>
              </w:rPr>
              <w:t>质检中心</w:t>
            </w:r>
          </w:p>
        </w:tc>
        <w:tc>
          <w:tcPr>
            <w:tcW w:w="1528" w:type="dxa"/>
            <w:vAlign w:val="top"/>
          </w:tcPr>
          <w:p>
            <w:pPr>
              <w:ind w:left="614"/>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500</w:t>
            </w:r>
          </w:p>
        </w:tc>
        <w:tc>
          <w:tcPr>
            <w:tcW w:w="1536" w:type="dxa"/>
            <w:vAlign w:val="top"/>
          </w:tcPr>
          <w:p>
            <w:pPr>
              <w:pStyle w:val="TableText"/>
              <w:ind w:left="679"/>
              <w:spacing w:before="67" w:line="233" w:lineRule="auto"/>
              <w:rPr/>
            </w:pPr>
            <w:r>
              <w:rPr/>
              <w:t>否</w:t>
            </w:r>
          </w:p>
        </w:tc>
        <w:tc>
          <w:tcPr>
            <w:tcW w:w="4193" w:type="dxa"/>
            <w:vAlign w:val="top"/>
          </w:tcPr>
          <w:p>
            <w:pPr>
              <w:ind w:left="2032"/>
              <w:spacing w:before="176"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2"/>
              </w:rPr>
              <w:t>--</w:t>
            </w:r>
          </w:p>
        </w:tc>
      </w:tr>
      <w:tr>
        <w:trPr>
          <w:trHeight w:val="940" w:hRule="atLeast"/>
        </w:trPr>
        <w:tc>
          <w:tcPr>
            <w:tcW w:w="650" w:type="dxa"/>
            <w:vAlign w:val="top"/>
          </w:tcPr>
          <w:p>
            <w:pPr>
              <w:spacing w:line="344" w:lineRule="auto"/>
              <w:rPr>
                <w:rFonts w:ascii="Arial"/>
                <w:sz w:val="21"/>
              </w:rPr>
            </w:pPr>
            <w:r/>
          </w:p>
          <w:p>
            <w:pPr>
              <w:ind w:left="278"/>
              <w:spacing w:before="5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045" w:type="dxa"/>
            <w:vAlign w:val="top"/>
          </w:tcPr>
          <w:p>
            <w:pPr>
              <w:spacing w:line="298" w:lineRule="auto"/>
              <w:rPr>
                <w:rFonts w:ascii="Arial"/>
                <w:sz w:val="21"/>
              </w:rPr>
            </w:pPr>
            <w:r/>
          </w:p>
          <w:p>
            <w:pPr>
              <w:pStyle w:val="TableText"/>
              <w:ind w:left="404"/>
              <w:spacing w:before="65" w:line="228" w:lineRule="auto"/>
              <w:rPr/>
            </w:pPr>
            <w:r>
              <w:rPr>
                <w:spacing w:val="7"/>
              </w:rPr>
              <w:t>尾气处理车间</w:t>
            </w:r>
          </w:p>
        </w:tc>
        <w:tc>
          <w:tcPr>
            <w:tcW w:w="1528" w:type="dxa"/>
            <w:vAlign w:val="top"/>
          </w:tcPr>
          <w:p>
            <w:pPr>
              <w:spacing w:line="341" w:lineRule="auto"/>
              <w:rPr>
                <w:rFonts w:ascii="Arial"/>
                <w:sz w:val="21"/>
              </w:rPr>
            </w:pPr>
            <w:r/>
          </w:p>
          <w:p>
            <w:pPr>
              <w:ind w:left="55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5000</w:t>
            </w:r>
          </w:p>
        </w:tc>
        <w:tc>
          <w:tcPr>
            <w:tcW w:w="1536" w:type="dxa"/>
            <w:vAlign w:val="top"/>
          </w:tcPr>
          <w:p>
            <w:pPr>
              <w:spacing w:line="298" w:lineRule="auto"/>
              <w:rPr>
                <w:rFonts w:ascii="Arial"/>
                <w:sz w:val="21"/>
              </w:rPr>
            </w:pPr>
            <w:r/>
          </w:p>
          <w:p>
            <w:pPr>
              <w:pStyle w:val="TableText"/>
              <w:ind w:left="675"/>
              <w:spacing w:before="65" w:line="233" w:lineRule="auto"/>
              <w:rPr/>
            </w:pPr>
            <w:r>
              <w:rPr/>
              <w:t>是</w:t>
            </w:r>
          </w:p>
        </w:tc>
        <w:tc>
          <w:tcPr>
            <w:tcW w:w="4193" w:type="dxa"/>
            <w:vAlign w:val="top"/>
          </w:tcPr>
          <w:p>
            <w:pPr>
              <w:pStyle w:val="TableText"/>
              <w:ind w:left="189" w:right="109" w:hanging="68"/>
              <w:spacing w:before="52" w:line="270" w:lineRule="auto"/>
              <w:jc w:val="both"/>
              <w:rPr/>
            </w:pPr>
            <w:r>
              <w:rPr>
                <w:spacing w:val="8"/>
              </w:rPr>
              <w:t>处理竖炉烟气，处理过程产生的脱硫废液经</w:t>
            </w:r>
            <w:r>
              <w:rPr>
                <w:spacing w:val="4"/>
              </w:rPr>
              <w:t xml:space="preserve"> </w:t>
            </w:r>
            <w:r>
              <w:rPr>
                <w:spacing w:val="10"/>
              </w:rPr>
              <w:t>该废气处理设施配套的污水处理设施处理</w:t>
            </w:r>
            <w:r>
              <w:rPr>
                <w:spacing w:val="6"/>
              </w:rPr>
              <w:t xml:space="preserve">  </w:t>
            </w:r>
            <w:r>
              <w:rPr>
                <w:spacing w:val="9"/>
              </w:rPr>
              <w:t>后全部用于</w:t>
            </w:r>
            <w:r>
              <w:rPr>
                <w:rFonts w:ascii="Times New Roman" w:hAnsi="Times New Roman" w:eastAsia="Times New Roman" w:cs="Times New Roman"/>
              </w:rPr>
              <w:t>MVR</w:t>
            </w:r>
            <w:r>
              <w:rPr>
                <w:spacing w:val="9"/>
              </w:rPr>
              <w:t>蒸发结晶（提取硫酸镁）</w:t>
            </w:r>
          </w:p>
        </w:tc>
      </w:tr>
      <w:tr>
        <w:trPr>
          <w:trHeight w:val="345" w:hRule="atLeast"/>
        </w:trPr>
        <w:tc>
          <w:tcPr>
            <w:tcW w:w="650" w:type="dxa"/>
            <w:vAlign w:val="top"/>
          </w:tcPr>
          <w:p>
            <w:pPr>
              <w:ind w:left="277"/>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045" w:type="dxa"/>
            <w:vAlign w:val="top"/>
          </w:tcPr>
          <w:p>
            <w:pPr>
              <w:pStyle w:val="TableText"/>
              <w:ind w:left="510"/>
              <w:spacing w:before="68" w:line="233" w:lineRule="auto"/>
              <w:rPr/>
            </w:pPr>
            <w:r>
              <w:rPr>
                <w:spacing w:val="6"/>
              </w:rPr>
              <w:t>废气处理区</w:t>
            </w:r>
          </w:p>
        </w:tc>
        <w:tc>
          <w:tcPr>
            <w:tcW w:w="1528" w:type="dxa"/>
            <w:vAlign w:val="top"/>
          </w:tcPr>
          <w:p>
            <w:pPr>
              <w:ind w:left="559"/>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5000</w:t>
            </w:r>
          </w:p>
        </w:tc>
        <w:tc>
          <w:tcPr>
            <w:tcW w:w="1536" w:type="dxa"/>
            <w:vAlign w:val="top"/>
          </w:tcPr>
          <w:p>
            <w:pPr>
              <w:pStyle w:val="TableText"/>
              <w:ind w:left="675"/>
              <w:spacing w:before="68" w:line="233" w:lineRule="auto"/>
              <w:rPr/>
            </w:pPr>
            <w:r>
              <w:rPr/>
              <w:t>是</w:t>
            </w:r>
          </w:p>
        </w:tc>
        <w:tc>
          <w:tcPr>
            <w:tcW w:w="4193" w:type="dxa"/>
            <w:vAlign w:val="top"/>
          </w:tcPr>
          <w:p>
            <w:pPr>
              <w:ind w:left="2032"/>
              <w:spacing w:before="192"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2"/>
              </w:rPr>
              <w:t>--</w:t>
            </w:r>
          </w:p>
        </w:tc>
      </w:tr>
      <w:tr>
        <w:trPr>
          <w:trHeight w:val="345" w:hRule="atLeast"/>
        </w:trPr>
        <w:tc>
          <w:tcPr>
            <w:tcW w:w="650" w:type="dxa"/>
            <w:vAlign w:val="top"/>
          </w:tcPr>
          <w:p>
            <w:pPr>
              <w:ind w:left="276"/>
              <w:spacing w:before="10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045" w:type="dxa"/>
            <w:vAlign w:val="top"/>
          </w:tcPr>
          <w:p>
            <w:pPr>
              <w:pStyle w:val="TableText"/>
              <w:ind w:left="520"/>
              <w:spacing w:before="68" w:line="228" w:lineRule="auto"/>
              <w:rPr/>
            </w:pPr>
            <w:r>
              <w:rPr>
                <w:spacing w:val="4"/>
              </w:rPr>
              <w:t>阳极炉车间</w:t>
            </w:r>
          </w:p>
        </w:tc>
        <w:tc>
          <w:tcPr>
            <w:tcW w:w="1528" w:type="dxa"/>
            <w:vAlign w:val="top"/>
          </w:tcPr>
          <w:p>
            <w:pPr>
              <w:ind w:left="558"/>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3439</w:t>
            </w:r>
          </w:p>
        </w:tc>
        <w:tc>
          <w:tcPr>
            <w:tcW w:w="1536" w:type="dxa"/>
            <w:vAlign w:val="top"/>
          </w:tcPr>
          <w:p>
            <w:pPr>
              <w:pStyle w:val="TableText"/>
              <w:ind w:left="675"/>
              <w:spacing w:before="68" w:line="233" w:lineRule="auto"/>
              <w:rPr/>
            </w:pPr>
            <w:r>
              <w:rPr/>
              <w:t>是</w:t>
            </w:r>
          </w:p>
        </w:tc>
        <w:tc>
          <w:tcPr>
            <w:tcW w:w="4193" w:type="dxa"/>
            <w:vAlign w:val="top"/>
          </w:tcPr>
          <w:p>
            <w:pPr>
              <w:ind w:left="2032"/>
              <w:spacing w:before="192"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2"/>
              </w:rPr>
              <w:t>--</w:t>
            </w:r>
          </w:p>
        </w:tc>
      </w:tr>
      <w:tr>
        <w:trPr>
          <w:trHeight w:val="344" w:hRule="atLeast"/>
        </w:trPr>
        <w:tc>
          <w:tcPr>
            <w:tcW w:w="650" w:type="dxa"/>
            <w:vAlign w:val="top"/>
          </w:tcPr>
          <w:p>
            <w:pPr>
              <w:ind w:left="281"/>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045" w:type="dxa"/>
            <w:vAlign w:val="top"/>
          </w:tcPr>
          <w:p>
            <w:pPr>
              <w:pStyle w:val="TableText"/>
              <w:ind w:left="508"/>
              <w:spacing w:before="68" w:line="232" w:lineRule="auto"/>
              <w:rPr/>
            </w:pPr>
            <w:r>
              <w:rPr>
                <w:spacing w:val="7"/>
              </w:rPr>
              <w:t>初期雨水池</w:t>
            </w:r>
          </w:p>
        </w:tc>
        <w:tc>
          <w:tcPr>
            <w:tcW w:w="1528" w:type="dxa"/>
            <w:vAlign w:val="top"/>
          </w:tcPr>
          <w:p>
            <w:pPr>
              <w:ind w:left="477"/>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2587.5</w:t>
            </w:r>
          </w:p>
        </w:tc>
        <w:tc>
          <w:tcPr>
            <w:tcW w:w="1536" w:type="dxa"/>
            <w:vAlign w:val="top"/>
          </w:tcPr>
          <w:p>
            <w:pPr>
              <w:pStyle w:val="TableText"/>
              <w:ind w:left="675"/>
              <w:spacing w:before="68" w:line="233" w:lineRule="auto"/>
              <w:rPr/>
            </w:pPr>
            <w:r>
              <w:rPr/>
              <w:t>是</w:t>
            </w:r>
          </w:p>
        </w:tc>
        <w:tc>
          <w:tcPr>
            <w:tcW w:w="4193" w:type="dxa"/>
            <w:vAlign w:val="top"/>
          </w:tcPr>
          <w:p>
            <w:pPr>
              <w:pStyle w:val="TableText"/>
              <w:ind w:left="1132"/>
              <w:spacing w:before="68" w:line="231" w:lineRule="auto"/>
              <w:rPr>
                <w:rFonts w:ascii="Times New Roman" w:hAnsi="Times New Roman" w:eastAsia="Times New Roman" w:cs="Times New Roman"/>
              </w:rPr>
            </w:pPr>
            <w:r>
              <w:rPr>
                <w:spacing w:val="7"/>
              </w:rPr>
              <w:t>雨水池埋地深度为</w:t>
            </w:r>
            <w:r>
              <w:rPr>
                <w:rFonts w:ascii="Times New Roman" w:hAnsi="Times New Roman" w:eastAsia="Times New Roman" w:cs="Times New Roman"/>
                <w:spacing w:val="7"/>
              </w:rPr>
              <w:t>3m</w:t>
            </w:r>
          </w:p>
        </w:tc>
      </w:tr>
      <w:tr>
        <w:trPr>
          <w:trHeight w:val="345" w:hRule="atLeast"/>
        </w:trPr>
        <w:tc>
          <w:tcPr>
            <w:tcW w:w="650" w:type="dxa"/>
            <w:vAlign w:val="top"/>
          </w:tcPr>
          <w:p>
            <w:pPr>
              <w:ind w:left="276"/>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045" w:type="dxa"/>
            <w:vAlign w:val="top"/>
          </w:tcPr>
          <w:p>
            <w:pPr>
              <w:pStyle w:val="TableText"/>
              <w:ind w:left="614"/>
              <w:spacing w:before="70" w:line="231" w:lineRule="auto"/>
              <w:rPr/>
            </w:pPr>
            <w:r>
              <w:rPr>
                <w:spacing w:val="5"/>
              </w:rPr>
              <w:t>成品仓库</w:t>
            </w:r>
          </w:p>
        </w:tc>
        <w:tc>
          <w:tcPr>
            <w:tcW w:w="1528" w:type="dxa"/>
            <w:vAlign w:val="top"/>
          </w:tcPr>
          <w:p>
            <w:pPr>
              <w:ind w:left="553"/>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2000</w:t>
            </w:r>
          </w:p>
        </w:tc>
        <w:tc>
          <w:tcPr>
            <w:tcW w:w="1536" w:type="dxa"/>
            <w:vAlign w:val="top"/>
          </w:tcPr>
          <w:p>
            <w:pPr>
              <w:pStyle w:val="TableText"/>
              <w:ind w:left="679"/>
              <w:spacing w:before="70" w:line="233" w:lineRule="auto"/>
              <w:rPr/>
            </w:pPr>
            <w:r>
              <w:rPr/>
              <w:t>否</w:t>
            </w:r>
          </w:p>
        </w:tc>
        <w:tc>
          <w:tcPr>
            <w:tcW w:w="4193" w:type="dxa"/>
            <w:vAlign w:val="top"/>
          </w:tcPr>
          <w:p>
            <w:pPr>
              <w:ind w:left="2032"/>
              <w:spacing w:before="194"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2"/>
              </w:rPr>
              <w:t>--</w:t>
            </w:r>
          </w:p>
        </w:tc>
      </w:tr>
      <w:tr>
        <w:trPr>
          <w:trHeight w:val="345" w:hRule="atLeast"/>
        </w:trPr>
        <w:tc>
          <w:tcPr>
            <w:tcW w:w="650" w:type="dxa"/>
            <w:vAlign w:val="top"/>
          </w:tcPr>
          <w:p>
            <w:pPr>
              <w:ind w:left="242"/>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2045" w:type="dxa"/>
            <w:vAlign w:val="top"/>
          </w:tcPr>
          <w:p>
            <w:pPr>
              <w:pStyle w:val="TableText"/>
              <w:ind w:left="613"/>
              <w:spacing w:before="67" w:line="229" w:lineRule="auto"/>
              <w:rPr/>
            </w:pPr>
            <w:r>
              <w:rPr>
                <w:spacing w:val="5"/>
              </w:rPr>
              <w:t>铜料仓库</w:t>
            </w:r>
          </w:p>
        </w:tc>
        <w:tc>
          <w:tcPr>
            <w:tcW w:w="1528" w:type="dxa"/>
            <w:vAlign w:val="top"/>
          </w:tcPr>
          <w:p>
            <w:pPr>
              <w:ind w:left="574"/>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1600</w:t>
            </w:r>
          </w:p>
        </w:tc>
        <w:tc>
          <w:tcPr>
            <w:tcW w:w="1536" w:type="dxa"/>
            <w:vAlign w:val="top"/>
          </w:tcPr>
          <w:p>
            <w:pPr>
              <w:pStyle w:val="TableText"/>
              <w:ind w:left="675"/>
              <w:spacing w:before="68" w:line="233" w:lineRule="auto"/>
              <w:rPr/>
            </w:pPr>
            <w:r>
              <w:rPr/>
              <w:t>是</w:t>
            </w:r>
          </w:p>
        </w:tc>
        <w:tc>
          <w:tcPr>
            <w:tcW w:w="4193" w:type="dxa"/>
            <w:vAlign w:val="top"/>
          </w:tcPr>
          <w:p>
            <w:pPr>
              <w:ind w:left="2032"/>
              <w:spacing w:before="180"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2"/>
              </w:rPr>
              <w:t>--</w:t>
            </w:r>
          </w:p>
        </w:tc>
      </w:tr>
      <w:tr>
        <w:trPr>
          <w:trHeight w:val="345" w:hRule="atLeast"/>
        </w:trPr>
        <w:tc>
          <w:tcPr>
            <w:tcW w:w="650" w:type="dxa"/>
            <w:vAlign w:val="top"/>
          </w:tcPr>
          <w:p>
            <w:pPr>
              <w:ind w:left="242"/>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11</w:t>
            </w:r>
          </w:p>
        </w:tc>
        <w:tc>
          <w:tcPr>
            <w:tcW w:w="2045" w:type="dxa"/>
            <w:vAlign w:val="top"/>
          </w:tcPr>
          <w:p>
            <w:pPr>
              <w:pStyle w:val="TableText"/>
              <w:ind w:left="719"/>
              <w:spacing w:before="68" w:line="231" w:lineRule="auto"/>
              <w:rPr/>
            </w:pPr>
            <w:r>
              <w:rPr>
                <w:spacing w:val="4"/>
              </w:rPr>
              <w:t>打包库</w:t>
            </w:r>
          </w:p>
        </w:tc>
        <w:tc>
          <w:tcPr>
            <w:tcW w:w="1528" w:type="dxa"/>
            <w:vAlign w:val="top"/>
          </w:tcPr>
          <w:p>
            <w:pPr>
              <w:ind w:left="617"/>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850</w:t>
            </w:r>
          </w:p>
        </w:tc>
        <w:tc>
          <w:tcPr>
            <w:tcW w:w="1536" w:type="dxa"/>
            <w:vAlign w:val="top"/>
          </w:tcPr>
          <w:p>
            <w:pPr>
              <w:pStyle w:val="TableText"/>
              <w:ind w:left="675"/>
              <w:spacing w:before="68" w:line="233" w:lineRule="auto"/>
              <w:rPr/>
            </w:pPr>
            <w:r>
              <w:rPr/>
              <w:t>是</w:t>
            </w:r>
          </w:p>
        </w:tc>
        <w:tc>
          <w:tcPr>
            <w:tcW w:w="4193" w:type="dxa"/>
            <w:vAlign w:val="top"/>
          </w:tcPr>
          <w:p>
            <w:pPr>
              <w:ind w:left="2032"/>
              <w:spacing w:before="178"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2"/>
              </w:rPr>
              <w:t>--</w:t>
            </w:r>
          </w:p>
        </w:tc>
      </w:tr>
      <w:tr>
        <w:trPr>
          <w:trHeight w:val="345" w:hRule="atLeast"/>
        </w:trPr>
        <w:tc>
          <w:tcPr>
            <w:tcW w:w="650" w:type="dxa"/>
            <w:vAlign w:val="top"/>
          </w:tcPr>
          <w:p>
            <w:pPr>
              <w:ind w:left="242"/>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2045" w:type="dxa"/>
            <w:vAlign w:val="top"/>
          </w:tcPr>
          <w:p>
            <w:pPr>
              <w:pStyle w:val="TableText"/>
              <w:ind w:left="612"/>
              <w:spacing w:before="69" w:line="230" w:lineRule="auto"/>
              <w:rPr/>
            </w:pPr>
            <w:r>
              <w:rPr>
                <w:spacing w:val="5"/>
              </w:rPr>
              <w:t>储能电站</w:t>
            </w:r>
          </w:p>
        </w:tc>
        <w:tc>
          <w:tcPr>
            <w:tcW w:w="1528" w:type="dxa"/>
            <w:vAlign w:val="top"/>
          </w:tcPr>
          <w:p>
            <w:pPr>
              <w:ind w:left="659"/>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536" w:type="dxa"/>
            <w:vAlign w:val="top"/>
          </w:tcPr>
          <w:p>
            <w:pPr>
              <w:pStyle w:val="TableText"/>
              <w:ind w:left="679"/>
              <w:spacing w:before="69" w:line="233" w:lineRule="auto"/>
              <w:rPr/>
            </w:pPr>
            <w:r>
              <w:rPr/>
              <w:t>否</w:t>
            </w:r>
          </w:p>
        </w:tc>
        <w:tc>
          <w:tcPr>
            <w:tcW w:w="4193" w:type="dxa"/>
            <w:vAlign w:val="top"/>
          </w:tcPr>
          <w:p>
            <w:pPr>
              <w:ind w:left="2032"/>
              <w:spacing w:before="193"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2"/>
              </w:rPr>
              <w:t>--</w:t>
            </w:r>
          </w:p>
        </w:tc>
      </w:tr>
      <w:tr>
        <w:trPr>
          <w:trHeight w:val="345" w:hRule="atLeast"/>
        </w:trPr>
        <w:tc>
          <w:tcPr>
            <w:tcW w:w="650" w:type="dxa"/>
            <w:vAlign w:val="top"/>
          </w:tcPr>
          <w:p>
            <w:pPr>
              <w:ind w:left="242"/>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c>
          <w:tcPr>
            <w:tcW w:w="2045" w:type="dxa"/>
            <w:vAlign w:val="top"/>
          </w:tcPr>
          <w:p>
            <w:pPr>
              <w:pStyle w:val="TableText"/>
              <w:ind w:left="615"/>
              <w:spacing w:before="69" w:line="229" w:lineRule="auto"/>
              <w:rPr/>
            </w:pPr>
            <w:r>
              <w:rPr>
                <w:spacing w:val="4"/>
              </w:rPr>
              <w:t>原料仓库</w:t>
            </w:r>
          </w:p>
        </w:tc>
        <w:tc>
          <w:tcPr>
            <w:tcW w:w="1528" w:type="dxa"/>
            <w:vAlign w:val="top"/>
          </w:tcPr>
          <w:p>
            <w:pPr>
              <w:ind w:left="559"/>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5400</w:t>
            </w:r>
          </w:p>
        </w:tc>
        <w:tc>
          <w:tcPr>
            <w:tcW w:w="1536" w:type="dxa"/>
            <w:vAlign w:val="top"/>
          </w:tcPr>
          <w:p>
            <w:pPr>
              <w:pStyle w:val="TableText"/>
              <w:ind w:left="675"/>
              <w:spacing w:before="69" w:line="233" w:lineRule="auto"/>
              <w:rPr/>
            </w:pPr>
            <w:r>
              <w:rPr/>
              <w:t>是</w:t>
            </w:r>
          </w:p>
        </w:tc>
        <w:tc>
          <w:tcPr>
            <w:tcW w:w="4193" w:type="dxa"/>
            <w:vAlign w:val="top"/>
          </w:tcPr>
          <w:p>
            <w:pPr>
              <w:pStyle w:val="TableText"/>
              <w:ind w:left="534"/>
              <w:spacing w:before="69" w:line="229" w:lineRule="auto"/>
              <w:rPr/>
            </w:pPr>
            <w:r>
              <w:rPr>
                <w:spacing w:val="8"/>
              </w:rPr>
              <w:t>铜泥堆放，废弃物提纯工艺的原料</w:t>
            </w:r>
          </w:p>
        </w:tc>
      </w:tr>
      <w:tr>
        <w:trPr>
          <w:trHeight w:val="345" w:hRule="atLeast"/>
        </w:trPr>
        <w:tc>
          <w:tcPr>
            <w:tcW w:w="650" w:type="dxa"/>
            <w:vAlign w:val="top"/>
          </w:tcPr>
          <w:p>
            <w:pPr>
              <w:ind w:left="242"/>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14</w:t>
            </w:r>
          </w:p>
        </w:tc>
        <w:tc>
          <w:tcPr>
            <w:tcW w:w="2045" w:type="dxa"/>
            <w:vAlign w:val="top"/>
          </w:tcPr>
          <w:p>
            <w:pPr>
              <w:pStyle w:val="TableText"/>
              <w:ind w:left="509"/>
              <w:spacing w:before="70" w:line="229" w:lineRule="auto"/>
              <w:rPr/>
            </w:pPr>
            <w:r>
              <w:rPr>
                <w:spacing w:val="6"/>
              </w:rPr>
              <w:t>半成品仓库</w:t>
            </w:r>
          </w:p>
        </w:tc>
        <w:tc>
          <w:tcPr>
            <w:tcW w:w="1528" w:type="dxa"/>
            <w:vAlign w:val="top"/>
          </w:tcPr>
          <w:p>
            <w:pPr>
              <w:ind w:left="55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2370</w:t>
            </w:r>
          </w:p>
        </w:tc>
        <w:tc>
          <w:tcPr>
            <w:tcW w:w="1536" w:type="dxa"/>
            <w:vAlign w:val="top"/>
          </w:tcPr>
          <w:p>
            <w:pPr>
              <w:pStyle w:val="TableText"/>
              <w:ind w:left="675"/>
              <w:spacing w:before="69" w:line="233" w:lineRule="auto"/>
              <w:rPr/>
            </w:pPr>
            <w:r>
              <w:rPr/>
              <w:t>是</w:t>
            </w:r>
          </w:p>
        </w:tc>
        <w:tc>
          <w:tcPr>
            <w:tcW w:w="4193" w:type="dxa"/>
            <w:vAlign w:val="top"/>
          </w:tcPr>
          <w:p>
            <w:pPr>
              <w:pStyle w:val="TableText"/>
              <w:ind w:left="1481"/>
              <w:spacing w:before="69" w:line="228" w:lineRule="auto"/>
              <w:rPr/>
            </w:pPr>
            <w:r>
              <w:rPr>
                <w:spacing w:val="6"/>
              </w:rPr>
              <w:t>存放球状铜泥</w:t>
            </w:r>
          </w:p>
        </w:tc>
      </w:tr>
      <w:tr>
        <w:trPr>
          <w:trHeight w:val="345" w:hRule="atLeast"/>
        </w:trPr>
        <w:tc>
          <w:tcPr>
            <w:tcW w:w="650" w:type="dxa"/>
            <w:vAlign w:val="top"/>
          </w:tcPr>
          <w:p>
            <w:pPr>
              <w:ind w:left="242"/>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2045" w:type="dxa"/>
            <w:vAlign w:val="top"/>
          </w:tcPr>
          <w:p>
            <w:pPr>
              <w:pStyle w:val="TableText"/>
              <w:ind w:left="512"/>
              <w:spacing w:before="70" w:line="228" w:lineRule="auto"/>
              <w:rPr/>
            </w:pPr>
            <w:r>
              <w:rPr>
                <w:spacing w:val="5"/>
              </w:rPr>
              <w:t>原制球车间</w:t>
            </w:r>
          </w:p>
        </w:tc>
        <w:tc>
          <w:tcPr>
            <w:tcW w:w="1528" w:type="dxa"/>
            <w:vAlign w:val="top"/>
          </w:tcPr>
          <w:p>
            <w:pPr>
              <w:ind w:left="557"/>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7000</w:t>
            </w:r>
          </w:p>
        </w:tc>
        <w:tc>
          <w:tcPr>
            <w:tcW w:w="1536" w:type="dxa"/>
            <w:vAlign w:val="top"/>
          </w:tcPr>
          <w:p>
            <w:pPr>
              <w:pStyle w:val="TableText"/>
              <w:ind w:left="675"/>
              <w:spacing w:before="70" w:line="233" w:lineRule="auto"/>
              <w:rPr/>
            </w:pPr>
            <w:r>
              <w:rPr/>
              <w:t>是</w:t>
            </w:r>
          </w:p>
        </w:tc>
        <w:tc>
          <w:tcPr>
            <w:tcW w:w="4193" w:type="dxa"/>
            <w:vAlign w:val="top"/>
          </w:tcPr>
          <w:p>
            <w:pPr>
              <w:pStyle w:val="TableText"/>
              <w:ind w:left="1819"/>
              <w:spacing w:before="69" w:line="232" w:lineRule="auto"/>
              <w:rPr/>
            </w:pPr>
            <w:r>
              <w:rPr>
                <w:spacing w:val="-4"/>
              </w:rPr>
              <w:t>已停用</w:t>
            </w:r>
          </w:p>
        </w:tc>
      </w:tr>
      <w:tr>
        <w:trPr>
          <w:trHeight w:val="345" w:hRule="atLeast"/>
        </w:trPr>
        <w:tc>
          <w:tcPr>
            <w:tcW w:w="650" w:type="dxa"/>
            <w:vAlign w:val="top"/>
          </w:tcPr>
          <w:p>
            <w:pPr>
              <w:ind w:left="242"/>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16</w:t>
            </w:r>
          </w:p>
        </w:tc>
        <w:tc>
          <w:tcPr>
            <w:tcW w:w="2045" w:type="dxa"/>
            <w:vAlign w:val="top"/>
          </w:tcPr>
          <w:p>
            <w:pPr>
              <w:pStyle w:val="TableText"/>
              <w:ind w:left="405"/>
              <w:spacing w:before="68" w:line="229" w:lineRule="auto"/>
              <w:rPr/>
            </w:pPr>
            <w:r>
              <w:rPr>
                <w:spacing w:val="6"/>
              </w:rPr>
              <w:t>废弃物提纯区</w:t>
            </w:r>
          </w:p>
        </w:tc>
        <w:tc>
          <w:tcPr>
            <w:tcW w:w="1528" w:type="dxa"/>
            <w:vAlign w:val="top"/>
          </w:tcPr>
          <w:p>
            <w:pPr>
              <w:ind w:left="523"/>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19508</w:t>
            </w:r>
          </w:p>
        </w:tc>
        <w:tc>
          <w:tcPr>
            <w:tcW w:w="1536" w:type="dxa"/>
            <w:vAlign w:val="top"/>
          </w:tcPr>
          <w:p>
            <w:pPr>
              <w:pStyle w:val="TableText"/>
              <w:ind w:left="675"/>
              <w:spacing w:before="68" w:line="233" w:lineRule="auto"/>
              <w:rPr/>
            </w:pPr>
            <w:r>
              <w:rPr/>
              <w:t>是</w:t>
            </w:r>
          </w:p>
        </w:tc>
        <w:tc>
          <w:tcPr>
            <w:tcW w:w="4193" w:type="dxa"/>
            <w:vAlign w:val="top"/>
          </w:tcPr>
          <w:p>
            <w:pPr>
              <w:pStyle w:val="TableText"/>
              <w:ind w:left="1689"/>
              <w:spacing w:before="67" w:line="232" w:lineRule="auto"/>
              <w:rPr/>
            </w:pPr>
            <w:r>
              <w:rPr>
                <w:spacing w:val="5"/>
              </w:rPr>
              <w:t>冶炼工段</w:t>
            </w:r>
          </w:p>
        </w:tc>
      </w:tr>
      <w:tr>
        <w:trPr>
          <w:trHeight w:val="345" w:hRule="atLeast"/>
        </w:trPr>
        <w:tc>
          <w:tcPr>
            <w:tcW w:w="650" w:type="dxa"/>
            <w:vAlign w:val="top"/>
          </w:tcPr>
          <w:p>
            <w:pPr>
              <w:ind w:left="242"/>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17</w:t>
            </w:r>
          </w:p>
        </w:tc>
        <w:tc>
          <w:tcPr>
            <w:tcW w:w="2045" w:type="dxa"/>
            <w:vAlign w:val="top"/>
          </w:tcPr>
          <w:p>
            <w:pPr>
              <w:pStyle w:val="TableText"/>
              <w:ind w:left="717"/>
              <w:spacing w:before="68" w:line="231" w:lineRule="auto"/>
              <w:rPr/>
            </w:pPr>
            <w:r>
              <w:rPr>
                <w:spacing w:val="5"/>
              </w:rPr>
              <w:t>机修间</w:t>
            </w:r>
          </w:p>
        </w:tc>
        <w:tc>
          <w:tcPr>
            <w:tcW w:w="1528" w:type="dxa"/>
            <w:vAlign w:val="top"/>
          </w:tcPr>
          <w:p>
            <w:pPr>
              <w:ind w:left="574"/>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1000</w:t>
            </w:r>
          </w:p>
        </w:tc>
        <w:tc>
          <w:tcPr>
            <w:tcW w:w="1536" w:type="dxa"/>
            <w:vAlign w:val="top"/>
          </w:tcPr>
          <w:p>
            <w:pPr>
              <w:pStyle w:val="TableText"/>
              <w:ind w:left="675"/>
              <w:spacing w:before="68" w:line="233" w:lineRule="auto"/>
              <w:rPr/>
            </w:pPr>
            <w:r>
              <w:rPr/>
              <w:t>是</w:t>
            </w:r>
          </w:p>
        </w:tc>
        <w:tc>
          <w:tcPr>
            <w:tcW w:w="4193" w:type="dxa"/>
            <w:vAlign w:val="top"/>
          </w:tcPr>
          <w:p>
            <w:pPr>
              <w:ind w:left="2032"/>
              <w:spacing w:before="178"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2"/>
              </w:rPr>
              <w:t>--</w:t>
            </w:r>
          </w:p>
        </w:tc>
      </w:tr>
      <w:tr>
        <w:trPr>
          <w:trHeight w:val="344" w:hRule="atLeast"/>
        </w:trPr>
        <w:tc>
          <w:tcPr>
            <w:tcW w:w="650" w:type="dxa"/>
            <w:vAlign w:val="top"/>
          </w:tcPr>
          <w:p>
            <w:pPr>
              <w:ind w:left="242"/>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18</w:t>
            </w:r>
          </w:p>
        </w:tc>
        <w:tc>
          <w:tcPr>
            <w:tcW w:w="2045" w:type="dxa"/>
            <w:vAlign w:val="top"/>
          </w:tcPr>
          <w:p>
            <w:pPr>
              <w:pStyle w:val="TableText"/>
              <w:ind w:left="196"/>
              <w:spacing w:before="68" w:line="231" w:lineRule="auto"/>
              <w:rPr/>
            </w:pPr>
            <w:r>
              <w:rPr>
                <w:spacing w:val="-5"/>
              </w:rPr>
              <w:t>危废仓库（</w:t>
            </w:r>
            <w:r>
              <w:rPr>
                <w:spacing w:val="-11"/>
              </w:rPr>
              <w:t xml:space="preserve"> </w:t>
            </w:r>
            <w:r>
              <w:rPr>
                <w:spacing w:val="-5"/>
              </w:rPr>
              <w:t>自产）</w:t>
            </w:r>
          </w:p>
        </w:tc>
        <w:tc>
          <w:tcPr>
            <w:tcW w:w="1528" w:type="dxa"/>
            <w:vAlign w:val="top"/>
          </w:tcPr>
          <w:p>
            <w:pPr>
              <w:ind w:left="574"/>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1600</w:t>
            </w:r>
          </w:p>
        </w:tc>
        <w:tc>
          <w:tcPr>
            <w:tcW w:w="1536" w:type="dxa"/>
            <w:vAlign w:val="top"/>
          </w:tcPr>
          <w:p>
            <w:pPr>
              <w:pStyle w:val="TableText"/>
              <w:ind w:left="675"/>
              <w:spacing w:before="69" w:line="233" w:lineRule="auto"/>
              <w:rPr/>
            </w:pPr>
            <w:r>
              <w:rPr/>
              <w:t>是</w:t>
            </w:r>
          </w:p>
        </w:tc>
        <w:tc>
          <w:tcPr>
            <w:tcW w:w="4193" w:type="dxa"/>
            <w:vAlign w:val="top"/>
          </w:tcPr>
          <w:p>
            <w:pPr>
              <w:pStyle w:val="TableText"/>
              <w:ind w:left="1268"/>
              <w:spacing w:before="69" w:line="228" w:lineRule="auto"/>
              <w:rPr/>
            </w:pPr>
            <w:r>
              <w:rPr>
                <w:spacing w:val="7"/>
              </w:rPr>
              <w:t>企业自产危废暂存</w:t>
            </w:r>
          </w:p>
        </w:tc>
      </w:tr>
      <w:tr>
        <w:trPr>
          <w:trHeight w:val="345" w:hRule="atLeast"/>
        </w:trPr>
        <w:tc>
          <w:tcPr>
            <w:tcW w:w="650" w:type="dxa"/>
            <w:vAlign w:val="top"/>
          </w:tcPr>
          <w:p>
            <w:pPr>
              <w:ind w:left="242"/>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19</w:t>
            </w:r>
          </w:p>
        </w:tc>
        <w:tc>
          <w:tcPr>
            <w:tcW w:w="2045" w:type="dxa"/>
            <w:vAlign w:val="top"/>
          </w:tcPr>
          <w:p>
            <w:pPr>
              <w:pStyle w:val="TableText"/>
              <w:ind w:left="632"/>
              <w:spacing w:before="70" w:line="230" w:lineRule="auto"/>
              <w:rPr/>
            </w:pPr>
            <w:r>
              <w:rPr/>
              <w:t>闲置厂房</w:t>
            </w:r>
          </w:p>
        </w:tc>
        <w:tc>
          <w:tcPr>
            <w:tcW w:w="1528" w:type="dxa"/>
            <w:vAlign w:val="top"/>
          </w:tcPr>
          <w:p>
            <w:pPr>
              <w:ind w:left="574"/>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1800</w:t>
            </w:r>
          </w:p>
        </w:tc>
        <w:tc>
          <w:tcPr>
            <w:tcW w:w="1536" w:type="dxa"/>
            <w:vAlign w:val="top"/>
          </w:tcPr>
          <w:p>
            <w:pPr>
              <w:pStyle w:val="TableText"/>
              <w:ind w:left="679"/>
              <w:spacing w:before="70" w:line="233" w:lineRule="auto"/>
              <w:rPr/>
            </w:pPr>
            <w:r>
              <w:rPr/>
              <w:t>否</w:t>
            </w:r>
          </w:p>
        </w:tc>
        <w:tc>
          <w:tcPr>
            <w:tcW w:w="4193" w:type="dxa"/>
            <w:vAlign w:val="top"/>
          </w:tcPr>
          <w:p>
            <w:pPr>
              <w:ind w:left="2032"/>
              <w:spacing w:before="194"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2"/>
              </w:rPr>
              <w:t>--</w:t>
            </w:r>
          </w:p>
        </w:tc>
      </w:tr>
      <w:tr>
        <w:trPr>
          <w:trHeight w:val="345" w:hRule="atLeast"/>
        </w:trPr>
        <w:tc>
          <w:tcPr>
            <w:tcW w:w="650" w:type="dxa"/>
            <w:vAlign w:val="top"/>
          </w:tcPr>
          <w:p>
            <w:pPr>
              <w:ind w:left="222"/>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2045" w:type="dxa"/>
            <w:vAlign w:val="top"/>
          </w:tcPr>
          <w:p>
            <w:pPr>
              <w:pStyle w:val="TableText"/>
              <w:ind w:left="614"/>
              <w:spacing w:before="70" w:line="231" w:lineRule="auto"/>
              <w:rPr/>
            </w:pPr>
            <w:r>
              <w:rPr>
                <w:spacing w:val="5"/>
              </w:rPr>
              <w:t>五金仓库</w:t>
            </w:r>
          </w:p>
        </w:tc>
        <w:tc>
          <w:tcPr>
            <w:tcW w:w="1528" w:type="dxa"/>
            <w:vAlign w:val="top"/>
          </w:tcPr>
          <w:p>
            <w:pPr>
              <w:ind w:left="574"/>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1700</w:t>
            </w:r>
          </w:p>
        </w:tc>
        <w:tc>
          <w:tcPr>
            <w:tcW w:w="1536" w:type="dxa"/>
            <w:vAlign w:val="top"/>
          </w:tcPr>
          <w:p>
            <w:pPr>
              <w:pStyle w:val="TableText"/>
              <w:ind w:left="679"/>
              <w:spacing w:before="70" w:line="233" w:lineRule="auto"/>
              <w:rPr/>
            </w:pPr>
            <w:r>
              <w:rPr/>
              <w:t>否</w:t>
            </w:r>
          </w:p>
        </w:tc>
        <w:tc>
          <w:tcPr>
            <w:tcW w:w="4193" w:type="dxa"/>
            <w:vAlign w:val="top"/>
            <w:vMerge w:val="restart"/>
            <w:tcBorders>
              <w:bottom w:val="nil"/>
            </w:tcBorders>
          </w:tcPr>
          <w:p>
            <w:pPr>
              <w:pStyle w:val="TableText"/>
              <w:ind w:left="120"/>
              <w:spacing w:before="90" w:line="228" w:lineRule="auto"/>
              <w:rPr/>
            </w:pPr>
            <w:r>
              <w:rPr>
                <w:spacing w:val="8"/>
              </w:rPr>
              <w:t>该区域非生产车间，仅存放一些五金工具和</w:t>
            </w:r>
          </w:p>
          <w:p>
            <w:pPr>
              <w:pStyle w:val="TableText"/>
              <w:ind w:left="1698"/>
              <w:spacing w:before="65" w:line="229" w:lineRule="auto"/>
              <w:rPr/>
            </w:pPr>
            <w:r>
              <w:rPr>
                <w:spacing w:val="3"/>
              </w:rPr>
              <w:t>劳保用具</w:t>
            </w:r>
          </w:p>
        </w:tc>
      </w:tr>
      <w:tr>
        <w:trPr>
          <w:trHeight w:val="345" w:hRule="atLeast"/>
        </w:trPr>
        <w:tc>
          <w:tcPr>
            <w:tcW w:w="650" w:type="dxa"/>
            <w:vAlign w:val="top"/>
          </w:tcPr>
          <w:p>
            <w:pPr>
              <w:ind w:left="222"/>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21</w:t>
            </w:r>
          </w:p>
        </w:tc>
        <w:tc>
          <w:tcPr>
            <w:tcW w:w="2045" w:type="dxa"/>
            <w:vAlign w:val="top"/>
          </w:tcPr>
          <w:p>
            <w:pPr>
              <w:pStyle w:val="TableText"/>
              <w:ind w:left="614"/>
              <w:spacing w:before="71" w:line="231" w:lineRule="auto"/>
              <w:rPr/>
            </w:pPr>
            <w:r>
              <w:rPr>
                <w:spacing w:val="5"/>
              </w:rPr>
              <w:t>五金仓库</w:t>
            </w:r>
          </w:p>
        </w:tc>
        <w:tc>
          <w:tcPr>
            <w:tcW w:w="1528" w:type="dxa"/>
            <w:vAlign w:val="top"/>
          </w:tcPr>
          <w:p>
            <w:pPr>
              <w:ind w:left="552"/>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4500</w:t>
            </w:r>
          </w:p>
        </w:tc>
        <w:tc>
          <w:tcPr>
            <w:tcW w:w="1536" w:type="dxa"/>
            <w:vAlign w:val="top"/>
          </w:tcPr>
          <w:p>
            <w:pPr>
              <w:pStyle w:val="TableText"/>
              <w:ind w:left="679"/>
              <w:spacing w:before="71" w:line="233" w:lineRule="auto"/>
              <w:rPr/>
            </w:pPr>
            <w:r>
              <w:rPr/>
              <w:t>否</w:t>
            </w:r>
          </w:p>
        </w:tc>
        <w:tc>
          <w:tcPr>
            <w:tcW w:w="4193" w:type="dxa"/>
            <w:vAlign w:val="top"/>
            <w:vMerge w:val="continue"/>
            <w:tcBorders>
              <w:top w:val="nil"/>
            </w:tcBorders>
          </w:tcPr>
          <w:p>
            <w:pPr>
              <w:rPr>
                <w:rFonts w:ascii="Arial"/>
                <w:sz w:val="21"/>
              </w:rPr>
            </w:pPr>
            <w:r/>
          </w:p>
        </w:tc>
      </w:tr>
      <w:tr>
        <w:trPr>
          <w:trHeight w:val="345" w:hRule="atLeast"/>
        </w:trPr>
        <w:tc>
          <w:tcPr>
            <w:tcW w:w="650" w:type="dxa"/>
            <w:vAlign w:val="top"/>
          </w:tcPr>
          <w:p>
            <w:pPr>
              <w:ind w:left="222"/>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22</w:t>
            </w:r>
          </w:p>
        </w:tc>
        <w:tc>
          <w:tcPr>
            <w:tcW w:w="2045" w:type="dxa"/>
            <w:vAlign w:val="top"/>
          </w:tcPr>
          <w:p>
            <w:pPr>
              <w:pStyle w:val="TableText"/>
              <w:ind w:left="612"/>
              <w:spacing w:before="69" w:line="228" w:lineRule="auto"/>
              <w:rPr/>
            </w:pPr>
            <w:r>
              <w:rPr>
                <w:spacing w:val="5"/>
              </w:rPr>
              <w:t>制球车间</w:t>
            </w:r>
          </w:p>
        </w:tc>
        <w:tc>
          <w:tcPr>
            <w:tcW w:w="1528" w:type="dxa"/>
            <w:vAlign w:val="top"/>
          </w:tcPr>
          <w:p>
            <w:pPr>
              <w:ind w:left="557"/>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7000</w:t>
            </w:r>
          </w:p>
        </w:tc>
        <w:tc>
          <w:tcPr>
            <w:tcW w:w="1536" w:type="dxa"/>
            <w:vAlign w:val="top"/>
          </w:tcPr>
          <w:p>
            <w:pPr>
              <w:pStyle w:val="TableText"/>
              <w:ind w:left="675"/>
              <w:spacing w:before="69" w:line="233" w:lineRule="auto"/>
              <w:rPr/>
            </w:pPr>
            <w:r>
              <w:rPr/>
              <w:t>是</w:t>
            </w:r>
          </w:p>
        </w:tc>
        <w:tc>
          <w:tcPr>
            <w:tcW w:w="4193" w:type="dxa"/>
            <w:vAlign w:val="top"/>
          </w:tcPr>
          <w:p>
            <w:pPr>
              <w:pStyle w:val="TableText"/>
              <w:ind w:left="119"/>
              <w:spacing w:before="68" w:line="229" w:lineRule="auto"/>
              <w:rPr/>
            </w:pPr>
            <w:r>
              <w:rPr>
                <w:spacing w:val="8"/>
              </w:rPr>
              <w:t>新建尚未投运，原用途为铜泥原料应急仓库</w:t>
            </w:r>
          </w:p>
        </w:tc>
      </w:tr>
      <w:tr>
        <w:trPr>
          <w:trHeight w:val="345" w:hRule="atLeast"/>
        </w:trPr>
        <w:tc>
          <w:tcPr>
            <w:tcW w:w="650" w:type="dxa"/>
            <w:vAlign w:val="top"/>
          </w:tcPr>
          <w:p>
            <w:pPr>
              <w:ind w:left="222"/>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23</w:t>
            </w:r>
          </w:p>
        </w:tc>
        <w:tc>
          <w:tcPr>
            <w:tcW w:w="2045" w:type="dxa"/>
            <w:vAlign w:val="top"/>
          </w:tcPr>
          <w:p>
            <w:pPr>
              <w:pStyle w:val="TableText"/>
              <w:ind w:left="510"/>
              <w:spacing w:before="69" w:line="231" w:lineRule="auto"/>
              <w:rPr/>
            </w:pPr>
            <w:r>
              <w:rPr>
                <w:spacing w:val="6"/>
              </w:rPr>
              <w:t>冶炼渣仓库</w:t>
            </w:r>
          </w:p>
        </w:tc>
        <w:tc>
          <w:tcPr>
            <w:tcW w:w="1528" w:type="dxa"/>
            <w:vAlign w:val="top"/>
          </w:tcPr>
          <w:p>
            <w:pPr>
              <w:ind w:left="55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2100</w:t>
            </w:r>
          </w:p>
        </w:tc>
        <w:tc>
          <w:tcPr>
            <w:tcW w:w="1536" w:type="dxa"/>
            <w:vAlign w:val="top"/>
          </w:tcPr>
          <w:p>
            <w:pPr>
              <w:pStyle w:val="TableText"/>
              <w:ind w:left="675"/>
              <w:spacing w:before="69" w:line="233" w:lineRule="auto"/>
              <w:rPr/>
            </w:pPr>
            <w:r>
              <w:rPr/>
              <w:t>是</w:t>
            </w:r>
          </w:p>
        </w:tc>
        <w:tc>
          <w:tcPr>
            <w:tcW w:w="4193" w:type="dxa"/>
            <w:vAlign w:val="top"/>
          </w:tcPr>
          <w:p>
            <w:pPr>
              <w:pStyle w:val="TableText"/>
              <w:ind w:left="960"/>
              <w:spacing w:before="69" w:line="229" w:lineRule="auto"/>
              <w:rPr/>
            </w:pPr>
            <w:r>
              <w:rPr>
                <w:spacing w:val="7"/>
              </w:rPr>
              <w:t>为铜渣选矿工艺原料仓库</w:t>
            </w:r>
          </w:p>
        </w:tc>
      </w:tr>
      <w:tr>
        <w:trPr>
          <w:trHeight w:val="345" w:hRule="atLeast"/>
        </w:trPr>
        <w:tc>
          <w:tcPr>
            <w:tcW w:w="650" w:type="dxa"/>
            <w:vAlign w:val="top"/>
          </w:tcPr>
          <w:p>
            <w:pPr>
              <w:ind w:left="222"/>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24</w:t>
            </w:r>
          </w:p>
        </w:tc>
        <w:tc>
          <w:tcPr>
            <w:tcW w:w="2045" w:type="dxa"/>
            <w:vAlign w:val="top"/>
          </w:tcPr>
          <w:p>
            <w:pPr>
              <w:pStyle w:val="TableText"/>
              <w:ind w:left="613"/>
              <w:spacing w:before="69" w:line="231" w:lineRule="auto"/>
              <w:rPr/>
            </w:pPr>
            <w:r>
              <w:rPr>
                <w:spacing w:val="5"/>
              </w:rPr>
              <w:t>炭精仓库</w:t>
            </w:r>
          </w:p>
        </w:tc>
        <w:tc>
          <w:tcPr>
            <w:tcW w:w="1528" w:type="dxa"/>
            <w:vAlign w:val="top"/>
          </w:tcPr>
          <w:p>
            <w:pPr>
              <w:ind w:left="574"/>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1950</w:t>
            </w:r>
          </w:p>
        </w:tc>
        <w:tc>
          <w:tcPr>
            <w:tcW w:w="1536" w:type="dxa"/>
            <w:vAlign w:val="top"/>
          </w:tcPr>
          <w:p>
            <w:pPr>
              <w:pStyle w:val="TableText"/>
              <w:ind w:left="675"/>
              <w:spacing w:before="70" w:line="233" w:lineRule="auto"/>
              <w:rPr/>
            </w:pPr>
            <w:r>
              <w:rPr/>
              <w:t>是</w:t>
            </w:r>
          </w:p>
        </w:tc>
        <w:tc>
          <w:tcPr>
            <w:tcW w:w="4193" w:type="dxa"/>
            <w:vAlign w:val="top"/>
          </w:tcPr>
          <w:p>
            <w:pPr>
              <w:ind w:left="2032"/>
              <w:spacing w:before="194"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2"/>
              </w:rPr>
              <w:t>--</w:t>
            </w:r>
          </w:p>
        </w:tc>
      </w:tr>
      <w:tr>
        <w:trPr>
          <w:trHeight w:val="345" w:hRule="atLeast"/>
        </w:trPr>
        <w:tc>
          <w:tcPr>
            <w:tcW w:w="650" w:type="dxa"/>
            <w:vAlign w:val="top"/>
          </w:tcPr>
          <w:p>
            <w:pPr>
              <w:ind w:left="222"/>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2045" w:type="dxa"/>
            <w:vAlign w:val="top"/>
          </w:tcPr>
          <w:p>
            <w:pPr>
              <w:pStyle w:val="TableText"/>
              <w:ind w:left="611"/>
              <w:spacing w:before="70" w:line="228" w:lineRule="auto"/>
              <w:rPr/>
            </w:pPr>
            <w:r>
              <w:rPr>
                <w:spacing w:val="5"/>
              </w:rPr>
              <w:t>磨浮车间</w:t>
            </w:r>
          </w:p>
        </w:tc>
        <w:tc>
          <w:tcPr>
            <w:tcW w:w="1528" w:type="dxa"/>
            <w:vAlign w:val="top"/>
          </w:tcPr>
          <w:p>
            <w:pPr>
              <w:ind w:left="444"/>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1605.66</w:t>
            </w:r>
          </w:p>
        </w:tc>
        <w:tc>
          <w:tcPr>
            <w:tcW w:w="1536" w:type="dxa"/>
            <w:vAlign w:val="top"/>
          </w:tcPr>
          <w:p>
            <w:pPr>
              <w:pStyle w:val="TableText"/>
              <w:ind w:left="675"/>
              <w:spacing w:before="70" w:line="233" w:lineRule="auto"/>
              <w:rPr/>
            </w:pPr>
            <w:r>
              <w:rPr/>
              <w:t>是</w:t>
            </w:r>
          </w:p>
        </w:tc>
        <w:tc>
          <w:tcPr>
            <w:tcW w:w="4193" w:type="dxa"/>
            <w:vAlign w:val="top"/>
            <w:vMerge w:val="restart"/>
            <w:tcBorders>
              <w:bottom w:val="nil"/>
            </w:tcBorders>
          </w:tcPr>
          <w:p>
            <w:pPr>
              <w:spacing w:line="353" w:lineRule="auto"/>
              <w:rPr>
                <w:rFonts w:ascii="Arial"/>
                <w:sz w:val="21"/>
              </w:rPr>
            </w:pPr>
            <w:r/>
          </w:p>
          <w:p>
            <w:pPr>
              <w:pStyle w:val="TableText"/>
              <w:ind w:left="1060"/>
              <w:spacing w:before="65" w:line="228" w:lineRule="auto"/>
              <w:rPr/>
            </w:pPr>
            <w:r>
              <w:rPr>
                <w:spacing w:val="8"/>
              </w:rPr>
              <w:t>铜渣选矿工艺附属车间</w:t>
            </w:r>
          </w:p>
        </w:tc>
      </w:tr>
      <w:tr>
        <w:trPr>
          <w:trHeight w:val="345" w:hRule="atLeast"/>
        </w:trPr>
        <w:tc>
          <w:tcPr>
            <w:tcW w:w="650" w:type="dxa"/>
            <w:vAlign w:val="top"/>
          </w:tcPr>
          <w:p>
            <w:pPr>
              <w:ind w:left="222"/>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26</w:t>
            </w:r>
          </w:p>
        </w:tc>
        <w:tc>
          <w:tcPr>
            <w:tcW w:w="2045" w:type="dxa"/>
            <w:vAlign w:val="top"/>
          </w:tcPr>
          <w:p>
            <w:pPr>
              <w:pStyle w:val="TableText"/>
              <w:ind w:left="298"/>
              <w:spacing w:before="70" w:line="228" w:lineRule="auto"/>
              <w:rPr/>
            </w:pPr>
            <w:r>
              <w:rPr>
                <w:spacing w:val="7"/>
              </w:rPr>
              <w:t>粉碎及筛分车间</w:t>
            </w:r>
          </w:p>
        </w:tc>
        <w:tc>
          <w:tcPr>
            <w:tcW w:w="1528" w:type="dxa"/>
            <w:vAlign w:val="top"/>
          </w:tcPr>
          <w:p>
            <w:pPr>
              <w:ind w:left="481"/>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964.68</w:t>
            </w:r>
          </w:p>
        </w:tc>
        <w:tc>
          <w:tcPr>
            <w:tcW w:w="1536" w:type="dxa"/>
            <w:vAlign w:val="top"/>
          </w:tcPr>
          <w:p>
            <w:pPr>
              <w:pStyle w:val="TableText"/>
              <w:ind w:left="675"/>
              <w:spacing w:before="70" w:line="233" w:lineRule="auto"/>
              <w:rPr/>
            </w:pPr>
            <w:r>
              <w:rPr/>
              <w:t>是</w:t>
            </w:r>
          </w:p>
        </w:tc>
        <w:tc>
          <w:tcPr>
            <w:tcW w:w="4193" w:type="dxa"/>
            <w:vAlign w:val="top"/>
            <w:vMerge w:val="continue"/>
            <w:tcBorders>
              <w:top w:val="nil"/>
              <w:bottom w:val="nil"/>
            </w:tcBorders>
          </w:tcPr>
          <w:p>
            <w:pPr>
              <w:rPr>
                <w:rFonts w:ascii="Arial"/>
                <w:sz w:val="21"/>
              </w:rPr>
            </w:pPr>
            <w:r/>
          </w:p>
        </w:tc>
      </w:tr>
      <w:tr>
        <w:trPr>
          <w:trHeight w:val="349" w:hRule="atLeast"/>
        </w:trPr>
        <w:tc>
          <w:tcPr>
            <w:tcW w:w="650" w:type="dxa"/>
            <w:vAlign w:val="top"/>
          </w:tcPr>
          <w:p>
            <w:pPr>
              <w:ind w:left="222"/>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27</w:t>
            </w:r>
          </w:p>
        </w:tc>
        <w:tc>
          <w:tcPr>
            <w:tcW w:w="2045" w:type="dxa"/>
            <w:vAlign w:val="top"/>
          </w:tcPr>
          <w:p>
            <w:pPr>
              <w:pStyle w:val="TableText"/>
              <w:ind w:left="611"/>
              <w:spacing w:before="71" w:line="228" w:lineRule="auto"/>
              <w:rPr/>
            </w:pPr>
            <w:r>
              <w:rPr>
                <w:spacing w:val="5"/>
              </w:rPr>
              <w:t>脱水车间</w:t>
            </w:r>
          </w:p>
        </w:tc>
        <w:tc>
          <w:tcPr>
            <w:tcW w:w="1528" w:type="dxa"/>
            <w:vAlign w:val="top"/>
          </w:tcPr>
          <w:p>
            <w:pPr>
              <w:ind w:left="444"/>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1340.46</w:t>
            </w:r>
          </w:p>
        </w:tc>
        <w:tc>
          <w:tcPr>
            <w:tcW w:w="1536" w:type="dxa"/>
            <w:vAlign w:val="top"/>
          </w:tcPr>
          <w:p>
            <w:pPr>
              <w:pStyle w:val="TableText"/>
              <w:ind w:left="675"/>
              <w:spacing w:before="71" w:line="233" w:lineRule="auto"/>
              <w:rPr/>
            </w:pPr>
            <w:r>
              <w:rPr/>
              <w:t>是</w:t>
            </w:r>
          </w:p>
        </w:tc>
        <w:tc>
          <w:tcPr>
            <w:tcW w:w="4193" w:type="dxa"/>
            <w:vAlign w:val="top"/>
            <w:vMerge w:val="continue"/>
            <w:tcBorders>
              <w:top w:val="nil"/>
            </w:tcBorders>
          </w:tcPr>
          <w:p>
            <w:pPr>
              <w:rPr>
                <w:rFonts w:ascii="Arial"/>
                <w:sz w:val="21"/>
              </w:rPr>
            </w:pPr>
            <w:r/>
          </w:p>
        </w:tc>
      </w:tr>
    </w:tbl>
    <w:p>
      <w:pPr>
        <w:rPr>
          <w:rFonts w:ascii="Arial"/>
          <w:sz w:val="21"/>
        </w:rPr>
      </w:pPr>
      <w:r/>
    </w:p>
    <w:p>
      <w:pPr>
        <w:sectPr>
          <w:headerReference w:type="default" r:id="rId74"/>
          <w:footerReference w:type="default" r:id="rId82"/>
          <w:pgSz w:w="11906" w:h="16839"/>
          <w:pgMar w:top="1139" w:right="981" w:bottom="1252" w:left="967" w:header="831" w:footer="1090" w:gutter="0"/>
        </w:sectPr>
        <w:rPr>
          <w:rFonts w:ascii="Arial" w:hAnsi="Arial" w:eastAsia="Arial" w:cs="Arial"/>
          <w:sz w:val="21"/>
          <w:szCs w:val="21"/>
        </w:rPr>
      </w:pPr>
    </w:p>
    <w:p>
      <w:pPr>
        <w:spacing w:line="298" w:lineRule="auto"/>
        <w:rPr>
          <w:rFonts w:ascii="Arial"/>
          <w:sz w:val="21"/>
        </w:rPr>
      </w:pPr>
      <w:r/>
    </w:p>
    <w:p>
      <w:pPr>
        <w:ind w:firstLine="2"/>
        <w:spacing w:line="8760" w:lineRule="exact"/>
        <w:rPr/>
      </w:pPr>
      <w:r>
        <w:rPr>
          <w:position w:val="-175"/>
        </w:rPr>
        <w:drawing>
          <wp:inline distT="0" distB="0" distL="0" distR="0">
            <wp:extent cx="6185915" cy="5562600"/>
            <wp:effectExtent l="0" t="0" r="0" b="0"/>
            <wp:docPr id="56" name="IM 56"/>
            <wp:cNvGraphicFramePr/>
            <a:graphic>
              <a:graphicData uri="http://schemas.openxmlformats.org/drawingml/2006/picture">
                <pic:pic>
                  <pic:nvPicPr>
                    <pic:cNvPr id="56" name="IM 56"/>
                    <pic:cNvPicPr/>
                  </pic:nvPicPr>
                  <pic:blipFill>
                    <a:blip r:embed="rId85"/>
                    <a:stretch>
                      <a:fillRect/>
                    </a:stretch>
                  </pic:blipFill>
                  <pic:spPr>
                    <a:xfrm rot="0">
                      <a:off x="0" y="0"/>
                      <a:ext cx="6185915" cy="5562600"/>
                    </a:xfrm>
                    <a:prstGeom prst="rect">
                      <a:avLst/>
                    </a:prstGeom>
                  </pic:spPr>
                </pic:pic>
              </a:graphicData>
            </a:graphic>
          </wp:inline>
        </w:drawing>
      </w:r>
    </w:p>
    <w:p>
      <w:pPr>
        <w:pStyle w:val="BodyText"/>
        <w:ind w:left="3099"/>
        <w:spacing w:before="114" w:line="220" w:lineRule="auto"/>
        <w:rPr>
          <w:rFonts w:ascii="FangSong" w:hAnsi="FangSong" w:eastAsia="FangSong" w:cs="FangSong"/>
          <w:sz w:val="24"/>
          <w:szCs w:val="24"/>
        </w:rPr>
      </w:pPr>
      <w:r>
        <w:rPr>
          <w:rFonts w:ascii="FangSong" w:hAnsi="FangSong" w:eastAsia="FangSong" w:cs="FangSong"/>
          <w:sz w:val="24"/>
          <w:szCs w:val="24"/>
          <w:b/>
          <w:bCs/>
          <w:spacing w:val="-4"/>
        </w:rPr>
        <w:t>图</w:t>
      </w:r>
      <w:r>
        <w:rPr>
          <w:rFonts w:ascii="FangSong" w:hAnsi="FangSong" w:eastAsia="FangSong" w:cs="FangSong"/>
          <w:sz w:val="24"/>
          <w:szCs w:val="24"/>
          <w:spacing w:val="-4"/>
        </w:rPr>
        <w:t xml:space="preserve"> </w:t>
      </w:r>
      <w:r>
        <w:rPr>
          <w:sz w:val="24"/>
          <w:szCs w:val="24"/>
          <w:b/>
          <w:bCs/>
          <w:spacing w:val="-4"/>
        </w:rPr>
        <w:t>4.3-1  </w:t>
      </w:r>
      <w:r>
        <w:rPr>
          <w:rFonts w:ascii="FangSong" w:hAnsi="FangSong" w:eastAsia="FangSong" w:cs="FangSong"/>
          <w:sz w:val="24"/>
          <w:szCs w:val="24"/>
          <w:b/>
          <w:bCs/>
          <w:spacing w:val="-4"/>
        </w:rPr>
        <w:t>厂区平面布置卫星影像图</w:t>
      </w:r>
    </w:p>
    <w:p>
      <w:pPr>
        <w:pStyle w:val="BodyText"/>
        <w:ind w:left="499"/>
        <w:spacing w:before="182" w:line="219" w:lineRule="auto"/>
        <w:rPr>
          <w:rFonts w:ascii="FangSong" w:hAnsi="FangSong" w:eastAsia="FangSong" w:cs="FangSong"/>
          <w:sz w:val="24"/>
          <w:szCs w:val="24"/>
        </w:rPr>
      </w:pPr>
      <w:r>
        <w:rPr>
          <w:rFonts w:ascii="FangSong" w:hAnsi="FangSong" w:eastAsia="FangSong" w:cs="FangSong"/>
          <w:sz w:val="24"/>
          <w:szCs w:val="24"/>
          <w:spacing w:val="-1"/>
        </w:rPr>
        <w:t>企业现场照片见表</w:t>
      </w:r>
      <w:r>
        <w:rPr>
          <w:sz w:val="24"/>
          <w:szCs w:val="24"/>
          <w:spacing w:val="-1"/>
        </w:rPr>
        <w:t>4.3-2</w:t>
      </w:r>
      <w:r>
        <w:rPr>
          <w:sz w:val="24"/>
          <w:szCs w:val="24"/>
          <w:spacing w:val="-27"/>
        </w:rPr>
        <w:t xml:space="preserve"> </w:t>
      </w:r>
      <w:r>
        <w:rPr>
          <w:rFonts w:ascii="FangSong" w:hAnsi="FangSong" w:eastAsia="FangSong" w:cs="FangSong"/>
          <w:sz w:val="24"/>
          <w:szCs w:val="24"/>
          <w:spacing w:val="-1"/>
        </w:rPr>
        <w:t>，其中重点区域包括废弃物提纯车间、</w:t>
      </w:r>
      <w:r>
        <w:rPr>
          <w:rFonts w:ascii="FangSong" w:hAnsi="FangSong" w:eastAsia="FangSong" w:cs="FangSong"/>
          <w:sz w:val="24"/>
          <w:szCs w:val="24"/>
          <w:spacing w:val="-2"/>
        </w:rPr>
        <w:t>制球车间、原料仓库等。</w:t>
      </w:r>
    </w:p>
    <w:p>
      <w:pPr>
        <w:pStyle w:val="BodyText"/>
        <w:ind w:left="3680"/>
        <w:spacing w:before="182" w:line="223" w:lineRule="auto"/>
        <w:rPr>
          <w:rFonts w:ascii="FangSong" w:hAnsi="FangSong" w:eastAsia="FangSong" w:cs="FangSong"/>
          <w:sz w:val="24"/>
          <w:szCs w:val="24"/>
        </w:rPr>
      </w:pPr>
      <w:r>
        <w:rPr>
          <w:rFonts w:ascii="FangSong" w:hAnsi="FangSong" w:eastAsia="FangSong" w:cs="FangSong"/>
          <w:sz w:val="24"/>
          <w:szCs w:val="24"/>
          <w:b/>
          <w:bCs/>
          <w:spacing w:val="-2"/>
        </w:rPr>
        <w:t>表</w:t>
      </w:r>
      <w:r>
        <w:rPr>
          <w:sz w:val="24"/>
          <w:szCs w:val="24"/>
          <w:b/>
          <w:bCs/>
          <w:spacing w:val="-2"/>
        </w:rPr>
        <w:t>4.3-2    </w:t>
      </w:r>
      <w:r>
        <w:rPr>
          <w:rFonts w:ascii="FangSong" w:hAnsi="FangSong" w:eastAsia="FangSong" w:cs="FangSong"/>
          <w:sz w:val="24"/>
          <w:szCs w:val="24"/>
          <w:b/>
          <w:bCs/>
          <w:spacing w:val="-2"/>
        </w:rPr>
        <w:t>企业现场照片</w:t>
      </w:r>
    </w:p>
    <w:p>
      <w:pPr>
        <w:spacing w:line="166" w:lineRule="exact"/>
        <w:rPr/>
      </w:pPr>
      <w:r/>
    </w:p>
    <w:tbl>
      <w:tblPr>
        <w:tblStyle w:val="TableNormal"/>
        <w:tblW w:w="983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9"/>
        <w:gridCol w:w="3756"/>
        <w:gridCol w:w="998"/>
        <w:gridCol w:w="3982"/>
      </w:tblGrid>
      <w:tr>
        <w:trPr>
          <w:trHeight w:val="341" w:hRule="atLeast"/>
        </w:trPr>
        <w:tc>
          <w:tcPr>
            <w:tcW w:w="1099" w:type="dxa"/>
            <w:vAlign w:val="top"/>
          </w:tcPr>
          <w:p>
            <w:pPr>
              <w:pStyle w:val="TableText"/>
              <w:ind w:left="365"/>
              <w:spacing w:before="65" w:line="232" w:lineRule="auto"/>
              <w:rPr/>
            </w:pPr>
            <w:r>
              <w:rPr>
                <w:b/>
                <w:bCs/>
                <w:spacing w:val="-8"/>
              </w:rPr>
              <w:t>区域</w:t>
            </w:r>
          </w:p>
        </w:tc>
        <w:tc>
          <w:tcPr>
            <w:tcW w:w="3756" w:type="dxa"/>
            <w:vAlign w:val="top"/>
          </w:tcPr>
          <w:p>
            <w:pPr>
              <w:pStyle w:val="TableText"/>
              <w:ind w:left="1465"/>
              <w:spacing w:before="64" w:line="232" w:lineRule="auto"/>
              <w:rPr/>
            </w:pPr>
            <w:r>
              <w:rPr>
                <w:b/>
                <w:bCs/>
                <w:spacing w:val="5"/>
              </w:rPr>
              <w:t>现场照片</w:t>
            </w:r>
          </w:p>
        </w:tc>
        <w:tc>
          <w:tcPr>
            <w:tcW w:w="998" w:type="dxa"/>
            <w:vAlign w:val="top"/>
          </w:tcPr>
          <w:p>
            <w:pPr>
              <w:pStyle w:val="TableText"/>
              <w:ind w:left="317"/>
              <w:spacing w:before="65" w:line="232" w:lineRule="auto"/>
              <w:rPr/>
            </w:pPr>
            <w:r>
              <w:rPr>
                <w:b/>
                <w:bCs/>
                <w:spacing w:val="-8"/>
              </w:rPr>
              <w:t>区域</w:t>
            </w:r>
          </w:p>
        </w:tc>
        <w:tc>
          <w:tcPr>
            <w:tcW w:w="3982" w:type="dxa"/>
            <w:vAlign w:val="top"/>
          </w:tcPr>
          <w:p>
            <w:pPr>
              <w:pStyle w:val="TableText"/>
              <w:ind w:left="1580"/>
              <w:spacing w:before="64" w:line="232" w:lineRule="auto"/>
              <w:rPr/>
            </w:pPr>
            <w:r>
              <w:rPr>
                <w:b/>
                <w:bCs/>
                <w:spacing w:val="5"/>
              </w:rPr>
              <w:t>现场照片</w:t>
            </w:r>
          </w:p>
        </w:tc>
      </w:tr>
      <w:tr>
        <w:trPr>
          <w:trHeight w:val="2804" w:hRule="atLeast"/>
        </w:trPr>
        <w:tc>
          <w:tcPr>
            <w:tcW w:w="1099" w:type="dxa"/>
            <w:vAlign w:val="top"/>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37"/>
              <w:spacing w:before="65" w:line="229" w:lineRule="auto"/>
              <w:rPr/>
            </w:pPr>
            <w:r>
              <w:rPr>
                <w:spacing w:val="6"/>
              </w:rPr>
              <w:t>废弃物提纯</w:t>
            </w:r>
          </w:p>
          <w:p>
            <w:pPr>
              <w:pStyle w:val="TableText"/>
              <w:ind w:left="354"/>
              <w:spacing w:before="63" w:line="228" w:lineRule="auto"/>
              <w:rPr/>
            </w:pPr>
            <w:r>
              <w:rPr>
                <w:spacing w:val="-1"/>
              </w:rPr>
              <w:t>车间</w:t>
            </w:r>
          </w:p>
        </w:tc>
        <w:tc>
          <w:tcPr>
            <w:tcW w:w="3756" w:type="dxa"/>
            <w:vAlign w:val="top"/>
          </w:tcPr>
          <w:p>
            <w:pPr>
              <w:ind w:firstLine="148"/>
              <w:spacing w:before="113" w:line="2578" w:lineRule="exact"/>
              <w:rPr/>
            </w:pPr>
            <w:r>
              <w:rPr>
                <w:position w:val="-51"/>
              </w:rPr>
              <w:drawing>
                <wp:inline distT="0" distB="0" distL="0" distR="0">
                  <wp:extent cx="2182367" cy="1636776"/>
                  <wp:effectExtent l="0" t="0" r="0" b="0"/>
                  <wp:docPr id="58" name="IM 58"/>
                  <wp:cNvGraphicFramePr/>
                  <a:graphic>
                    <a:graphicData uri="http://schemas.openxmlformats.org/drawingml/2006/picture">
                      <pic:pic>
                        <pic:nvPicPr>
                          <pic:cNvPr id="58" name="IM 58"/>
                          <pic:cNvPicPr/>
                        </pic:nvPicPr>
                        <pic:blipFill>
                          <a:blip r:embed="rId86"/>
                          <a:stretch>
                            <a:fillRect/>
                          </a:stretch>
                        </pic:blipFill>
                        <pic:spPr>
                          <a:xfrm rot="0">
                            <a:off x="0" y="0"/>
                            <a:ext cx="2182367" cy="1636776"/>
                          </a:xfrm>
                          <a:prstGeom prst="rect">
                            <a:avLst/>
                          </a:prstGeom>
                        </pic:spPr>
                      </pic:pic>
                    </a:graphicData>
                  </a:graphic>
                </wp:inline>
              </w:drawing>
            </w:r>
          </w:p>
        </w:tc>
        <w:tc>
          <w:tcPr>
            <w:tcW w:w="998" w:type="dxa"/>
            <w:vAlign w:val="top"/>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10"/>
              <w:spacing w:before="62" w:line="229" w:lineRule="auto"/>
              <w:rPr>
                <w:sz w:val="19"/>
                <w:szCs w:val="19"/>
              </w:rPr>
            </w:pPr>
            <w:r>
              <w:rPr>
                <w:sz w:val="19"/>
                <w:szCs w:val="19"/>
                <w:spacing w:val="6"/>
              </w:rPr>
              <w:t>铜料仓库</w:t>
            </w:r>
          </w:p>
        </w:tc>
        <w:tc>
          <w:tcPr>
            <w:tcW w:w="3982" w:type="dxa"/>
            <w:vAlign w:val="top"/>
          </w:tcPr>
          <w:p>
            <w:pPr>
              <w:spacing w:before="187" w:line="2407" w:lineRule="exact"/>
              <w:rPr/>
            </w:pPr>
            <w:r>
              <w:rPr>
                <w:position w:val="-48"/>
              </w:rPr>
              <w:drawing>
                <wp:inline distT="0" distB="0" distL="0" distR="0">
                  <wp:extent cx="2523744" cy="1528572"/>
                  <wp:effectExtent l="0" t="0" r="0" b="0"/>
                  <wp:docPr id="60" name="IM 60"/>
                  <wp:cNvGraphicFramePr/>
                  <a:graphic>
                    <a:graphicData uri="http://schemas.openxmlformats.org/drawingml/2006/picture">
                      <pic:pic>
                        <pic:nvPicPr>
                          <pic:cNvPr id="60" name="IM 60"/>
                          <pic:cNvPicPr/>
                        </pic:nvPicPr>
                        <pic:blipFill>
                          <a:blip r:embed="rId87"/>
                          <a:stretch>
                            <a:fillRect/>
                          </a:stretch>
                        </pic:blipFill>
                        <pic:spPr>
                          <a:xfrm rot="0">
                            <a:off x="0" y="0"/>
                            <a:ext cx="2523744" cy="1528572"/>
                          </a:xfrm>
                          <a:prstGeom prst="rect">
                            <a:avLst/>
                          </a:prstGeom>
                        </pic:spPr>
                      </pic:pic>
                    </a:graphicData>
                  </a:graphic>
                </wp:inline>
              </w:drawing>
            </w:r>
          </w:p>
        </w:tc>
      </w:tr>
    </w:tbl>
    <w:p>
      <w:pPr>
        <w:rPr>
          <w:rFonts w:ascii="Arial"/>
          <w:sz w:val="21"/>
        </w:rPr>
      </w:pPr>
      <w:r/>
    </w:p>
    <w:p>
      <w:pPr>
        <w:sectPr>
          <w:headerReference w:type="default" r:id="rId83"/>
          <w:footerReference w:type="default" r:id="rId84"/>
          <w:pgSz w:w="11906" w:h="16839"/>
          <w:pgMar w:top="1139" w:right="987" w:bottom="1252" w:left="1077" w:header="831" w:footer="1090" w:gutter="0"/>
        </w:sectPr>
        <w:rPr>
          <w:rFonts w:ascii="Arial" w:hAnsi="Arial" w:eastAsia="Arial" w:cs="Arial"/>
          <w:sz w:val="21"/>
          <w:szCs w:val="21"/>
        </w:rPr>
      </w:pPr>
    </w:p>
    <w:p>
      <w:pPr>
        <w:spacing w:before="58"/>
        <w:rPr/>
      </w:pPr>
      <w:r/>
    </w:p>
    <w:tbl>
      <w:tblPr>
        <w:tblStyle w:val="TableNormal"/>
        <w:tblW w:w="983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9"/>
        <w:gridCol w:w="3756"/>
        <w:gridCol w:w="998"/>
        <w:gridCol w:w="3982"/>
      </w:tblGrid>
      <w:tr>
        <w:trPr>
          <w:trHeight w:val="342" w:hRule="atLeast"/>
        </w:trPr>
        <w:tc>
          <w:tcPr>
            <w:tcW w:w="1099" w:type="dxa"/>
            <w:vAlign w:val="top"/>
          </w:tcPr>
          <w:p>
            <w:pPr>
              <w:pStyle w:val="TableText"/>
              <w:ind w:left="365"/>
              <w:spacing w:before="66" w:line="232" w:lineRule="auto"/>
              <w:rPr/>
            </w:pPr>
            <w:r>
              <w:rPr>
                <w:b/>
                <w:bCs/>
                <w:spacing w:val="-8"/>
              </w:rPr>
              <w:t>区域</w:t>
            </w:r>
          </w:p>
        </w:tc>
        <w:tc>
          <w:tcPr>
            <w:tcW w:w="3756" w:type="dxa"/>
            <w:vAlign w:val="top"/>
          </w:tcPr>
          <w:p>
            <w:pPr>
              <w:pStyle w:val="TableText"/>
              <w:ind w:left="1465"/>
              <w:spacing w:before="65" w:line="232" w:lineRule="auto"/>
              <w:rPr/>
            </w:pPr>
            <w:r>
              <w:rPr>
                <w:b/>
                <w:bCs/>
                <w:spacing w:val="5"/>
              </w:rPr>
              <w:t>现场照片</w:t>
            </w:r>
          </w:p>
        </w:tc>
        <w:tc>
          <w:tcPr>
            <w:tcW w:w="998" w:type="dxa"/>
            <w:vAlign w:val="top"/>
          </w:tcPr>
          <w:p>
            <w:pPr>
              <w:pStyle w:val="TableText"/>
              <w:ind w:left="317"/>
              <w:spacing w:before="66" w:line="232" w:lineRule="auto"/>
              <w:rPr/>
            </w:pPr>
            <w:r>
              <w:rPr>
                <w:b/>
                <w:bCs/>
                <w:spacing w:val="-8"/>
              </w:rPr>
              <w:t>区域</w:t>
            </w:r>
          </w:p>
        </w:tc>
        <w:tc>
          <w:tcPr>
            <w:tcW w:w="3982" w:type="dxa"/>
            <w:vAlign w:val="top"/>
          </w:tcPr>
          <w:p>
            <w:pPr>
              <w:pStyle w:val="TableText"/>
              <w:ind w:left="1580"/>
              <w:spacing w:before="65" w:line="232" w:lineRule="auto"/>
              <w:rPr/>
            </w:pPr>
            <w:r>
              <w:rPr>
                <w:b/>
                <w:bCs/>
                <w:spacing w:val="5"/>
              </w:rPr>
              <w:t>现场照片</w:t>
            </w:r>
          </w:p>
        </w:tc>
      </w:tr>
      <w:tr>
        <w:trPr>
          <w:trHeight w:val="2807" w:hRule="atLeast"/>
        </w:trPr>
        <w:tc>
          <w:tcPr>
            <w:tcW w:w="1099" w:type="dxa"/>
            <w:vAlign w:val="top"/>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62"/>
              <w:spacing w:before="61" w:line="228" w:lineRule="auto"/>
              <w:rPr>
                <w:sz w:val="19"/>
                <w:szCs w:val="19"/>
              </w:rPr>
            </w:pPr>
            <w:r>
              <w:rPr>
                <w:sz w:val="19"/>
                <w:szCs w:val="19"/>
                <w:spacing w:val="6"/>
              </w:rPr>
              <w:t>原制球车间</w:t>
            </w:r>
          </w:p>
        </w:tc>
        <w:tc>
          <w:tcPr>
            <w:tcW w:w="3756" w:type="dxa"/>
            <w:vAlign w:val="top"/>
          </w:tcPr>
          <w:p>
            <w:pPr>
              <w:spacing w:before="156" w:line="2487" w:lineRule="exact"/>
              <w:rPr/>
            </w:pPr>
            <w:r>
              <w:rPr>
                <w:position w:val="-49"/>
              </w:rPr>
              <w:drawing>
                <wp:inline distT="0" distB="0" distL="0" distR="0">
                  <wp:extent cx="2372867" cy="1578864"/>
                  <wp:effectExtent l="0" t="0" r="0" b="0"/>
                  <wp:docPr id="62" name="IM 62"/>
                  <wp:cNvGraphicFramePr/>
                  <a:graphic>
                    <a:graphicData uri="http://schemas.openxmlformats.org/drawingml/2006/picture">
                      <pic:pic>
                        <pic:nvPicPr>
                          <pic:cNvPr id="62" name="IM 62"/>
                          <pic:cNvPicPr/>
                        </pic:nvPicPr>
                        <pic:blipFill>
                          <a:blip r:embed="rId89"/>
                          <a:stretch>
                            <a:fillRect/>
                          </a:stretch>
                        </pic:blipFill>
                        <pic:spPr>
                          <a:xfrm rot="0">
                            <a:off x="0" y="0"/>
                            <a:ext cx="2372867" cy="1578864"/>
                          </a:xfrm>
                          <a:prstGeom prst="rect">
                            <a:avLst/>
                          </a:prstGeom>
                        </pic:spPr>
                      </pic:pic>
                    </a:graphicData>
                  </a:graphic>
                </wp:inline>
              </w:drawing>
            </w:r>
          </w:p>
        </w:tc>
        <w:tc>
          <w:tcPr>
            <w:tcW w:w="998" w:type="dxa"/>
            <w:vAlign w:val="top"/>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90"/>
              <w:spacing w:before="65" w:line="232" w:lineRule="auto"/>
              <w:rPr/>
            </w:pPr>
            <w:r>
              <w:rPr>
                <w:spacing w:val="5"/>
              </w:rPr>
              <w:t>初期雨水</w:t>
            </w:r>
          </w:p>
          <w:p>
            <w:pPr>
              <w:pStyle w:val="TableText"/>
              <w:ind w:left="409"/>
              <w:spacing w:before="60" w:line="242" w:lineRule="auto"/>
              <w:rPr/>
            </w:pPr>
            <w:r>
              <w:rPr/>
              <w:t>池</w:t>
            </w:r>
          </w:p>
        </w:tc>
        <w:tc>
          <w:tcPr>
            <w:tcW w:w="3982" w:type="dxa"/>
            <w:vAlign w:val="top"/>
          </w:tcPr>
          <w:p>
            <w:pPr>
              <w:ind w:firstLine="278"/>
              <w:spacing w:before="111" w:line="2551" w:lineRule="exact"/>
              <w:rPr/>
            </w:pPr>
            <w:r>
              <w:rPr>
                <w:position w:val="-51"/>
              </w:rPr>
              <w:drawing>
                <wp:inline distT="0" distB="0" distL="0" distR="0">
                  <wp:extent cx="2159508" cy="1620011"/>
                  <wp:effectExtent l="0" t="0" r="0" b="0"/>
                  <wp:docPr id="64" name="IM 64"/>
                  <wp:cNvGraphicFramePr/>
                  <a:graphic>
                    <a:graphicData uri="http://schemas.openxmlformats.org/drawingml/2006/picture">
                      <pic:pic>
                        <pic:nvPicPr>
                          <pic:cNvPr id="64" name="IM 64"/>
                          <pic:cNvPicPr/>
                        </pic:nvPicPr>
                        <pic:blipFill>
                          <a:blip r:embed="rId90"/>
                          <a:stretch>
                            <a:fillRect/>
                          </a:stretch>
                        </pic:blipFill>
                        <pic:spPr>
                          <a:xfrm rot="0">
                            <a:off x="0" y="0"/>
                            <a:ext cx="2159508" cy="1620011"/>
                          </a:xfrm>
                          <a:prstGeom prst="rect">
                            <a:avLst/>
                          </a:prstGeom>
                        </pic:spPr>
                      </pic:pic>
                    </a:graphicData>
                  </a:graphic>
                </wp:inline>
              </w:drawing>
            </w:r>
          </w:p>
        </w:tc>
      </w:tr>
      <w:tr>
        <w:trPr>
          <w:trHeight w:val="2807" w:hRule="atLeast"/>
        </w:trPr>
        <w:tc>
          <w:tcPr>
            <w:tcW w:w="1099"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pStyle w:val="TableText"/>
              <w:ind w:left="142"/>
              <w:spacing w:before="65" w:line="229" w:lineRule="auto"/>
              <w:rPr/>
            </w:pPr>
            <w:r>
              <w:rPr>
                <w:spacing w:val="4"/>
              </w:rPr>
              <w:t>原料仓库</w:t>
            </w:r>
          </w:p>
        </w:tc>
        <w:tc>
          <w:tcPr>
            <w:tcW w:w="3756" w:type="dxa"/>
            <w:vAlign w:val="top"/>
          </w:tcPr>
          <w:p>
            <w:pPr>
              <w:ind w:firstLine="134"/>
              <w:spacing w:before="97" w:line="2609" w:lineRule="exact"/>
              <w:rPr/>
            </w:pPr>
            <w:r>
              <w:rPr>
                <w:position w:val="-52"/>
              </w:rPr>
              <w:drawing>
                <wp:inline distT="0" distB="0" distL="0" distR="0">
                  <wp:extent cx="2208275" cy="1656587"/>
                  <wp:effectExtent l="0" t="0" r="0" b="0"/>
                  <wp:docPr id="66" name="IM 66"/>
                  <wp:cNvGraphicFramePr/>
                  <a:graphic>
                    <a:graphicData uri="http://schemas.openxmlformats.org/drawingml/2006/picture">
                      <pic:pic>
                        <pic:nvPicPr>
                          <pic:cNvPr id="66" name="IM 66"/>
                          <pic:cNvPicPr/>
                        </pic:nvPicPr>
                        <pic:blipFill>
                          <a:blip r:embed="rId91"/>
                          <a:stretch>
                            <a:fillRect/>
                          </a:stretch>
                        </pic:blipFill>
                        <pic:spPr>
                          <a:xfrm rot="0">
                            <a:off x="0" y="0"/>
                            <a:ext cx="2208275" cy="1656587"/>
                          </a:xfrm>
                          <a:prstGeom prst="rect">
                            <a:avLst/>
                          </a:prstGeom>
                        </pic:spPr>
                      </pic:pic>
                    </a:graphicData>
                  </a:graphic>
                </wp:inline>
              </w:drawing>
            </w:r>
          </w:p>
        </w:tc>
        <w:tc>
          <w:tcPr>
            <w:tcW w:w="998" w:type="dxa"/>
            <w:vAlign w:val="top"/>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196" w:right="78" w:hanging="103"/>
              <w:spacing w:before="65" w:line="287" w:lineRule="auto"/>
              <w:rPr/>
            </w:pPr>
            <w:r>
              <w:rPr>
                <w:spacing w:val="5"/>
              </w:rPr>
              <w:t>逆流烘干</w:t>
            </w:r>
            <w:r>
              <w:rPr/>
              <w:t xml:space="preserve"> </w:t>
            </w:r>
            <w:r>
              <w:rPr>
                <w:spacing w:val="3"/>
              </w:rPr>
              <w:t>炉车间</w:t>
            </w:r>
          </w:p>
        </w:tc>
        <w:tc>
          <w:tcPr>
            <w:tcW w:w="3982" w:type="dxa"/>
            <w:vAlign w:val="top"/>
          </w:tcPr>
          <w:p>
            <w:pPr>
              <w:ind w:firstLine="70"/>
              <w:spacing w:before="97" w:line="2609" w:lineRule="exact"/>
              <w:rPr/>
            </w:pPr>
            <w:r>
              <w:rPr>
                <w:position w:val="-52"/>
              </w:rPr>
              <w:drawing>
                <wp:inline distT="0" distB="0" distL="0" distR="0">
                  <wp:extent cx="2427732" cy="1656587"/>
                  <wp:effectExtent l="0" t="0" r="0" b="0"/>
                  <wp:docPr id="68" name="IM 68"/>
                  <wp:cNvGraphicFramePr/>
                  <a:graphic>
                    <a:graphicData uri="http://schemas.openxmlformats.org/drawingml/2006/picture">
                      <pic:pic>
                        <pic:nvPicPr>
                          <pic:cNvPr id="68" name="IM 68"/>
                          <pic:cNvPicPr/>
                        </pic:nvPicPr>
                        <pic:blipFill>
                          <a:blip r:embed="rId92"/>
                          <a:stretch>
                            <a:fillRect/>
                          </a:stretch>
                        </pic:blipFill>
                        <pic:spPr>
                          <a:xfrm rot="0">
                            <a:off x="0" y="0"/>
                            <a:ext cx="2427732" cy="1656587"/>
                          </a:xfrm>
                          <a:prstGeom prst="rect">
                            <a:avLst/>
                          </a:prstGeom>
                        </pic:spPr>
                      </pic:pic>
                    </a:graphicData>
                  </a:graphic>
                </wp:inline>
              </w:drawing>
            </w:r>
          </w:p>
        </w:tc>
      </w:tr>
      <w:tr>
        <w:trPr>
          <w:trHeight w:val="2806" w:hRule="atLeast"/>
        </w:trPr>
        <w:tc>
          <w:tcPr>
            <w:tcW w:w="1099" w:type="dxa"/>
            <w:vAlign w:val="top"/>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35"/>
              <w:spacing w:before="65" w:line="232" w:lineRule="auto"/>
              <w:rPr/>
            </w:pPr>
            <w:r>
              <w:rPr>
                <w:spacing w:val="7"/>
              </w:rPr>
              <w:t>脱硫废水处</w:t>
            </w:r>
          </w:p>
          <w:p>
            <w:pPr>
              <w:pStyle w:val="TableText"/>
              <w:ind w:left="351"/>
              <w:spacing w:before="60" w:line="242" w:lineRule="auto"/>
              <w:rPr/>
            </w:pPr>
            <w:r>
              <w:rPr>
                <w:spacing w:val="1"/>
              </w:rPr>
              <w:t>理区</w:t>
            </w:r>
          </w:p>
        </w:tc>
        <w:tc>
          <w:tcPr>
            <w:tcW w:w="3756" w:type="dxa"/>
            <w:vAlign w:val="top"/>
          </w:tcPr>
          <w:p>
            <w:pPr>
              <w:ind w:firstLine="134"/>
              <w:spacing w:before="98" w:line="2609" w:lineRule="exact"/>
              <w:rPr/>
            </w:pPr>
            <w:r>
              <w:rPr>
                <w:position w:val="-52"/>
              </w:rPr>
              <w:drawing>
                <wp:inline distT="0" distB="0" distL="0" distR="0">
                  <wp:extent cx="2208275" cy="1656587"/>
                  <wp:effectExtent l="0" t="0" r="0" b="0"/>
                  <wp:docPr id="70" name="IM 70"/>
                  <wp:cNvGraphicFramePr/>
                  <a:graphic>
                    <a:graphicData uri="http://schemas.openxmlformats.org/drawingml/2006/picture">
                      <pic:pic>
                        <pic:nvPicPr>
                          <pic:cNvPr id="70" name="IM 70"/>
                          <pic:cNvPicPr/>
                        </pic:nvPicPr>
                        <pic:blipFill>
                          <a:blip r:embed="rId93"/>
                          <a:stretch>
                            <a:fillRect/>
                          </a:stretch>
                        </pic:blipFill>
                        <pic:spPr>
                          <a:xfrm rot="0">
                            <a:off x="0" y="0"/>
                            <a:ext cx="2208275" cy="1656587"/>
                          </a:xfrm>
                          <a:prstGeom prst="rect">
                            <a:avLst/>
                          </a:prstGeom>
                        </pic:spPr>
                      </pic:pic>
                    </a:graphicData>
                  </a:graphic>
                </wp:inline>
              </w:drawing>
            </w:r>
          </w:p>
        </w:tc>
        <w:tc>
          <w:tcPr>
            <w:tcW w:w="998" w:type="dxa"/>
            <w:vAlign w:val="top"/>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93"/>
              <w:spacing w:before="65" w:line="233" w:lineRule="auto"/>
              <w:rPr/>
            </w:pPr>
            <w:r>
              <w:rPr>
                <w:spacing w:val="5"/>
              </w:rPr>
              <w:t>废气处理</w:t>
            </w:r>
          </w:p>
          <w:p>
            <w:pPr>
              <w:pStyle w:val="TableText"/>
              <w:ind w:left="422"/>
              <w:spacing w:before="59" w:line="242" w:lineRule="auto"/>
              <w:rPr/>
            </w:pPr>
            <w:r>
              <w:rPr/>
              <w:t>区</w:t>
            </w:r>
          </w:p>
        </w:tc>
        <w:tc>
          <w:tcPr>
            <w:tcW w:w="3982" w:type="dxa"/>
            <w:vAlign w:val="top"/>
          </w:tcPr>
          <w:p>
            <w:pPr>
              <w:ind w:firstLine="70"/>
              <w:spacing w:before="98" w:line="2609" w:lineRule="exact"/>
              <w:rPr/>
            </w:pPr>
            <w:r>
              <w:rPr>
                <w:position w:val="-52"/>
              </w:rPr>
              <w:drawing>
                <wp:inline distT="0" distB="0" distL="0" distR="0">
                  <wp:extent cx="2423160" cy="1656587"/>
                  <wp:effectExtent l="0" t="0" r="0" b="0"/>
                  <wp:docPr id="72" name="IM 72"/>
                  <wp:cNvGraphicFramePr/>
                  <a:graphic>
                    <a:graphicData uri="http://schemas.openxmlformats.org/drawingml/2006/picture">
                      <pic:pic>
                        <pic:nvPicPr>
                          <pic:cNvPr id="72" name="IM 72"/>
                          <pic:cNvPicPr/>
                        </pic:nvPicPr>
                        <pic:blipFill>
                          <a:blip r:embed="rId94"/>
                          <a:stretch>
                            <a:fillRect/>
                          </a:stretch>
                        </pic:blipFill>
                        <pic:spPr>
                          <a:xfrm rot="0">
                            <a:off x="0" y="0"/>
                            <a:ext cx="2423160" cy="1656587"/>
                          </a:xfrm>
                          <a:prstGeom prst="rect">
                            <a:avLst/>
                          </a:prstGeom>
                        </pic:spPr>
                      </pic:pic>
                    </a:graphicData>
                  </a:graphic>
                </wp:inline>
              </w:drawing>
            </w:r>
          </w:p>
        </w:tc>
      </w:tr>
      <w:tr>
        <w:trPr>
          <w:trHeight w:val="2807" w:hRule="atLeast"/>
        </w:trPr>
        <w:tc>
          <w:tcPr>
            <w:tcW w:w="1099" w:type="dxa"/>
            <w:vAlign w:val="top"/>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47"/>
              <w:spacing w:before="65" w:line="228" w:lineRule="auto"/>
              <w:rPr/>
            </w:pPr>
            <w:r>
              <w:rPr>
                <w:spacing w:val="4"/>
              </w:rPr>
              <w:t>阳极炉车间</w:t>
            </w:r>
          </w:p>
        </w:tc>
        <w:tc>
          <w:tcPr>
            <w:tcW w:w="3756" w:type="dxa"/>
            <w:vAlign w:val="top"/>
          </w:tcPr>
          <w:p>
            <w:pPr>
              <w:ind w:firstLine="134"/>
              <w:spacing w:before="100" w:line="2609" w:lineRule="exact"/>
              <w:rPr/>
            </w:pPr>
            <w:r>
              <w:rPr>
                <w:position w:val="-52"/>
              </w:rPr>
              <w:drawing>
                <wp:inline distT="0" distB="0" distL="0" distR="0">
                  <wp:extent cx="2208275" cy="1656588"/>
                  <wp:effectExtent l="0" t="0" r="0" b="0"/>
                  <wp:docPr id="74" name="IM 74"/>
                  <wp:cNvGraphicFramePr/>
                  <a:graphic>
                    <a:graphicData uri="http://schemas.openxmlformats.org/drawingml/2006/picture">
                      <pic:pic>
                        <pic:nvPicPr>
                          <pic:cNvPr id="74" name="IM 74"/>
                          <pic:cNvPicPr/>
                        </pic:nvPicPr>
                        <pic:blipFill>
                          <a:blip r:embed="rId95"/>
                          <a:stretch>
                            <a:fillRect/>
                          </a:stretch>
                        </pic:blipFill>
                        <pic:spPr>
                          <a:xfrm rot="0">
                            <a:off x="0" y="0"/>
                            <a:ext cx="2208275" cy="1656588"/>
                          </a:xfrm>
                          <a:prstGeom prst="rect">
                            <a:avLst/>
                          </a:prstGeom>
                        </pic:spPr>
                      </pic:pic>
                    </a:graphicData>
                  </a:graphic>
                </wp:inline>
              </w:drawing>
            </w:r>
          </w:p>
        </w:tc>
        <w:tc>
          <w:tcPr>
            <w:tcW w:w="998" w:type="dxa"/>
            <w:vAlign w:val="top"/>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pStyle w:val="TableText"/>
              <w:ind w:left="304" w:right="78" w:hanging="212"/>
              <w:spacing w:before="65" w:line="287" w:lineRule="auto"/>
              <w:rPr/>
            </w:pPr>
            <w:r>
              <w:rPr>
                <w:spacing w:val="5"/>
              </w:rPr>
              <w:t>铜渣选矿</w:t>
            </w:r>
            <w:r>
              <w:rPr>
                <w:spacing w:val="1"/>
              </w:rPr>
              <w:t xml:space="preserve"> </w:t>
            </w:r>
            <w:r>
              <w:rPr>
                <w:spacing w:val="-1"/>
              </w:rPr>
              <w:t>车间</w:t>
            </w:r>
          </w:p>
        </w:tc>
        <w:tc>
          <w:tcPr>
            <w:tcW w:w="3982" w:type="dxa"/>
            <w:vAlign w:val="top"/>
          </w:tcPr>
          <w:p>
            <w:pPr>
              <w:ind w:firstLine="175"/>
              <w:spacing w:before="40" w:line="2721" w:lineRule="exact"/>
              <w:rPr/>
            </w:pPr>
            <w:r>
              <w:rPr>
                <w:position w:val="-54"/>
              </w:rPr>
              <w:drawing>
                <wp:inline distT="0" distB="0" distL="0" distR="0">
                  <wp:extent cx="2302764" cy="1728216"/>
                  <wp:effectExtent l="0" t="0" r="0" b="0"/>
                  <wp:docPr id="76" name="IM 76"/>
                  <wp:cNvGraphicFramePr/>
                  <a:graphic>
                    <a:graphicData uri="http://schemas.openxmlformats.org/drawingml/2006/picture">
                      <pic:pic>
                        <pic:nvPicPr>
                          <pic:cNvPr id="76" name="IM 76"/>
                          <pic:cNvPicPr/>
                        </pic:nvPicPr>
                        <pic:blipFill>
                          <a:blip r:embed="rId96"/>
                          <a:stretch>
                            <a:fillRect/>
                          </a:stretch>
                        </pic:blipFill>
                        <pic:spPr>
                          <a:xfrm rot="0">
                            <a:off x="0" y="0"/>
                            <a:ext cx="2302764" cy="1728216"/>
                          </a:xfrm>
                          <a:prstGeom prst="rect">
                            <a:avLst/>
                          </a:prstGeom>
                        </pic:spPr>
                      </pic:pic>
                    </a:graphicData>
                  </a:graphic>
                </wp:inline>
              </w:drawing>
            </w:r>
          </w:p>
        </w:tc>
      </w:tr>
    </w:tbl>
    <w:p>
      <w:pPr>
        <w:rPr>
          <w:rFonts w:ascii="Arial"/>
          <w:sz w:val="21"/>
        </w:rPr>
      </w:pPr>
      <w:r/>
    </w:p>
    <w:p>
      <w:pPr>
        <w:sectPr>
          <w:footerReference w:type="default" r:id="rId88"/>
          <w:pgSz w:w="11906" w:h="16839"/>
          <w:pgMar w:top="1139" w:right="987" w:bottom="1252" w:left="1077" w:header="831" w:footer="1090" w:gutter="0"/>
        </w:sectPr>
        <w:rPr>
          <w:rFonts w:ascii="Arial" w:hAnsi="Arial" w:eastAsia="Arial" w:cs="Arial"/>
          <w:sz w:val="21"/>
          <w:szCs w:val="21"/>
        </w:rPr>
      </w:pPr>
    </w:p>
    <w:p>
      <w:pPr>
        <w:spacing w:before="58"/>
        <w:rPr/>
      </w:pPr>
      <w:r/>
    </w:p>
    <w:tbl>
      <w:tblPr>
        <w:tblStyle w:val="TableNormal"/>
        <w:tblW w:w="9835" w:type="dxa"/>
        <w:tblInd w:w="11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9"/>
        <w:gridCol w:w="3756"/>
        <w:gridCol w:w="998"/>
        <w:gridCol w:w="3982"/>
      </w:tblGrid>
      <w:tr>
        <w:trPr>
          <w:trHeight w:val="341" w:hRule="atLeast"/>
        </w:trPr>
        <w:tc>
          <w:tcPr>
            <w:tcW w:w="1099" w:type="dxa"/>
            <w:vAlign w:val="top"/>
          </w:tcPr>
          <w:p>
            <w:pPr>
              <w:pStyle w:val="TableText"/>
              <w:ind w:left="365"/>
              <w:spacing w:before="66" w:line="232" w:lineRule="auto"/>
              <w:rPr/>
            </w:pPr>
            <w:r>
              <w:rPr>
                <w:b/>
                <w:bCs/>
                <w:spacing w:val="-8"/>
              </w:rPr>
              <w:t>区域</w:t>
            </w:r>
          </w:p>
        </w:tc>
        <w:tc>
          <w:tcPr>
            <w:tcW w:w="3756" w:type="dxa"/>
            <w:vAlign w:val="top"/>
          </w:tcPr>
          <w:p>
            <w:pPr>
              <w:pStyle w:val="TableText"/>
              <w:ind w:left="1465"/>
              <w:spacing w:before="65" w:line="232" w:lineRule="auto"/>
              <w:rPr/>
            </w:pPr>
            <w:r>
              <w:rPr>
                <w:b/>
                <w:bCs/>
                <w:spacing w:val="5"/>
              </w:rPr>
              <w:t>现场照片</w:t>
            </w:r>
          </w:p>
        </w:tc>
        <w:tc>
          <w:tcPr>
            <w:tcW w:w="998" w:type="dxa"/>
            <w:vAlign w:val="top"/>
          </w:tcPr>
          <w:p>
            <w:pPr>
              <w:pStyle w:val="TableText"/>
              <w:ind w:left="317"/>
              <w:spacing w:before="66" w:line="232" w:lineRule="auto"/>
              <w:rPr/>
            </w:pPr>
            <w:r>
              <w:rPr>
                <w:b/>
                <w:bCs/>
                <w:spacing w:val="-8"/>
              </w:rPr>
              <w:t>区域</w:t>
            </w:r>
          </w:p>
        </w:tc>
        <w:tc>
          <w:tcPr>
            <w:tcW w:w="3982" w:type="dxa"/>
            <w:vAlign w:val="top"/>
          </w:tcPr>
          <w:p>
            <w:pPr>
              <w:pStyle w:val="TableText"/>
              <w:ind w:left="1580"/>
              <w:spacing w:before="65" w:line="232" w:lineRule="auto"/>
              <w:rPr/>
            </w:pPr>
            <w:r>
              <w:rPr>
                <w:b/>
                <w:bCs/>
                <w:spacing w:val="5"/>
              </w:rPr>
              <w:t>现场照片</w:t>
            </w:r>
          </w:p>
        </w:tc>
      </w:tr>
      <w:tr>
        <w:trPr>
          <w:trHeight w:val="2806" w:hRule="atLeast"/>
        </w:trPr>
        <w:tc>
          <w:tcPr>
            <w:tcW w:w="1099"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pStyle w:val="TableText"/>
              <w:ind w:left="138"/>
              <w:spacing w:before="65" w:line="228" w:lineRule="auto"/>
              <w:rPr/>
            </w:pPr>
            <w:r>
              <w:rPr>
                <w:spacing w:val="5"/>
              </w:rPr>
              <w:t>磨浮车间</w:t>
            </w:r>
          </w:p>
        </w:tc>
        <w:tc>
          <w:tcPr>
            <w:tcW w:w="3756" w:type="dxa"/>
            <w:vAlign w:val="top"/>
          </w:tcPr>
          <w:p>
            <w:pPr>
              <w:ind w:firstLine="134"/>
              <w:spacing w:before="97" w:line="2609" w:lineRule="exact"/>
              <w:rPr/>
            </w:pPr>
            <w:r>
              <w:rPr>
                <w:position w:val="-52"/>
              </w:rPr>
              <w:drawing>
                <wp:inline distT="0" distB="0" distL="0" distR="0">
                  <wp:extent cx="2208275" cy="1656588"/>
                  <wp:effectExtent l="0" t="0" r="0" b="0"/>
                  <wp:docPr id="78" name="IM 78"/>
                  <wp:cNvGraphicFramePr/>
                  <a:graphic>
                    <a:graphicData uri="http://schemas.openxmlformats.org/drawingml/2006/picture">
                      <pic:pic>
                        <pic:nvPicPr>
                          <pic:cNvPr id="78" name="IM 78"/>
                          <pic:cNvPicPr/>
                        </pic:nvPicPr>
                        <pic:blipFill>
                          <a:blip r:embed="rId99"/>
                          <a:stretch>
                            <a:fillRect/>
                          </a:stretch>
                        </pic:blipFill>
                        <pic:spPr>
                          <a:xfrm rot="0">
                            <a:off x="0" y="0"/>
                            <a:ext cx="2208275" cy="1656588"/>
                          </a:xfrm>
                          <a:prstGeom prst="rect">
                            <a:avLst/>
                          </a:prstGeom>
                        </pic:spPr>
                      </pic:pic>
                    </a:graphicData>
                  </a:graphic>
                </wp:inline>
              </w:drawing>
            </w:r>
          </w:p>
        </w:tc>
        <w:tc>
          <w:tcPr>
            <w:tcW w:w="998" w:type="dxa"/>
            <w:vAlign w:val="top"/>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92"/>
              <w:spacing w:before="65" w:line="229" w:lineRule="auto"/>
              <w:rPr/>
            </w:pPr>
            <w:r>
              <w:rPr>
                <w:spacing w:val="5"/>
              </w:rPr>
              <w:t>冶炼渣堆</w:t>
            </w:r>
          </w:p>
          <w:p>
            <w:pPr>
              <w:pStyle w:val="TableText"/>
              <w:ind w:left="405"/>
              <w:spacing w:before="63" w:line="232" w:lineRule="auto"/>
              <w:rPr/>
            </w:pPr>
            <w:r>
              <w:rPr/>
              <w:t>场</w:t>
            </w:r>
          </w:p>
        </w:tc>
        <w:tc>
          <w:tcPr>
            <w:tcW w:w="3982" w:type="dxa"/>
            <w:vAlign w:val="top"/>
          </w:tcPr>
          <w:p>
            <w:pPr>
              <w:ind w:firstLine="250"/>
              <w:spacing w:before="97" w:line="2609" w:lineRule="exact"/>
              <w:rPr/>
            </w:pPr>
            <w:r>
              <w:rPr>
                <w:position w:val="-52"/>
              </w:rPr>
              <w:drawing>
                <wp:inline distT="0" distB="0" distL="0" distR="0">
                  <wp:extent cx="2206751" cy="1656588"/>
                  <wp:effectExtent l="0" t="0" r="0" b="0"/>
                  <wp:docPr id="80" name="IM 80"/>
                  <wp:cNvGraphicFramePr/>
                  <a:graphic>
                    <a:graphicData uri="http://schemas.openxmlformats.org/drawingml/2006/picture">
                      <pic:pic>
                        <pic:nvPicPr>
                          <pic:cNvPr id="80" name="IM 80"/>
                          <pic:cNvPicPr/>
                        </pic:nvPicPr>
                        <pic:blipFill>
                          <a:blip r:embed="rId100"/>
                          <a:stretch>
                            <a:fillRect/>
                          </a:stretch>
                        </pic:blipFill>
                        <pic:spPr>
                          <a:xfrm rot="0">
                            <a:off x="0" y="0"/>
                            <a:ext cx="2206751" cy="1656588"/>
                          </a:xfrm>
                          <a:prstGeom prst="rect">
                            <a:avLst/>
                          </a:prstGeom>
                        </pic:spPr>
                      </pic:pic>
                    </a:graphicData>
                  </a:graphic>
                </wp:inline>
              </w:drawing>
            </w:r>
          </w:p>
        </w:tc>
      </w:tr>
    </w:tbl>
    <w:p>
      <w:pPr>
        <w:pStyle w:val="BodyText"/>
        <w:ind w:left="127" w:right="110" w:firstLine="479"/>
        <w:spacing w:before="113" w:line="360" w:lineRule="auto"/>
        <w:rPr>
          <w:rFonts w:ascii="FangSong" w:hAnsi="FangSong" w:eastAsia="FangSong" w:cs="FangSong"/>
          <w:sz w:val="24"/>
          <w:szCs w:val="24"/>
        </w:rPr>
      </w:pPr>
      <w:r>
        <w:rPr>
          <w:rFonts w:ascii="FangSong" w:hAnsi="FangSong" w:eastAsia="FangSong" w:cs="FangSong"/>
          <w:sz w:val="24"/>
          <w:szCs w:val="24"/>
          <w:spacing w:val="-3"/>
        </w:rPr>
        <w:t>根据现场踏勘和人员访谈，结合《重点监管单位土壤污染隐患排查指南（试行）》等相关</w:t>
      </w:r>
      <w:r>
        <w:rPr>
          <w:rFonts w:ascii="FangSong" w:hAnsi="FangSong" w:eastAsia="FangSong" w:cs="FangSong"/>
          <w:sz w:val="24"/>
          <w:szCs w:val="24"/>
          <w:spacing w:val="5"/>
        </w:rPr>
        <w:t xml:space="preserve"> </w:t>
      </w:r>
      <w:r>
        <w:rPr>
          <w:rFonts w:ascii="FangSong" w:hAnsi="FangSong" w:eastAsia="FangSong" w:cs="FangSong"/>
          <w:sz w:val="24"/>
          <w:szCs w:val="24"/>
        </w:rPr>
        <w:t>技术规范的要求，企业内部有潜在土壤污染的</w:t>
      </w:r>
      <w:r>
        <w:rPr>
          <w:rFonts w:ascii="FangSong" w:hAnsi="FangSong" w:eastAsia="FangSong" w:cs="FangSong"/>
          <w:sz w:val="24"/>
          <w:szCs w:val="24"/>
          <w:spacing w:val="-1"/>
        </w:rPr>
        <w:t>重点场所、重点设施设备如表</w:t>
      </w:r>
      <w:r>
        <w:rPr>
          <w:sz w:val="24"/>
          <w:szCs w:val="24"/>
          <w:spacing w:val="-1"/>
        </w:rPr>
        <w:t>4.3-3</w:t>
      </w:r>
      <w:r>
        <w:rPr>
          <w:rFonts w:ascii="FangSong" w:hAnsi="FangSong" w:eastAsia="FangSong" w:cs="FangSong"/>
          <w:sz w:val="24"/>
          <w:szCs w:val="24"/>
          <w:spacing w:val="-1"/>
        </w:rPr>
        <w:t>。</w:t>
      </w:r>
    </w:p>
    <w:p>
      <w:pPr>
        <w:pStyle w:val="BodyText"/>
        <w:ind w:left="2041"/>
        <w:spacing w:before="1" w:line="219" w:lineRule="auto"/>
        <w:rPr>
          <w:rFonts w:ascii="FangSong" w:hAnsi="FangSong" w:eastAsia="FangSong" w:cs="FangSong"/>
          <w:sz w:val="24"/>
          <w:szCs w:val="24"/>
        </w:rPr>
      </w:pPr>
      <w:r>
        <w:rPr>
          <w:rFonts w:ascii="FangSong" w:hAnsi="FangSong" w:eastAsia="FangSong" w:cs="FangSong"/>
          <w:sz w:val="24"/>
          <w:szCs w:val="24"/>
          <w:b/>
          <w:bCs/>
          <w:spacing w:val="-2"/>
        </w:rPr>
        <w:t>表</w:t>
      </w:r>
      <w:r>
        <w:rPr>
          <w:sz w:val="24"/>
          <w:szCs w:val="24"/>
          <w:b/>
          <w:bCs/>
          <w:spacing w:val="-2"/>
        </w:rPr>
        <w:t>4.3-3  </w:t>
      </w:r>
      <w:r>
        <w:rPr>
          <w:rFonts w:ascii="FangSong" w:hAnsi="FangSong" w:eastAsia="FangSong" w:cs="FangSong"/>
          <w:sz w:val="24"/>
          <w:szCs w:val="24"/>
          <w:b/>
          <w:bCs/>
          <w:spacing w:val="-2"/>
        </w:rPr>
        <w:t>有潜在土壤污染隐患的重点场所或重点设施设备</w:t>
      </w:r>
    </w:p>
    <w:p>
      <w:pPr>
        <w:spacing w:line="68" w:lineRule="exact"/>
        <w:rPr/>
      </w:pPr>
      <w:r/>
    </w:p>
    <w:tbl>
      <w:tblPr>
        <w:tblStyle w:val="TableNormal"/>
        <w:tblW w:w="996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58"/>
        <w:gridCol w:w="1655"/>
        <w:gridCol w:w="3807"/>
        <w:gridCol w:w="3542"/>
      </w:tblGrid>
      <w:tr>
        <w:trPr>
          <w:trHeight w:val="349" w:hRule="atLeast"/>
        </w:trPr>
        <w:tc>
          <w:tcPr>
            <w:tcW w:w="958" w:type="dxa"/>
            <w:vAlign w:val="top"/>
          </w:tcPr>
          <w:p>
            <w:pPr>
              <w:pStyle w:val="TableText"/>
              <w:ind w:left="280"/>
              <w:spacing w:before="70" w:line="231" w:lineRule="auto"/>
              <w:rPr/>
            </w:pPr>
            <w:r>
              <w:rPr>
                <w:b/>
                <w:bCs/>
                <w:spacing w:val="1"/>
              </w:rPr>
              <w:t>序号</w:t>
            </w:r>
          </w:p>
        </w:tc>
        <w:tc>
          <w:tcPr>
            <w:tcW w:w="1655" w:type="dxa"/>
            <w:vAlign w:val="top"/>
          </w:tcPr>
          <w:p>
            <w:pPr>
              <w:pStyle w:val="TableText"/>
              <w:ind w:left="208"/>
              <w:spacing w:before="70" w:line="232" w:lineRule="auto"/>
              <w:rPr/>
            </w:pPr>
            <w:r>
              <w:rPr>
                <w:b/>
                <w:bCs/>
                <w:spacing w:val="5"/>
              </w:rPr>
              <w:t>涉及工业活动</w:t>
            </w:r>
          </w:p>
        </w:tc>
        <w:tc>
          <w:tcPr>
            <w:tcW w:w="3807" w:type="dxa"/>
            <w:vAlign w:val="top"/>
          </w:tcPr>
          <w:p>
            <w:pPr>
              <w:pStyle w:val="TableText"/>
              <w:ind w:left="762"/>
              <w:spacing w:before="70" w:line="231" w:lineRule="auto"/>
              <w:rPr/>
            </w:pPr>
            <w:r>
              <w:rPr>
                <w:b/>
                <w:bCs/>
                <w:spacing w:val="6"/>
              </w:rPr>
              <w:t>重点场所或重点设施设备</w:t>
            </w:r>
          </w:p>
        </w:tc>
        <w:tc>
          <w:tcPr>
            <w:tcW w:w="3542" w:type="dxa"/>
            <w:vAlign w:val="top"/>
          </w:tcPr>
          <w:p>
            <w:pPr>
              <w:pStyle w:val="TableText"/>
              <w:ind w:left="1150"/>
              <w:spacing w:before="70" w:line="231" w:lineRule="auto"/>
              <w:rPr/>
            </w:pPr>
            <w:r>
              <w:rPr>
                <w:b/>
                <w:bCs/>
                <w:spacing w:val="5"/>
              </w:rPr>
              <w:t>企业实际情况</w:t>
            </w:r>
          </w:p>
        </w:tc>
      </w:tr>
      <w:tr>
        <w:trPr>
          <w:trHeight w:val="940" w:hRule="atLeast"/>
        </w:trPr>
        <w:tc>
          <w:tcPr>
            <w:tcW w:w="958" w:type="dxa"/>
            <w:vAlign w:val="top"/>
          </w:tcPr>
          <w:p>
            <w:pPr>
              <w:spacing w:line="341" w:lineRule="auto"/>
              <w:rPr>
                <w:rFonts w:ascii="Arial"/>
                <w:sz w:val="21"/>
              </w:rPr>
            </w:pPr>
            <w:r/>
          </w:p>
          <w:p>
            <w:pPr>
              <w:ind w:left="447"/>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55" w:type="dxa"/>
            <w:vAlign w:val="top"/>
          </w:tcPr>
          <w:p>
            <w:pPr>
              <w:spacing w:line="298" w:lineRule="auto"/>
              <w:rPr>
                <w:rFonts w:ascii="Arial"/>
                <w:sz w:val="21"/>
              </w:rPr>
            </w:pPr>
            <w:r/>
          </w:p>
          <w:p>
            <w:pPr>
              <w:pStyle w:val="TableText"/>
              <w:ind w:left="417"/>
              <w:spacing w:before="65" w:line="228" w:lineRule="auto"/>
              <w:rPr/>
            </w:pPr>
            <w:r>
              <w:rPr>
                <w:spacing w:val="5"/>
              </w:rPr>
              <w:t>液体储存</w:t>
            </w:r>
          </w:p>
        </w:tc>
        <w:tc>
          <w:tcPr>
            <w:tcW w:w="3807" w:type="dxa"/>
            <w:vAlign w:val="top"/>
          </w:tcPr>
          <w:p>
            <w:pPr>
              <w:pStyle w:val="TableText"/>
              <w:ind w:left="134" w:right="117" w:hanging="4"/>
              <w:spacing w:before="208" w:line="287" w:lineRule="auto"/>
              <w:rPr/>
            </w:pPr>
            <w:r>
              <w:rPr>
                <w:spacing w:val="9"/>
              </w:rPr>
              <w:t>地下储罐、接地储罐、离地储罐、废水</w:t>
            </w:r>
            <w:r>
              <w:rPr/>
              <w:t xml:space="preserve"> </w:t>
            </w:r>
            <w:r>
              <w:rPr>
                <w:spacing w:val="8"/>
              </w:rPr>
              <w:t>暂存池、污水处理池、初期雨水收集池</w:t>
            </w:r>
          </w:p>
        </w:tc>
        <w:tc>
          <w:tcPr>
            <w:tcW w:w="3542" w:type="dxa"/>
            <w:vAlign w:val="top"/>
          </w:tcPr>
          <w:p>
            <w:pPr>
              <w:pStyle w:val="TableText"/>
              <w:ind w:left="120"/>
              <w:spacing w:before="53" w:line="228" w:lineRule="auto"/>
              <w:rPr/>
            </w:pPr>
            <w:r>
              <w:rPr>
                <w:spacing w:val="6"/>
              </w:rPr>
              <w:t>根据现场排查，企业存在地埋废水处</w:t>
            </w:r>
          </w:p>
          <w:p>
            <w:pPr>
              <w:pStyle w:val="TableText"/>
              <w:ind w:left="121"/>
              <w:spacing w:before="64" w:line="232" w:lineRule="auto"/>
              <w:rPr/>
            </w:pPr>
            <w:r>
              <w:rPr>
                <w:spacing w:val="6"/>
              </w:rPr>
              <w:t>理池、初期雨水池、事故应急池等设</w:t>
            </w:r>
          </w:p>
          <w:p>
            <w:pPr>
              <w:pStyle w:val="TableText"/>
              <w:ind w:left="1676"/>
              <w:spacing w:before="61" w:line="233" w:lineRule="auto"/>
              <w:rPr/>
            </w:pPr>
            <w:r>
              <w:rPr/>
              <w:t>施</w:t>
            </w:r>
          </w:p>
        </w:tc>
      </w:tr>
      <w:tr>
        <w:trPr>
          <w:trHeight w:val="628" w:hRule="atLeast"/>
        </w:trPr>
        <w:tc>
          <w:tcPr>
            <w:tcW w:w="958" w:type="dxa"/>
            <w:vAlign w:val="top"/>
          </w:tcPr>
          <w:p>
            <w:pPr>
              <w:ind w:left="426"/>
              <w:spacing w:before="2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55" w:type="dxa"/>
            <w:vAlign w:val="top"/>
          </w:tcPr>
          <w:p>
            <w:pPr>
              <w:pStyle w:val="TableText"/>
              <w:ind w:left="321" w:right="198" w:hanging="114"/>
              <w:spacing w:before="54" w:line="260" w:lineRule="auto"/>
              <w:rPr/>
            </w:pPr>
            <w:r>
              <w:rPr>
                <w:spacing w:val="7"/>
              </w:rPr>
              <w:t>散装液体转运</w:t>
            </w:r>
            <w:r>
              <w:rPr>
                <w:spacing w:val="1"/>
              </w:rPr>
              <w:t xml:space="preserve"> </w:t>
            </w:r>
            <w:r>
              <w:rPr>
                <w:spacing w:val="5"/>
              </w:rPr>
              <w:t>与厂内运输</w:t>
            </w:r>
          </w:p>
        </w:tc>
        <w:tc>
          <w:tcPr>
            <w:tcW w:w="3807" w:type="dxa"/>
            <w:vAlign w:val="top"/>
          </w:tcPr>
          <w:p>
            <w:pPr>
              <w:pStyle w:val="TableText"/>
              <w:ind w:left="129"/>
              <w:spacing w:before="53" w:line="229" w:lineRule="auto"/>
              <w:rPr/>
            </w:pPr>
            <w:r>
              <w:rPr>
                <w:spacing w:val="8"/>
              </w:rPr>
              <w:t>散装液体物料装卸、管道输送、导淋、</w:t>
            </w:r>
          </w:p>
          <w:p>
            <w:pPr>
              <w:pStyle w:val="TableText"/>
              <w:ind w:left="1601"/>
              <w:spacing w:before="63" w:line="232" w:lineRule="auto"/>
              <w:rPr/>
            </w:pPr>
            <w:r>
              <w:rPr>
                <w:spacing w:val="4"/>
              </w:rPr>
              <w:t>传输泵</w:t>
            </w:r>
          </w:p>
        </w:tc>
        <w:tc>
          <w:tcPr>
            <w:tcW w:w="3542" w:type="dxa"/>
            <w:vAlign w:val="top"/>
          </w:tcPr>
          <w:p>
            <w:pPr>
              <w:pStyle w:val="TableText"/>
              <w:ind w:left="120"/>
              <w:spacing w:before="53" w:line="228" w:lineRule="auto"/>
              <w:rPr/>
            </w:pPr>
            <w:r>
              <w:rPr>
                <w:spacing w:val="8"/>
              </w:rPr>
              <w:t>根据现场排查，企业存在管道输送、</w:t>
            </w:r>
          </w:p>
          <w:p>
            <w:pPr>
              <w:pStyle w:val="TableText"/>
              <w:ind w:left="1468"/>
              <w:spacing w:before="64" w:line="232" w:lineRule="auto"/>
              <w:rPr/>
            </w:pPr>
            <w:r>
              <w:rPr>
                <w:spacing w:val="4"/>
              </w:rPr>
              <w:t>传输泵</w:t>
            </w:r>
          </w:p>
        </w:tc>
      </w:tr>
      <w:tr>
        <w:trPr>
          <w:trHeight w:val="940" w:hRule="atLeast"/>
        </w:trPr>
        <w:tc>
          <w:tcPr>
            <w:tcW w:w="958" w:type="dxa"/>
            <w:vAlign w:val="top"/>
          </w:tcPr>
          <w:p>
            <w:pPr>
              <w:spacing w:line="342" w:lineRule="auto"/>
              <w:rPr>
                <w:rFonts w:ascii="Arial"/>
                <w:sz w:val="21"/>
              </w:rPr>
            </w:pPr>
            <w:r/>
          </w:p>
          <w:p>
            <w:pPr>
              <w:ind w:left="431"/>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55" w:type="dxa"/>
            <w:vAlign w:val="top"/>
          </w:tcPr>
          <w:p>
            <w:pPr>
              <w:pStyle w:val="TableText"/>
              <w:ind w:left="212"/>
              <w:spacing w:before="210" w:line="228" w:lineRule="auto"/>
              <w:rPr/>
            </w:pPr>
            <w:r>
              <w:rPr>
                <w:spacing w:val="6"/>
              </w:rPr>
              <w:t>货物的储存和</w:t>
            </w:r>
          </w:p>
          <w:p>
            <w:pPr>
              <w:pStyle w:val="TableText"/>
              <w:ind w:left="630"/>
              <w:spacing w:before="64" w:line="232" w:lineRule="auto"/>
              <w:rPr/>
            </w:pPr>
            <w:r>
              <w:rPr/>
              <w:t>传输</w:t>
            </w:r>
          </w:p>
        </w:tc>
        <w:tc>
          <w:tcPr>
            <w:tcW w:w="3807" w:type="dxa"/>
            <w:vAlign w:val="top"/>
          </w:tcPr>
          <w:p>
            <w:pPr>
              <w:pStyle w:val="TableText"/>
              <w:ind w:left="346" w:right="155" w:hanging="217"/>
              <w:spacing w:before="209" w:line="287" w:lineRule="auto"/>
              <w:rPr/>
            </w:pPr>
            <w:r>
              <w:rPr>
                <w:spacing w:val="6"/>
              </w:rPr>
              <w:t>散装货物储存和暂存、散装货物传输、</w:t>
            </w:r>
            <w:r>
              <w:rPr>
                <w:spacing w:val="14"/>
              </w:rPr>
              <w:t xml:space="preserve"> </w:t>
            </w:r>
            <w:r>
              <w:rPr>
                <w:spacing w:val="8"/>
              </w:rPr>
              <w:t>包装货物储存和暂存、开放式装卸</w:t>
            </w:r>
          </w:p>
        </w:tc>
        <w:tc>
          <w:tcPr>
            <w:tcW w:w="3542" w:type="dxa"/>
            <w:vAlign w:val="top"/>
          </w:tcPr>
          <w:p>
            <w:pPr>
              <w:pStyle w:val="TableText"/>
              <w:ind w:left="120"/>
              <w:spacing w:before="54" w:line="228" w:lineRule="auto"/>
              <w:rPr/>
            </w:pPr>
            <w:r>
              <w:rPr>
                <w:spacing w:val="6"/>
              </w:rPr>
              <w:t>根据现场排查，企业存在散装货物储</w:t>
            </w:r>
          </w:p>
          <w:p>
            <w:pPr>
              <w:pStyle w:val="TableText"/>
              <w:ind w:left="122"/>
              <w:spacing w:before="65" w:line="228" w:lineRule="auto"/>
              <w:rPr/>
            </w:pPr>
            <w:r>
              <w:rPr>
                <w:spacing w:val="7"/>
              </w:rPr>
              <w:t>存和暂存、散装货物传输和暂存、室</w:t>
            </w:r>
          </w:p>
          <w:p>
            <w:pPr>
              <w:pStyle w:val="TableText"/>
              <w:ind w:left="1491"/>
              <w:spacing w:before="65" w:line="229" w:lineRule="auto"/>
              <w:rPr/>
            </w:pPr>
            <w:r>
              <w:rPr>
                <w:spacing w:val="-4"/>
              </w:rPr>
              <w:t>内装卸</w:t>
            </w:r>
          </w:p>
        </w:tc>
      </w:tr>
      <w:tr>
        <w:trPr>
          <w:trHeight w:val="628" w:hRule="atLeast"/>
        </w:trPr>
        <w:tc>
          <w:tcPr>
            <w:tcW w:w="958" w:type="dxa"/>
            <w:vAlign w:val="top"/>
          </w:tcPr>
          <w:p>
            <w:pPr>
              <w:ind w:left="425"/>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655" w:type="dxa"/>
            <w:vAlign w:val="top"/>
          </w:tcPr>
          <w:p>
            <w:pPr>
              <w:pStyle w:val="TableText"/>
              <w:ind w:left="534"/>
              <w:spacing w:before="211" w:line="232" w:lineRule="auto"/>
              <w:rPr/>
            </w:pPr>
            <w:r>
              <w:rPr/>
              <w:t>生产区</w:t>
            </w:r>
          </w:p>
        </w:tc>
        <w:tc>
          <w:tcPr>
            <w:tcW w:w="3807" w:type="dxa"/>
            <w:vAlign w:val="top"/>
          </w:tcPr>
          <w:p>
            <w:pPr>
              <w:pStyle w:val="TableText"/>
              <w:ind w:left="1402"/>
              <w:spacing w:before="211" w:line="232" w:lineRule="auto"/>
              <w:rPr/>
            </w:pPr>
            <w:r>
              <w:rPr>
                <w:spacing w:val="4"/>
              </w:rPr>
              <w:t>生产装置区</w:t>
            </w:r>
          </w:p>
        </w:tc>
        <w:tc>
          <w:tcPr>
            <w:tcW w:w="3542" w:type="dxa"/>
            <w:vAlign w:val="top"/>
          </w:tcPr>
          <w:p>
            <w:pPr>
              <w:pStyle w:val="TableText"/>
              <w:ind w:left="120"/>
              <w:spacing w:before="54" w:line="228" w:lineRule="auto"/>
              <w:rPr/>
            </w:pPr>
            <w:r>
              <w:rPr>
                <w:spacing w:val="6"/>
              </w:rPr>
              <w:t>根据现场排查，企业存在废弃物提纯</w:t>
            </w:r>
          </w:p>
          <w:p>
            <w:pPr>
              <w:pStyle w:val="TableText"/>
              <w:ind w:left="945"/>
              <w:spacing w:before="65" w:line="228" w:lineRule="auto"/>
              <w:rPr/>
            </w:pPr>
            <w:r>
              <w:rPr>
                <w:spacing w:val="7"/>
              </w:rPr>
              <w:t>车间、制球车间等</w:t>
            </w:r>
          </w:p>
        </w:tc>
      </w:tr>
      <w:tr>
        <w:trPr>
          <w:trHeight w:val="945" w:hRule="atLeast"/>
        </w:trPr>
        <w:tc>
          <w:tcPr>
            <w:tcW w:w="958" w:type="dxa"/>
            <w:vAlign w:val="top"/>
          </w:tcPr>
          <w:p>
            <w:pPr>
              <w:spacing w:line="346" w:lineRule="auto"/>
              <w:rPr>
                <w:rFonts w:ascii="Arial"/>
                <w:sz w:val="21"/>
              </w:rPr>
            </w:pPr>
            <w:r/>
          </w:p>
          <w:p>
            <w:pPr>
              <w:ind w:left="432"/>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55" w:type="dxa"/>
            <w:vAlign w:val="top"/>
          </w:tcPr>
          <w:p>
            <w:pPr>
              <w:spacing w:line="300" w:lineRule="auto"/>
              <w:rPr>
                <w:rFonts w:ascii="Arial"/>
                <w:sz w:val="21"/>
              </w:rPr>
            </w:pPr>
            <w:r/>
          </w:p>
          <w:p>
            <w:pPr>
              <w:pStyle w:val="TableText"/>
              <w:ind w:left="315"/>
              <w:spacing w:before="65" w:line="230" w:lineRule="auto"/>
              <w:rPr/>
            </w:pPr>
            <w:r>
              <w:rPr>
                <w:spacing w:val="6"/>
              </w:rPr>
              <w:t>其他活动区</w:t>
            </w:r>
          </w:p>
        </w:tc>
        <w:tc>
          <w:tcPr>
            <w:tcW w:w="3807" w:type="dxa"/>
            <w:vAlign w:val="top"/>
          </w:tcPr>
          <w:p>
            <w:pPr>
              <w:pStyle w:val="TableText"/>
              <w:ind w:left="132"/>
              <w:spacing w:before="55" w:line="228" w:lineRule="auto"/>
              <w:rPr/>
            </w:pPr>
            <w:r>
              <w:rPr>
                <w:spacing w:val="8"/>
              </w:rPr>
              <w:t>废水排水系统、应急收集设施、车间操</w:t>
            </w:r>
          </w:p>
          <w:p>
            <w:pPr>
              <w:pStyle w:val="TableText"/>
              <w:ind w:left="133"/>
              <w:spacing w:before="65" w:line="228" w:lineRule="auto"/>
              <w:rPr/>
            </w:pPr>
            <w:r>
              <w:rPr>
                <w:spacing w:val="8"/>
              </w:rPr>
              <w:t>作活动、分析化验室、一般固废暂存场</w:t>
            </w:r>
          </w:p>
          <w:p>
            <w:pPr>
              <w:pStyle w:val="TableText"/>
              <w:ind w:left="970"/>
              <w:spacing w:before="65" w:line="228" w:lineRule="auto"/>
              <w:rPr/>
            </w:pPr>
            <w:r>
              <w:rPr>
                <w:spacing w:val="8"/>
              </w:rPr>
              <w:t>所、危险废物暂存库</w:t>
            </w:r>
          </w:p>
        </w:tc>
        <w:tc>
          <w:tcPr>
            <w:tcW w:w="3542" w:type="dxa"/>
            <w:vAlign w:val="top"/>
          </w:tcPr>
          <w:p>
            <w:pPr>
              <w:pStyle w:val="TableText"/>
              <w:ind w:left="120"/>
              <w:spacing w:before="55" w:line="228" w:lineRule="auto"/>
              <w:rPr/>
            </w:pPr>
            <w:r>
              <w:rPr>
                <w:spacing w:val="6"/>
              </w:rPr>
              <w:t>根据现场排查，企业存在废水排水系</w:t>
            </w:r>
          </w:p>
          <w:p>
            <w:pPr>
              <w:pStyle w:val="TableText"/>
              <w:ind w:left="123"/>
              <w:spacing w:before="65" w:line="228" w:lineRule="auto"/>
              <w:rPr/>
            </w:pPr>
            <w:r>
              <w:rPr>
                <w:spacing w:val="8"/>
              </w:rPr>
              <w:t>统、事故应急池、危险废物暂存库、</w:t>
            </w:r>
          </w:p>
          <w:p>
            <w:pPr>
              <w:pStyle w:val="TableText"/>
              <w:ind w:left="1262"/>
              <w:spacing w:before="65" w:line="228" w:lineRule="auto"/>
              <w:rPr/>
            </w:pPr>
            <w:r>
              <w:rPr>
                <w:spacing w:val="6"/>
              </w:rPr>
              <w:t>油品储存区</w:t>
            </w:r>
          </w:p>
        </w:tc>
      </w:tr>
    </w:tbl>
    <w:p>
      <w:pPr>
        <w:rPr>
          <w:rFonts w:ascii="Arial"/>
          <w:sz w:val="21"/>
        </w:rPr>
      </w:pPr>
      <w:r/>
    </w:p>
    <w:p>
      <w:pPr>
        <w:sectPr>
          <w:headerReference w:type="default" r:id="rId97"/>
          <w:footerReference w:type="default" r:id="rId98"/>
          <w:pgSz w:w="11906" w:h="16839"/>
          <w:pgMar w:top="1139" w:right="969" w:bottom="1252" w:left="969" w:header="831" w:footer="1090" w:gutter="0"/>
        </w:sectPr>
        <w:rPr>
          <w:rFonts w:ascii="Arial" w:hAnsi="Arial" w:eastAsia="Arial" w:cs="Arial"/>
          <w:sz w:val="21"/>
          <w:szCs w:val="21"/>
        </w:rPr>
      </w:pPr>
    </w:p>
    <w:p>
      <w:pPr>
        <w:spacing w:line="378" w:lineRule="auto"/>
        <w:rPr>
          <w:rFonts w:ascii="Arial"/>
          <w:sz w:val="21"/>
        </w:rPr>
      </w:pPr>
      <w:r/>
    </w:p>
    <w:p>
      <w:pPr>
        <w:pStyle w:val="BodyText"/>
        <w:ind w:left="9"/>
        <w:spacing w:before="91" w:line="222" w:lineRule="auto"/>
        <w:outlineLvl w:val="0"/>
        <w:rPr>
          <w:rFonts w:ascii="FangSong" w:hAnsi="FangSong" w:eastAsia="FangSong" w:cs="FangSong"/>
          <w:sz w:val="28"/>
          <w:szCs w:val="28"/>
        </w:rPr>
      </w:pPr>
      <w:bookmarkStart w:name="bookmark16" w:id="20"/>
      <w:bookmarkEnd w:id="20"/>
      <w:r>
        <w:rPr>
          <w:sz w:val="28"/>
          <w:szCs w:val="28"/>
          <w:b/>
          <w:bCs/>
          <w:spacing w:val="-3"/>
        </w:rPr>
        <w:t>5  </w:t>
      </w:r>
      <w:r>
        <w:rPr>
          <w:rFonts w:ascii="FangSong" w:hAnsi="FangSong" w:eastAsia="FangSong" w:cs="FangSong"/>
          <w:sz w:val="28"/>
          <w:szCs w:val="28"/>
          <w:b/>
          <w:bCs/>
          <w:spacing w:val="-3"/>
        </w:rPr>
        <w:t>重点监测单元识别与分类</w:t>
      </w:r>
    </w:p>
    <w:p>
      <w:pPr>
        <w:pStyle w:val="BodyText"/>
        <w:ind w:left="9"/>
        <w:spacing w:before="287" w:line="222" w:lineRule="auto"/>
        <w:outlineLvl w:val="1"/>
        <w:rPr>
          <w:rFonts w:ascii="FangSong" w:hAnsi="FangSong" w:eastAsia="FangSong" w:cs="FangSong"/>
          <w:sz w:val="28"/>
          <w:szCs w:val="28"/>
        </w:rPr>
      </w:pPr>
      <w:bookmarkStart w:name="bookmark17" w:id="21"/>
      <w:bookmarkEnd w:id="21"/>
      <w:r>
        <w:rPr>
          <w:sz w:val="28"/>
          <w:szCs w:val="28"/>
          <w:b/>
          <w:bCs/>
          <w:spacing w:val="-6"/>
        </w:rPr>
        <w:t>5.1</w:t>
      </w:r>
      <w:r>
        <w:rPr>
          <w:sz w:val="28"/>
          <w:szCs w:val="28"/>
          <w:b/>
          <w:bCs/>
          <w:spacing w:val="16"/>
        </w:rPr>
        <w:t xml:space="preserve">  </w:t>
      </w:r>
      <w:r>
        <w:rPr>
          <w:rFonts w:ascii="FangSong" w:hAnsi="FangSong" w:eastAsia="FangSong" w:cs="FangSong"/>
          <w:sz w:val="28"/>
          <w:szCs w:val="28"/>
          <w:b/>
          <w:bCs/>
          <w:spacing w:val="-6"/>
        </w:rPr>
        <w:t>重点单元情况</w:t>
      </w:r>
    </w:p>
    <w:p>
      <w:pPr>
        <w:ind w:left="15" w:right="50" w:firstLine="482"/>
        <w:spacing w:before="229" w:line="360" w:lineRule="auto"/>
        <w:jc w:val="both"/>
        <w:rPr>
          <w:rFonts w:ascii="FangSong" w:hAnsi="FangSong" w:eastAsia="FangSong" w:cs="FangSong"/>
          <w:sz w:val="24"/>
          <w:szCs w:val="24"/>
        </w:rPr>
      </w:pPr>
      <w:r>
        <w:rPr>
          <w:rFonts w:ascii="FangSong" w:hAnsi="FangSong" w:eastAsia="FangSong" w:cs="FangSong"/>
          <w:sz w:val="24"/>
          <w:szCs w:val="24"/>
          <w:spacing w:val="-3"/>
        </w:rPr>
        <w:t>对资料搜集、现场踏勘和人员访谈三个环节的调查结果进行分析、总结和评价。根据各设</w:t>
      </w:r>
      <w:r>
        <w:rPr>
          <w:rFonts w:ascii="FangSong" w:hAnsi="FangSong" w:eastAsia="FangSong" w:cs="FangSong"/>
          <w:sz w:val="24"/>
          <w:szCs w:val="24"/>
          <w:spacing w:val="4"/>
        </w:rPr>
        <w:t xml:space="preserve"> </w:t>
      </w:r>
      <w:r>
        <w:rPr>
          <w:rFonts w:ascii="FangSong" w:hAnsi="FangSong" w:eastAsia="FangSong" w:cs="FangSong"/>
          <w:sz w:val="24"/>
          <w:szCs w:val="24"/>
          <w:spacing w:val="-3"/>
        </w:rPr>
        <w:t>施信息、污染物迁移途径等，识别企业内部存在土壤和地下水污染隐患的重点单元。企业的重</w:t>
      </w:r>
      <w:r>
        <w:rPr>
          <w:rFonts w:ascii="FangSong" w:hAnsi="FangSong" w:eastAsia="FangSong" w:cs="FangSong"/>
          <w:sz w:val="24"/>
          <w:szCs w:val="24"/>
          <w:spacing w:val="13"/>
        </w:rPr>
        <w:t xml:space="preserve"> </w:t>
      </w:r>
      <w:r>
        <w:rPr>
          <w:rFonts w:ascii="FangSong" w:hAnsi="FangSong" w:eastAsia="FangSong" w:cs="FangSong"/>
          <w:sz w:val="24"/>
          <w:szCs w:val="24"/>
          <w:spacing w:val="-3"/>
        </w:rPr>
        <w:t>点单元如下：</w:t>
      </w:r>
    </w:p>
    <w:p>
      <w:pPr>
        <w:pStyle w:val="BodyText"/>
        <w:ind w:left="500"/>
        <w:spacing w:before="1" w:line="220" w:lineRule="auto"/>
        <w:rPr>
          <w:rFonts w:ascii="FangSong" w:hAnsi="FangSong" w:eastAsia="FangSong" w:cs="FangSong"/>
          <w:sz w:val="24"/>
          <w:szCs w:val="24"/>
        </w:rPr>
      </w:pPr>
      <w:r>
        <w:rPr>
          <w:rFonts w:ascii="FangSong" w:hAnsi="FangSong" w:eastAsia="FangSong" w:cs="FangSong"/>
          <w:sz w:val="24"/>
          <w:szCs w:val="24"/>
          <w:spacing w:val="-1"/>
        </w:rPr>
        <w:t>（</w:t>
      </w:r>
      <w:r>
        <w:rPr>
          <w:sz w:val="24"/>
          <w:szCs w:val="24"/>
          <w:spacing w:val="-1"/>
        </w:rPr>
        <w:t>1</w:t>
      </w:r>
      <w:r>
        <w:rPr>
          <w:rFonts w:ascii="FangSong" w:hAnsi="FangSong" w:eastAsia="FangSong" w:cs="FangSong"/>
          <w:sz w:val="24"/>
          <w:szCs w:val="24"/>
          <w:spacing w:val="-1"/>
        </w:rPr>
        <w:t>）涉及有毒有害物质的生产区域或生产设施；</w:t>
      </w:r>
    </w:p>
    <w:p>
      <w:pPr>
        <w:pStyle w:val="BodyText"/>
        <w:ind w:left="500"/>
        <w:spacing w:before="181" w:line="219" w:lineRule="auto"/>
        <w:rPr>
          <w:rFonts w:ascii="FangSong" w:hAnsi="FangSong" w:eastAsia="FangSong" w:cs="FangSong"/>
          <w:sz w:val="24"/>
          <w:szCs w:val="24"/>
        </w:rPr>
      </w:pPr>
      <w:r>
        <w:rPr>
          <w:rFonts w:ascii="FangSong" w:hAnsi="FangSong" w:eastAsia="FangSong" w:cs="FangSong"/>
          <w:sz w:val="24"/>
          <w:szCs w:val="24"/>
          <w:spacing w:val="-1"/>
        </w:rPr>
        <w:t>（</w:t>
      </w:r>
      <w:r>
        <w:rPr>
          <w:sz w:val="24"/>
          <w:szCs w:val="24"/>
          <w:spacing w:val="-1"/>
        </w:rPr>
        <w:t>2</w:t>
      </w:r>
      <w:r>
        <w:rPr>
          <w:rFonts w:ascii="FangSong" w:hAnsi="FangSong" w:eastAsia="FangSong" w:cs="FangSong"/>
          <w:sz w:val="24"/>
          <w:szCs w:val="24"/>
          <w:spacing w:val="-1"/>
        </w:rPr>
        <w:t>）涉及有毒有害物质的原辅材料、产品、固体废物等的贮存或堆放区域；</w:t>
      </w:r>
    </w:p>
    <w:p>
      <w:pPr>
        <w:pStyle w:val="BodyText"/>
        <w:ind w:left="500"/>
        <w:spacing w:before="182" w:line="219" w:lineRule="auto"/>
        <w:rPr>
          <w:rFonts w:ascii="FangSong" w:hAnsi="FangSong" w:eastAsia="FangSong" w:cs="FangSong"/>
          <w:sz w:val="24"/>
          <w:szCs w:val="24"/>
        </w:rPr>
      </w:pPr>
      <w:r>
        <w:rPr>
          <w:rFonts w:ascii="FangSong" w:hAnsi="FangSong" w:eastAsia="FangSong" w:cs="FangSong"/>
          <w:sz w:val="24"/>
          <w:szCs w:val="24"/>
          <w:spacing w:val="-1"/>
        </w:rPr>
        <w:t>（</w:t>
      </w:r>
      <w:r>
        <w:rPr>
          <w:sz w:val="24"/>
          <w:szCs w:val="24"/>
          <w:spacing w:val="-1"/>
        </w:rPr>
        <w:t>3</w:t>
      </w:r>
      <w:r>
        <w:rPr>
          <w:rFonts w:ascii="FangSong" w:hAnsi="FangSong" w:eastAsia="FangSong" w:cs="FangSong"/>
          <w:sz w:val="24"/>
          <w:szCs w:val="24"/>
          <w:spacing w:val="-1"/>
        </w:rPr>
        <w:t>）涉及有毒有害物质的原辅材料、产品、固体废物等的转运、传送或装卸区域；</w:t>
      </w:r>
    </w:p>
    <w:p>
      <w:pPr>
        <w:pStyle w:val="BodyText"/>
        <w:ind w:left="500"/>
        <w:spacing w:before="183" w:line="221" w:lineRule="auto"/>
        <w:rPr>
          <w:rFonts w:ascii="FangSong" w:hAnsi="FangSong" w:eastAsia="FangSong" w:cs="FangSong"/>
          <w:sz w:val="24"/>
          <w:szCs w:val="24"/>
        </w:rPr>
      </w:pPr>
      <w:r>
        <w:rPr>
          <w:rFonts w:ascii="FangSong" w:hAnsi="FangSong" w:eastAsia="FangSong" w:cs="FangSong"/>
          <w:sz w:val="24"/>
          <w:szCs w:val="24"/>
          <w:spacing w:val="-1"/>
        </w:rPr>
        <w:t>（</w:t>
      </w:r>
      <w:r>
        <w:rPr>
          <w:sz w:val="24"/>
          <w:szCs w:val="24"/>
          <w:spacing w:val="-1"/>
        </w:rPr>
        <w:t>4</w:t>
      </w:r>
      <w:r>
        <w:rPr>
          <w:rFonts w:ascii="FangSong" w:hAnsi="FangSong" w:eastAsia="FangSong" w:cs="FangSong"/>
          <w:sz w:val="24"/>
          <w:szCs w:val="24"/>
          <w:spacing w:val="-1"/>
        </w:rPr>
        <w:t>）三废（废气、废水、固体废物）处理处置或排放区域；</w:t>
      </w:r>
    </w:p>
    <w:p>
      <w:pPr>
        <w:pStyle w:val="BodyText"/>
        <w:ind w:left="500"/>
        <w:spacing w:before="182" w:line="219" w:lineRule="auto"/>
        <w:rPr>
          <w:rFonts w:ascii="FangSong" w:hAnsi="FangSong" w:eastAsia="FangSong" w:cs="FangSong"/>
          <w:sz w:val="24"/>
          <w:szCs w:val="24"/>
        </w:rPr>
      </w:pPr>
      <w:r>
        <w:rPr>
          <w:rFonts w:ascii="FangSong" w:hAnsi="FangSong" w:eastAsia="FangSong" w:cs="FangSong"/>
          <w:sz w:val="24"/>
          <w:szCs w:val="24"/>
          <w:spacing w:val="-1"/>
        </w:rPr>
        <w:t>（</w:t>
      </w:r>
      <w:r>
        <w:rPr>
          <w:sz w:val="24"/>
          <w:szCs w:val="24"/>
          <w:spacing w:val="-1"/>
        </w:rPr>
        <w:t>5</w:t>
      </w:r>
      <w:r>
        <w:rPr>
          <w:rFonts w:ascii="FangSong" w:hAnsi="FangSong" w:eastAsia="FangSong" w:cs="FangSong"/>
          <w:sz w:val="24"/>
          <w:szCs w:val="24"/>
          <w:spacing w:val="-1"/>
        </w:rPr>
        <w:t>）贮存或运输有毒有害物质的各类罐槽或管线。</w:t>
      </w:r>
    </w:p>
    <w:p>
      <w:pPr>
        <w:ind w:left="16" w:firstLine="483"/>
        <w:spacing w:before="181" w:line="360" w:lineRule="auto"/>
        <w:rPr>
          <w:rFonts w:ascii="FangSong" w:hAnsi="FangSong" w:eastAsia="FangSong" w:cs="FangSong"/>
          <w:sz w:val="24"/>
          <w:szCs w:val="24"/>
        </w:rPr>
      </w:pPr>
      <w:r>
        <w:rPr>
          <w:rFonts w:ascii="FangSong" w:hAnsi="FangSong" w:eastAsia="FangSong" w:cs="FangSong"/>
          <w:sz w:val="24"/>
          <w:szCs w:val="24"/>
          <w:spacing w:val="-2"/>
        </w:rPr>
        <w:t>结合现场勘查及企业基本资料，企业的重点单元主要包括废弃物提纯车间、阳极炉车间、</w:t>
      </w:r>
      <w:r>
        <w:rPr>
          <w:rFonts w:ascii="FangSong" w:hAnsi="FangSong" w:eastAsia="FangSong" w:cs="FangSong"/>
          <w:sz w:val="24"/>
          <w:szCs w:val="24"/>
          <w:spacing w:val="12"/>
        </w:rPr>
        <w:t xml:space="preserve"> </w:t>
      </w:r>
      <w:r>
        <w:rPr>
          <w:rFonts w:ascii="FangSong" w:hAnsi="FangSong" w:eastAsia="FangSong" w:cs="FangSong"/>
          <w:sz w:val="24"/>
          <w:szCs w:val="24"/>
          <w:spacing w:val="-2"/>
        </w:rPr>
        <w:t>制球车间、原料仓库等。</w:t>
      </w:r>
    </w:p>
    <w:p>
      <w:pPr>
        <w:spacing w:line="360" w:lineRule="auto"/>
        <w:sectPr>
          <w:headerReference w:type="default" r:id="rId101"/>
          <w:footerReference w:type="default" r:id="rId102"/>
          <w:pgSz w:w="11906" w:h="16839"/>
          <w:pgMar w:top="1139" w:right="1029" w:bottom="1252" w:left="1080" w:header="831" w:footer="1090" w:gutter="0"/>
        </w:sectPr>
        <w:rPr>
          <w:rFonts w:ascii="FangSong" w:hAnsi="FangSong" w:eastAsia="FangSong" w:cs="FangSong"/>
          <w:sz w:val="24"/>
          <w:szCs w:val="24"/>
        </w:rPr>
      </w:pPr>
    </w:p>
    <w:p>
      <w:pPr>
        <w:spacing w:line="298" w:lineRule="auto"/>
        <w:rPr>
          <w:rFonts w:ascii="Arial"/>
          <w:sz w:val="21"/>
        </w:rPr>
      </w:pPr>
      <w:r/>
    </w:p>
    <w:p>
      <w:pPr>
        <w:spacing w:line="11491" w:lineRule="exact"/>
        <w:rPr/>
      </w:pPr>
      <w:r>
        <w:rPr>
          <w:position w:val="-229"/>
        </w:rPr>
        <w:drawing>
          <wp:inline distT="0" distB="0" distL="0" distR="0">
            <wp:extent cx="6185915" cy="7296911"/>
            <wp:effectExtent l="0" t="0" r="0" b="0"/>
            <wp:docPr id="82" name="IM 82"/>
            <wp:cNvGraphicFramePr/>
            <a:graphic>
              <a:graphicData uri="http://schemas.openxmlformats.org/drawingml/2006/picture">
                <pic:pic>
                  <pic:nvPicPr>
                    <pic:cNvPr id="82" name="IM 82"/>
                    <pic:cNvPicPr/>
                  </pic:nvPicPr>
                  <pic:blipFill>
                    <a:blip r:embed="rId104"/>
                    <a:stretch>
                      <a:fillRect/>
                    </a:stretch>
                  </pic:blipFill>
                  <pic:spPr>
                    <a:xfrm rot="0">
                      <a:off x="0" y="0"/>
                      <a:ext cx="6185915" cy="7296911"/>
                    </a:xfrm>
                    <a:prstGeom prst="rect">
                      <a:avLst/>
                    </a:prstGeom>
                  </pic:spPr>
                </pic:pic>
              </a:graphicData>
            </a:graphic>
          </wp:inline>
        </w:drawing>
      </w:r>
    </w:p>
    <w:p>
      <w:pPr>
        <w:pStyle w:val="BodyText"/>
        <w:ind w:left="3668"/>
        <w:spacing w:before="114" w:line="220" w:lineRule="auto"/>
        <w:rPr>
          <w:rFonts w:ascii="FangSong" w:hAnsi="FangSong" w:eastAsia="FangSong" w:cs="FangSong"/>
          <w:sz w:val="24"/>
          <w:szCs w:val="24"/>
        </w:rPr>
      </w:pPr>
      <w:r>
        <w:rPr>
          <w:rFonts w:ascii="FangSong" w:hAnsi="FangSong" w:eastAsia="FangSong" w:cs="FangSong"/>
          <w:sz w:val="24"/>
          <w:szCs w:val="24"/>
          <w:b/>
          <w:bCs/>
          <w:spacing w:val="-7"/>
        </w:rPr>
        <w:t>图</w:t>
      </w:r>
      <w:r>
        <w:rPr>
          <w:sz w:val="24"/>
          <w:szCs w:val="24"/>
          <w:b/>
          <w:bCs/>
          <w:spacing w:val="-7"/>
        </w:rPr>
        <w:t>5-1</w:t>
      </w:r>
      <w:r>
        <w:rPr>
          <w:sz w:val="24"/>
          <w:szCs w:val="24"/>
          <w:b/>
          <w:bCs/>
          <w:spacing w:val="5"/>
        </w:rPr>
        <w:t xml:space="preserve">    </w:t>
      </w:r>
      <w:r>
        <w:rPr>
          <w:rFonts w:ascii="FangSong" w:hAnsi="FangSong" w:eastAsia="FangSong" w:cs="FangSong"/>
          <w:sz w:val="24"/>
          <w:szCs w:val="24"/>
          <w:b/>
          <w:bCs/>
          <w:spacing w:val="-7"/>
        </w:rPr>
        <w:t>重点单元分布图</w:t>
      </w:r>
    </w:p>
    <w:p>
      <w:pPr>
        <w:spacing w:line="220" w:lineRule="auto"/>
        <w:sectPr>
          <w:headerReference w:type="default" r:id="rId29"/>
          <w:footerReference w:type="default" r:id="rId103"/>
          <w:pgSz w:w="11906" w:h="16839"/>
          <w:pgMar w:top="1139" w:right="1080" w:bottom="1252" w:left="1080" w:header="831" w:footer="1090" w:gutter="0"/>
        </w:sectPr>
        <w:rPr>
          <w:rFonts w:ascii="FangSong" w:hAnsi="FangSong" w:eastAsia="FangSong" w:cs="FangSong"/>
          <w:sz w:val="24"/>
          <w:szCs w:val="24"/>
        </w:rPr>
      </w:pPr>
    </w:p>
    <w:p>
      <w:pPr>
        <w:pStyle w:val="BodyText"/>
        <w:ind w:left="212"/>
        <w:spacing w:before="225" w:line="222" w:lineRule="auto"/>
        <w:outlineLvl w:val="1"/>
        <w:rPr>
          <w:rFonts w:ascii="FangSong" w:hAnsi="FangSong" w:eastAsia="FangSong" w:cs="FangSong"/>
          <w:sz w:val="28"/>
          <w:szCs w:val="28"/>
        </w:rPr>
      </w:pPr>
      <w:bookmarkStart w:name="bookmark18" w:id="22"/>
      <w:bookmarkEnd w:id="22"/>
      <w:r>
        <w:rPr>
          <w:sz w:val="28"/>
          <w:szCs w:val="28"/>
          <w:b/>
          <w:bCs/>
          <w:spacing w:val="-2"/>
        </w:rPr>
        <w:t>5.2  </w:t>
      </w:r>
      <w:r>
        <w:rPr>
          <w:rFonts w:ascii="FangSong" w:hAnsi="FangSong" w:eastAsia="FangSong" w:cs="FangSong"/>
          <w:sz w:val="28"/>
          <w:szCs w:val="28"/>
          <w:b/>
          <w:bCs/>
          <w:spacing w:val="-2"/>
        </w:rPr>
        <w:t>重点单元识别、分类结果及原因</w:t>
      </w:r>
    </w:p>
    <w:p>
      <w:pPr>
        <w:pStyle w:val="BodyText"/>
        <w:ind w:left="231" w:right="114" w:firstLine="467"/>
        <w:spacing w:before="229" w:line="360" w:lineRule="auto"/>
        <w:rPr>
          <w:rFonts w:ascii="FangSong" w:hAnsi="FangSong" w:eastAsia="FangSong" w:cs="FangSong"/>
          <w:sz w:val="24"/>
          <w:szCs w:val="24"/>
        </w:rPr>
      </w:pPr>
      <w:r>
        <w:rPr>
          <w:rFonts w:ascii="FangSong" w:hAnsi="FangSong" w:eastAsia="FangSong" w:cs="FangSong"/>
          <w:sz w:val="24"/>
          <w:szCs w:val="24"/>
        </w:rPr>
        <w:t>根据确定的重点监测单元，依据《工业企业土壤和地下水</w:t>
      </w:r>
      <w:r>
        <w:rPr>
          <w:rFonts w:ascii="FangSong" w:hAnsi="FangSong" w:eastAsia="FangSong" w:cs="FangSong"/>
          <w:sz w:val="24"/>
          <w:szCs w:val="24"/>
          <w:spacing w:val="-1"/>
        </w:rPr>
        <w:t>自行监测技术指南（试行）》</w:t>
      </w:r>
      <w:r>
        <w:rPr>
          <w:rFonts w:ascii="FangSong" w:hAnsi="FangSong" w:eastAsia="FangSong" w:cs="FangSong"/>
          <w:sz w:val="24"/>
          <w:szCs w:val="24"/>
          <w:spacing w:val="-71"/>
        </w:rPr>
        <w:t xml:space="preserve"> </w:t>
      </w:r>
      <w:r>
        <w:rPr>
          <w:rFonts w:ascii="FangSong" w:hAnsi="FangSong" w:eastAsia="FangSong" w:cs="FangSong"/>
          <w:sz w:val="24"/>
          <w:szCs w:val="24"/>
          <w:spacing w:val="-1"/>
        </w:rPr>
        <w:t>中的重点监测单元分类表，确定企业的重</w:t>
      </w:r>
      <w:r>
        <w:rPr>
          <w:rFonts w:ascii="FangSong" w:hAnsi="FangSong" w:eastAsia="FangSong" w:cs="FangSong"/>
          <w:sz w:val="24"/>
          <w:szCs w:val="24"/>
        </w:rPr>
        <w:t xml:space="preserve"> </w:t>
      </w:r>
      <w:r>
        <w:rPr>
          <w:rFonts w:ascii="FangSong" w:hAnsi="FangSong" w:eastAsia="FangSong" w:cs="FangSong"/>
          <w:sz w:val="24"/>
          <w:szCs w:val="24"/>
          <w:spacing w:val="-3"/>
        </w:rPr>
        <w:t>点监测单元清单见表</w:t>
      </w:r>
      <w:r>
        <w:rPr>
          <w:sz w:val="24"/>
          <w:szCs w:val="24"/>
          <w:spacing w:val="-3"/>
        </w:rPr>
        <w:t>5-1</w:t>
      </w:r>
      <w:r>
        <w:rPr>
          <w:rFonts w:ascii="FangSong" w:hAnsi="FangSong" w:eastAsia="FangSong" w:cs="FangSong"/>
          <w:sz w:val="24"/>
          <w:szCs w:val="24"/>
          <w:spacing w:val="-3"/>
        </w:rPr>
        <w:t>。</w:t>
      </w:r>
    </w:p>
    <w:p>
      <w:pPr>
        <w:pStyle w:val="BodyText"/>
        <w:ind w:left="5836"/>
        <w:spacing w:before="1" w:line="220" w:lineRule="auto"/>
        <w:rPr>
          <w:rFonts w:ascii="FangSong" w:hAnsi="FangSong" w:eastAsia="FangSong" w:cs="FangSong"/>
          <w:sz w:val="24"/>
          <w:szCs w:val="24"/>
        </w:rPr>
      </w:pPr>
      <w:r>
        <w:rPr>
          <w:rFonts w:ascii="FangSong" w:hAnsi="FangSong" w:eastAsia="FangSong" w:cs="FangSong"/>
          <w:sz w:val="24"/>
          <w:szCs w:val="24"/>
          <w:b/>
          <w:bCs/>
          <w:spacing w:val="-5"/>
        </w:rPr>
        <w:t>表</w:t>
      </w:r>
      <w:r>
        <w:rPr>
          <w:sz w:val="24"/>
          <w:szCs w:val="24"/>
          <w:b/>
          <w:bCs/>
          <w:spacing w:val="-5"/>
        </w:rPr>
        <w:t>5-1</w:t>
      </w:r>
      <w:r>
        <w:rPr>
          <w:sz w:val="24"/>
          <w:szCs w:val="24"/>
          <w:b/>
          <w:bCs/>
          <w:spacing w:val="6"/>
        </w:rPr>
        <w:t xml:space="preserve">    </w:t>
      </w:r>
      <w:r>
        <w:rPr>
          <w:rFonts w:ascii="FangSong" w:hAnsi="FangSong" w:eastAsia="FangSong" w:cs="FangSong"/>
          <w:sz w:val="24"/>
          <w:szCs w:val="24"/>
          <w:b/>
          <w:bCs/>
          <w:spacing w:val="-5"/>
        </w:rPr>
        <w:t>重点监测单元清单</w:t>
      </w:r>
    </w:p>
    <w:p>
      <w:pPr>
        <w:spacing w:line="66" w:lineRule="exact"/>
        <w:rPr/>
      </w:pPr>
      <w:r/>
    </w:p>
    <w:tbl>
      <w:tblPr>
        <w:tblStyle w:val="TableNormal"/>
        <w:tblW w:w="1426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2"/>
        <w:gridCol w:w="2305"/>
        <w:gridCol w:w="1535"/>
        <w:gridCol w:w="1511"/>
        <w:gridCol w:w="1511"/>
        <w:gridCol w:w="1691"/>
        <w:gridCol w:w="1090"/>
        <w:gridCol w:w="806"/>
        <w:gridCol w:w="1428"/>
        <w:gridCol w:w="1709"/>
      </w:tblGrid>
      <w:tr>
        <w:trPr>
          <w:trHeight w:val="349" w:hRule="atLeast"/>
        </w:trPr>
        <w:tc>
          <w:tcPr>
            <w:tcW w:w="2987" w:type="dxa"/>
            <w:vAlign w:val="top"/>
            <w:gridSpan w:val="2"/>
          </w:tcPr>
          <w:p>
            <w:pPr>
              <w:pStyle w:val="TableText"/>
              <w:ind w:left="1086"/>
              <w:spacing w:before="68" w:line="229" w:lineRule="auto"/>
              <w:rPr/>
            </w:pPr>
            <w:r>
              <w:rPr>
                <w:spacing w:val="5"/>
              </w:rPr>
              <w:t>企业名称</w:t>
            </w:r>
          </w:p>
        </w:tc>
        <w:tc>
          <w:tcPr>
            <w:tcW w:w="4557" w:type="dxa"/>
            <w:vAlign w:val="top"/>
            <w:gridSpan w:val="3"/>
          </w:tcPr>
          <w:p>
            <w:pPr>
              <w:pStyle w:val="TableText"/>
              <w:ind w:left="821"/>
              <w:spacing w:before="68" w:line="231" w:lineRule="auto"/>
              <w:rPr/>
            </w:pPr>
            <w:r>
              <w:rPr>
                <w:spacing w:val="8"/>
              </w:rPr>
              <w:t>浙江环益资源利用股份有限公司</w:t>
            </w:r>
          </w:p>
        </w:tc>
        <w:tc>
          <w:tcPr>
            <w:tcW w:w="1691" w:type="dxa"/>
            <w:vAlign w:val="top"/>
          </w:tcPr>
          <w:p>
            <w:pPr>
              <w:pStyle w:val="TableText"/>
              <w:ind w:left="439"/>
              <w:spacing w:before="68" w:line="229" w:lineRule="auto"/>
              <w:rPr/>
            </w:pPr>
            <w:r>
              <w:rPr>
                <w:spacing w:val="5"/>
              </w:rPr>
              <w:t>所属行业</w:t>
            </w:r>
          </w:p>
        </w:tc>
        <w:tc>
          <w:tcPr>
            <w:tcW w:w="5033" w:type="dxa"/>
            <w:vAlign w:val="top"/>
            <w:gridSpan w:val="4"/>
          </w:tcPr>
          <w:p>
            <w:pPr>
              <w:pStyle w:val="TableText"/>
              <w:ind w:left="1092"/>
              <w:spacing w:before="68" w:line="229" w:lineRule="auto"/>
              <w:rPr>
                <w:rFonts w:ascii="Times New Roman" w:hAnsi="Times New Roman" w:eastAsia="Times New Roman" w:cs="Times New Roman"/>
              </w:rPr>
            </w:pPr>
            <w:r>
              <w:rPr>
                <w:spacing w:val="7"/>
              </w:rPr>
              <w:t>金属废料和碎屑加工处理</w:t>
            </w:r>
            <w:r>
              <w:rPr>
                <w:rFonts w:ascii="Times New Roman" w:hAnsi="Times New Roman" w:eastAsia="Times New Roman" w:cs="Times New Roman"/>
                <w:spacing w:val="7"/>
              </w:rPr>
              <w:t>C4210</w:t>
            </w:r>
          </w:p>
        </w:tc>
      </w:tr>
      <w:tr>
        <w:trPr>
          <w:trHeight w:val="345" w:hRule="atLeast"/>
        </w:trPr>
        <w:tc>
          <w:tcPr>
            <w:tcW w:w="2987" w:type="dxa"/>
            <w:vAlign w:val="top"/>
            <w:gridSpan w:val="2"/>
          </w:tcPr>
          <w:p>
            <w:pPr>
              <w:pStyle w:val="TableText"/>
              <w:ind w:left="1086"/>
              <w:spacing w:before="64" w:line="232" w:lineRule="auto"/>
              <w:rPr/>
            </w:pPr>
            <w:r>
              <w:rPr>
                <w:spacing w:val="5"/>
              </w:rPr>
              <w:t>填写日期</w:t>
            </w:r>
          </w:p>
        </w:tc>
        <w:tc>
          <w:tcPr>
            <w:tcW w:w="3046" w:type="dxa"/>
            <w:vAlign w:val="top"/>
            <w:gridSpan w:val="2"/>
          </w:tcPr>
          <w:p>
            <w:pPr>
              <w:pStyle w:val="TableText"/>
              <w:ind w:left="841"/>
              <w:spacing w:before="64" w:line="231" w:lineRule="auto"/>
              <w:rPr/>
            </w:pPr>
            <w:r>
              <w:rPr>
                <w:rFonts w:ascii="Times New Roman" w:hAnsi="Times New Roman" w:eastAsia="Times New Roman" w:cs="Times New Roman"/>
                <w:spacing w:val="5"/>
              </w:rPr>
              <w:t>2023</w:t>
            </w:r>
            <w:r>
              <w:rPr>
                <w:spacing w:val="5"/>
              </w:rPr>
              <w:t>年</w:t>
            </w:r>
            <w:r>
              <w:rPr>
                <w:rFonts w:ascii="Times New Roman" w:hAnsi="Times New Roman" w:eastAsia="Times New Roman" w:cs="Times New Roman"/>
                <w:spacing w:val="5"/>
              </w:rPr>
              <w:t>7</w:t>
            </w:r>
            <w:r>
              <w:rPr>
                <w:spacing w:val="5"/>
              </w:rPr>
              <w:t>月</w:t>
            </w:r>
            <w:r>
              <w:rPr>
                <w:rFonts w:ascii="Times New Roman" w:hAnsi="Times New Roman" w:eastAsia="Times New Roman" w:cs="Times New Roman"/>
                <w:spacing w:val="5"/>
              </w:rPr>
              <w:t>30</w:t>
            </w:r>
            <w:r>
              <w:rPr>
                <w:spacing w:val="5"/>
              </w:rPr>
              <w:t>日</w:t>
            </w:r>
          </w:p>
        </w:tc>
        <w:tc>
          <w:tcPr>
            <w:tcW w:w="1511" w:type="dxa"/>
            <w:vAlign w:val="top"/>
          </w:tcPr>
          <w:p>
            <w:pPr>
              <w:pStyle w:val="TableText"/>
              <w:ind w:left="348"/>
              <w:spacing w:before="64" w:line="231" w:lineRule="auto"/>
              <w:rPr/>
            </w:pPr>
            <w:r>
              <w:rPr>
                <w:spacing w:val="5"/>
              </w:rPr>
              <w:t>填报人员</w:t>
            </w:r>
          </w:p>
        </w:tc>
        <w:tc>
          <w:tcPr>
            <w:tcW w:w="1691" w:type="dxa"/>
            <w:vAlign w:val="top"/>
          </w:tcPr>
          <w:p>
            <w:pPr>
              <w:rPr>
                <w:rFonts w:ascii="Arial"/>
                <w:sz w:val="21"/>
              </w:rPr>
            </w:pPr>
            <w:r/>
          </w:p>
        </w:tc>
        <w:tc>
          <w:tcPr>
            <w:tcW w:w="1896" w:type="dxa"/>
            <w:vAlign w:val="top"/>
            <w:gridSpan w:val="2"/>
          </w:tcPr>
          <w:p>
            <w:pPr>
              <w:pStyle w:val="TableText"/>
              <w:ind w:left="538"/>
              <w:spacing w:before="64" w:line="232" w:lineRule="auto"/>
              <w:rPr/>
            </w:pPr>
            <w:r>
              <w:rPr>
                <w:spacing w:val="6"/>
              </w:rPr>
              <w:t>联系方式</w:t>
            </w:r>
          </w:p>
        </w:tc>
        <w:tc>
          <w:tcPr>
            <w:tcW w:w="3137" w:type="dxa"/>
            <w:vAlign w:val="top"/>
            <w:gridSpan w:val="2"/>
          </w:tcPr>
          <w:p>
            <w:pPr>
              <w:rPr>
                <w:rFonts w:ascii="Arial"/>
                <w:sz w:val="21"/>
              </w:rPr>
            </w:pPr>
            <w:r/>
          </w:p>
        </w:tc>
      </w:tr>
      <w:tr>
        <w:trPr>
          <w:trHeight w:val="549" w:hRule="atLeast"/>
        </w:trPr>
        <w:tc>
          <w:tcPr>
            <w:tcW w:w="682" w:type="dxa"/>
            <w:vAlign w:val="top"/>
          </w:tcPr>
          <w:p>
            <w:pPr>
              <w:pStyle w:val="TableText"/>
              <w:ind w:left="141"/>
              <w:spacing w:before="168" w:line="231" w:lineRule="auto"/>
              <w:rPr/>
            </w:pPr>
            <w:r>
              <w:rPr>
                <w:spacing w:val="2"/>
              </w:rPr>
              <w:t>序号</w:t>
            </w:r>
          </w:p>
        </w:tc>
        <w:tc>
          <w:tcPr>
            <w:tcW w:w="2305" w:type="dxa"/>
            <w:vAlign w:val="top"/>
          </w:tcPr>
          <w:p>
            <w:pPr>
              <w:pStyle w:val="TableText"/>
              <w:ind w:left="129" w:right="110" w:firstLine="91"/>
              <w:spacing w:before="32" w:line="234" w:lineRule="auto"/>
              <w:rPr/>
            </w:pPr>
            <w:r>
              <w:rPr>
                <w:spacing w:val="7"/>
              </w:rPr>
              <w:t>单元内需要监测的重</w:t>
            </w:r>
            <w:r>
              <w:rPr>
                <w:spacing w:val="3"/>
              </w:rPr>
              <w:t xml:space="preserve">  </w:t>
            </w:r>
            <w:r>
              <w:rPr>
                <w:spacing w:val="6"/>
              </w:rPr>
              <w:t>点场所、设施设备名称</w:t>
            </w:r>
          </w:p>
        </w:tc>
        <w:tc>
          <w:tcPr>
            <w:tcW w:w="1535" w:type="dxa"/>
            <w:vAlign w:val="top"/>
          </w:tcPr>
          <w:p>
            <w:pPr>
              <w:pStyle w:val="TableText"/>
              <w:ind w:left="571"/>
              <w:spacing w:before="168" w:line="230" w:lineRule="auto"/>
              <w:rPr/>
            </w:pPr>
            <w:r>
              <w:rPr>
                <w:spacing w:val="-1"/>
              </w:rPr>
              <w:t>功能</w:t>
            </w:r>
          </w:p>
        </w:tc>
        <w:tc>
          <w:tcPr>
            <w:tcW w:w="1511" w:type="dxa"/>
            <w:vAlign w:val="top"/>
          </w:tcPr>
          <w:p>
            <w:pPr>
              <w:pStyle w:val="TableText"/>
              <w:ind w:left="346" w:right="125" w:hanging="207"/>
              <w:spacing w:before="32" w:line="234" w:lineRule="auto"/>
              <w:rPr/>
            </w:pPr>
            <w:r>
              <w:rPr>
                <w:spacing w:val="6"/>
              </w:rPr>
              <w:t>涉及有毒有害</w:t>
            </w:r>
            <w:r>
              <w:rPr>
                <w:spacing w:val="4"/>
              </w:rPr>
              <w:t xml:space="preserve"> </w:t>
            </w:r>
            <w:r>
              <w:rPr>
                <w:spacing w:val="5"/>
              </w:rPr>
              <w:t>物质清单</w:t>
            </w:r>
          </w:p>
        </w:tc>
        <w:tc>
          <w:tcPr>
            <w:tcW w:w="1511" w:type="dxa"/>
            <w:vAlign w:val="top"/>
          </w:tcPr>
          <w:p>
            <w:pPr>
              <w:pStyle w:val="TableText"/>
              <w:ind w:left="249"/>
              <w:spacing w:before="168" w:line="229" w:lineRule="auto"/>
              <w:rPr/>
            </w:pPr>
            <w:r>
              <w:rPr>
                <w:spacing w:val="5"/>
              </w:rPr>
              <w:t>关注污染物</w:t>
            </w:r>
          </w:p>
        </w:tc>
        <w:tc>
          <w:tcPr>
            <w:tcW w:w="1691" w:type="dxa"/>
            <w:vAlign w:val="top"/>
          </w:tcPr>
          <w:p>
            <w:pPr>
              <w:pStyle w:val="TableText"/>
              <w:ind w:left="438"/>
              <w:spacing w:before="168" w:line="231" w:lineRule="auto"/>
              <w:rPr/>
            </w:pPr>
            <w:r>
              <w:rPr>
                <w:spacing w:val="6"/>
              </w:rPr>
              <w:t>设施坐标</w:t>
            </w:r>
          </w:p>
        </w:tc>
        <w:tc>
          <w:tcPr>
            <w:tcW w:w="1090" w:type="dxa"/>
            <w:vAlign w:val="top"/>
          </w:tcPr>
          <w:p>
            <w:pPr>
              <w:pStyle w:val="TableText"/>
              <w:ind w:left="138"/>
              <w:spacing w:before="31" w:line="232" w:lineRule="auto"/>
              <w:rPr/>
            </w:pPr>
            <w:r>
              <w:rPr>
                <w:spacing w:val="5"/>
              </w:rPr>
              <w:t>是否为隐</w:t>
            </w:r>
          </w:p>
          <w:p>
            <w:pPr>
              <w:pStyle w:val="TableText"/>
              <w:ind w:left="142"/>
              <w:spacing w:before="21" w:line="216" w:lineRule="auto"/>
              <w:rPr/>
            </w:pPr>
            <w:r>
              <w:rPr>
                <w:spacing w:val="4"/>
              </w:rPr>
              <w:t>蔽性设施</w:t>
            </w:r>
          </w:p>
        </w:tc>
        <w:tc>
          <w:tcPr>
            <w:tcW w:w="806" w:type="dxa"/>
            <w:vAlign w:val="top"/>
          </w:tcPr>
          <w:p>
            <w:pPr>
              <w:pStyle w:val="TableText"/>
              <w:ind w:left="210"/>
              <w:spacing w:before="32" w:line="229" w:lineRule="auto"/>
              <w:rPr/>
            </w:pPr>
            <w:r>
              <w:rPr>
                <w:spacing w:val="-1"/>
              </w:rPr>
              <w:t>单元</w:t>
            </w:r>
          </w:p>
          <w:p>
            <w:pPr>
              <w:pStyle w:val="TableText"/>
              <w:ind w:left="209"/>
              <w:spacing w:before="24" w:line="216" w:lineRule="auto"/>
              <w:rPr/>
            </w:pPr>
            <w:r>
              <w:rPr/>
              <w:t>类别</w:t>
            </w:r>
          </w:p>
        </w:tc>
        <w:tc>
          <w:tcPr>
            <w:tcW w:w="3137" w:type="dxa"/>
            <w:vAlign w:val="top"/>
            <w:gridSpan w:val="2"/>
          </w:tcPr>
          <w:p>
            <w:pPr>
              <w:pStyle w:val="TableText"/>
              <w:ind w:left="214"/>
              <w:spacing w:before="32" w:line="229" w:lineRule="auto"/>
              <w:rPr/>
            </w:pPr>
            <w:r>
              <w:rPr>
                <w:spacing w:val="8"/>
              </w:rPr>
              <w:t>该单元对应的监测点位编号及</w:t>
            </w:r>
          </w:p>
          <w:p>
            <w:pPr>
              <w:pStyle w:val="TableText"/>
              <w:ind w:left="1373"/>
              <w:spacing w:before="24" w:line="216" w:lineRule="auto"/>
              <w:rPr/>
            </w:pPr>
            <w:r>
              <w:rPr>
                <w:spacing w:val="-1"/>
              </w:rPr>
              <w:t>坐标</w:t>
            </w:r>
          </w:p>
        </w:tc>
      </w:tr>
      <w:tr>
        <w:trPr>
          <w:trHeight w:val="549" w:hRule="atLeast"/>
        </w:trPr>
        <w:tc>
          <w:tcPr>
            <w:tcW w:w="682" w:type="dxa"/>
            <w:vAlign w:val="top"/>
            <w:vMerge w:val="restart"/>
            <w:tcBorders>
              <w:bottom w:val="nil"/>
            </w:tcBorders>
          </w:tcPr>
          <w:p>
            <w:pPr>
              <w:spacing w:line="267" w:lineRule="auto"/>
              <w:rPr>
                <w:rFonts w:ascii="Arial"/>
                <w:sz w:val="21"/>
              </w:rPr>
            </w:pPr>
            <w:r/>
          </w:p>
          <w:p>
            <w:pPr>
              <w:spacing w:line="268" w:lineRule="auto"/>
              <w:rPr>
                <w:rFonts w:ascii="Arial"/>
                <w:sz w:val="21"/>
              </w:rPr>
            </w:pPr>
            <w:r/>
          </w:p>
          <w:p>
            <w:pPr>
              <w:pStyle w:val="TableText"/>
              <w:ind w:left="146"/>
              <w:spacing w:before="65" w:line="229" w:lineRule="auto"/>
              <w:rPr/>
            </w:pPr>
            <w:r>
              <w:rPr>
                <w:spacing w:val="-1"/>
              </w:rPr>
              <w:t>单元</w:t>
            </w:r>
          </w:p>
          <w:p>
            <w:pPr>
              <w:ind w:left="264"/>
              <w:spacing w:before="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A</w:t>
            </w:r>
          </w:p>
        </w:tc>
        <w:tc>
          <w:tcPr>
            <w:tcW w:w="2305"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pStyle w:val="TableText"/>
              <w:ind w:left="265" w:right="108" w:hanging="136"/>
              <w:spacing w:before="65" w:line="249" w:lineRule="auto"/>
              <w:rPr/>
            </w:pPr>
            <w:r>
              <w:rPr>
                <w:spacing w:val="6"/>
              </w:rPr>
              <w:t>阳极炉生产区（阳极炉</w:t>
            </w:r>
            <w:r>
              <w:rPr>
                <w:spacing w:val="1"/>
              </w:rPr>
              <w:t xml:space="preserve"> </w:t>
            </w:r>
            <w:r>
              <w:rPr>
                <w:spacing w:val="6"/>
              </w:rPr>
              <w:t>车间</w:t>
            </w:r>
            <w:r>
              <w:rPr>
                <w:rFonts w:ascii="Times New Roman" w:hAnsi="Times New Roman" w:eastAsia="Times New Roman" w:cs="Times New Roman"/>
                <w:spacing w:val="6"/>
              </w:rPr>
              <w:t>+</w:t>
            </w:r>
            <w:r>
              <w:rPr>
                <w:spacing w:val="6"/>
              </w:rPr>
              <w:t>烟气治理区）</w:t>
            </w:r>
          </w:p>
        </w:tc>
        <w:tc>
          <w:tcPr>
            <w:tcW w:w="1535"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pStyle w:val="TableText"/>
              <w:ind w:left="356" w:right="138" w:hanging="202"/>
              <w:spacing w:before="65" w:line="251" w:lineRule="auto"/>
              <w:rPr/>
            </w:pPr>
            <w:r>
              <w:rPr>
                <w:spacing w:val="6"/>
              </w:rPr>
              <w:t>重熔冶炼铸造</w:t>
            </w:r>
            <w:r>
              <w:rPr/>
              <w:t xml:space="preserve"> </w:t>
            </w:r>
            <w:r>
              <w:rPr>
                <w:spacing w:val="5"/>
              </w:rPr>
              <w:t>磨球产品</w:t>
            </w:r>
          </w:p>
        </w:tc>
        <w:tc>
          <w:tcPr>
            <w:tcW w:w="1511" w:type="dxa"/>
            <w:vAlign w:val="top"/>
            <w:vMerge w:val="restart"/>
            <w:tcBorders>
              <w:bottom w:val="nil"/>
            </w:tcBorders>
          </w:tcPr>
          <w:p>
            <w:pPr>
              <w:pStyle w:val="TableText"/>
              <w:ind w:left="139"/>
              <w:spacing w:before="178" w:line="226" w:lineRule="auto"/>
              <w:rPr/>
            </w:pPr>
            <w:r>
              <w:rPr>
                <w:spacing w:val="5"/>
              </w:rPr>
              <w:t>苯并芘、铜、</w:t>
            </w:r>
          </w:p>
          <w:p>
            <w:pPr>
              <w:pStyle w:val="TableText"/>
              <w:ind w:left="136"/>
              <w:spacing w:before="26" w:line="231" w:lineRule="auto"/>
              <w:rPr/>
            </w:pPr>
            <w:r>
              <w:rPr>
                <w:spacing w:val="5"/>
              </w:rPr>
              <w:t>铅、锌、镉、</w:t>
            </w:r>
          </w:p>
          <w:p>
            <w:pPr>
              <w:pStyle w:val="TableText"/>
              <w:ind w:left="138"/>
              <w:spacing w:before="23" w:line="229" w:lineRule="auto"/>
              <w:rPr/>
            </w:pPr>
            <w:r>
              <w:rPr>
                <w:spacing w:val="7"/>
              </w:rPr>
              <w:t>镍、砷、六价</w:t>
            </w:r>
          </w:p>
          <w:p>
            <w:pPr>
              <w:pStyle w:val="TableText"/>
              <w:ind w:left="137"/>
              <w:spacing w:before="23" w:line="230" w:lineRule="auto"/>
              <w:rPr/>
            </w:pPr>
            <w:r>
              <w:rPr>
                <w:spacing w:val="9"/>
              </w:rPr>
              <w:t>铬、铬、二噁</w:t>
            </w:r>
          </w:p>
          <w:p>
            <w:pPr>
              <w:pStyle w:val="TableText"/>
              <w:ind w:left="662"/>
              <w:spacing w:before="23" w:line="232" w:lineRule="auto"/>
              <w:rPr/>
            </w:pPr>
            <w:r>
              <w:rPr/>
              <w:t>英</w:t>
            </w:r>
          </w:p>
        </w:tc>
        <w:tc>
          <w:tcPr>
            <w:tcW w:w="1511" w:type="dxa"/>
            <w:vAlign w:val="top"/>
            <w:vMerge w:val="restart"/>
            <w:tcBorders>
              <w:bottom w:val="nil"/>
            </w:tcBorders>
          </w:tcPr>
          <w:p>
            <w:pPr>
              <w:pStyle w:val="TableText"/>
              <w:ind w:left="140"/>
              <w:spacing w:before="41" w:line="226" w:lineRule="auto"/>
              <w:rPr/>
            </w:pPr>
            <w:r>
              <w:rPr>
                <w:spacing w:val="5"/>
              </w:rPr>
              <w:t>苯并芘、铜、</w:t>
            </w:r>
          </w:p>
          <w:p>
            <w:pPr>
              <w:pStyle w:val="TableText"/>
              <w:ind w:left="137"/>
              <w:spacing w:before="26" w:line="231" w:lineRule="auto"/>
              <w:rPr/>
            </w:pPr>
            <w:r>
              <w:rPr>
                <w:spacing w:val="5"/>
              </w:rPr>
              <w:t>铅、锌、镉、</w:t>
            </w:r>
          </w:p>
          <w:p>
            <w:pPr>
              <w:pStyle w:val="TableText"/>
              <w:ind w:left="247" w:right="162" w:hanging="108"/>
              <w:spacing w:before="22" w:line="251" w:lineRule="auto"/>
              <w:rPr/>
            </w:pPr>
            <w:r>
              <w:rPr/>
              <w:t>镍、砷、氟、</w:t>
            </w:r>
            <w:r>
              <w:rPr>
                <w:spacing w:val="3"/>
              </w:rPr>
              <w:t xml:space="preserve"> </w:t>
            </w:r>
            <w:r>
              <w:rPr>
                <w:spacing w:val="8"/>
              </w:rPr>
              <w:t>氯化氢、二</w:t>
            </w:r>
          </w:p>
          <w:p>
            <w:pPr>
              <w:pStyle w:val="TableText"/>
              <w:ind w:left="347" w:right="124" w:hanging="202"/>
              <w:spacing w:before="1" w:line="238" w:lineRule="auto"/>
              <w:rPr/>
            </w:pPr>
            <w:r>
              <w:rPr>
                <w:spacing w:val="6"/>
              </w:rPr>
              <w:t>噁英、氨、六</w:t>
            </w:r>
            <w:r>
              <w:rPr/>
              <w:t xml:space="preserve"> </w:t>
            </w:r>
            <w:r>
              <w:rPr>
                <w:spacing w:val="7"/>
              </w:rPr>
              <w:t>价铬、铬</w:t>
            </w:r>
          </w:p>
        </w:tc>
        <w:tc>
          <w:tcPr>
            <w:tcW w:w="1691" w:type="dxa"/>
            <w:vAlign w:val="top"/>
            <w:vMerge w:val="restart"/>
            <w:tcBorders>
              <w:bottom w:val="nil"/>
            </w:tcBorders>
          </w:tcPr>
          <w:p>
            <w:pPr>
              <w:spacing w:line="258" w:lineRule="auto"/>
              <w:rPr>
                <w:rFonts w:ascii="Arial"/>
                <w:sz w:val="21"/>
              </w:rPr>
            </w:pPr>
            <w:r/>
          </w:p>
          <w:p>
            <w:pPr>
              <w:spacing w:line="259" w:lineRule="auto"/>
              <w:rPr>
                <w:rFonts w:ascii="Arial"/>
                <w:sz w:val="21"/>
              </w:rPr>
            </w:pPr>
            <w:r/>
          </w:p>
          <w:p>
            <w:pPr>
              <w:pStyle w:val="TableText"/>
              <w:ind w:left="197" w:right="135" w:hanging="36"/>
              <w:spacing w:before="65" w:line="251" w:lineRule="auto"/>
              <w:rPr/>
            </w:pPr>
            <w:r>
              <w:rPr>
                <w:rFonts w:ascii="Times New Roman" w:hAnsi="Times New Roman" w:eastAsia="Times New Roman" w:cs="Times New Roman"/>
                <w:spacing w:val="2"/>
              </w:rPr>
              <w:t>120°47'52.37"</w:t>
            </w:r>
            <w:r>
              <w:rPr>
                <w:spacing w:val="2"/>
              </w:rPr>
              <w:t>东</w:t>
            </w:r>
            <w:r>
              <w:rPr>
                <w:spacing w:val="12"/>
              </w:rPr>
              <w:t xml:space="preserve"> </w:t>
            </w:r>
            <w:r>
              <w:rPr>
                <w:rFonts w:ascii="Times New Roman" w:hAnsi="Times New Roman" w:eastAsia="Times New Roman" w:cs="Times New Roman"/>
                <w:spacing w:val="2"/>
              </w:rPr>
              <w:t>30°</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18'37.61"</w:t>
            </w:r>
            <w:r>
              <w:rPr>
                <w:spacing w:val="2"/>
              </w:rPr>
              <w:t>北</w:t>
            </w:r>
          </w:p>
        </w:tc>
        <w:tc>
          <w:tcPr>
            <w:tcW w:w="1090" w:type="dxa"/>
            <w:vAlign w:val="top"/>
            <w:vMerge w:val="restart"/>
            <w:tcBorders>
              <w:bottom w:val="nil"/>
            </w:tcBorders>
          </w:tcPr>
          <w:p>
            <w:pPr>
              <w:spacing w:line="327" w:lineRule="auto"/>
              <w:rPr>
                <w:rFonts w:ascii="Arial"/>
                <w:sz w:val="21"/>
              </w:rPr>
            </w:pPr>
            <w:r/>
          </w:p>
          <w:p>
            <w:pPr>
              <w:spacing w:line="327" w:lineRule="auto"/>
              <w:rPr>
                <w:rFonts w:ascii="Arial"/>
                <w:sz w:val="21"/>
              </w:rPr>
            </w:pPr>
            <w:r/>
          </w:p>
          <w:p>
            <w:pPr>
              <w:pStyle w:val="TableText"/>
              <w:ind w:left="459"/>
              <w:spacing w:before="65" w:line="233" w:lineRule="auto"/>
              <w:rPr/>
            </w:pPr>
            <w:r>
              <w:rPr/>
              <w:t>否</w:t>
            </w:r>
          </w:p>
        </w:tc>
        <w:tc>
          <w:tcPr>
            <w:tcW w:w="806"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pStyle w:val="TableText"/>
              <w:ind w:left="213"/>
              <w:spacing w:before="65" w:line="233" w:lineRule="auto"/>
              <w:rPr/>
            </w:pPr>
            <w:r>
              <w:rPr>
                <w:spacing w:val="2"/>
              </w:rPr>
              <w:t>二类</w:t>
            </w:r>
          </w:p>
          <w:p>
            <w:pPr>
              <w:pStyle w:val="TableText"/>
              <w:ind w:left="210"/>
              <w:spacing w:before="19" w:line="229" w:lineRule="auto"/>
              <w:rPr/>
            </w:pPr>
            <w:r>
              <w:rPr>
                <w:spacing w:val="-1"/>
              </w:rPr>
              <w:t>单元</w:t>
            </w:r>
          </w:p>
        </w:tc>
        <w:tc>
          <w:tcPr>
            <w:tcW w:w="1428" w:type="dxa"/>
            <w:vAlign w:val="top"/>
          </w:tcPr>
          <w:p>
            <w:pPr>
              <w:pStyle w:val="TableText"/>
              <w:ind w:left="327"/>
              <w:spacing w:before="166"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AT</w:t>
            </w:r>
            <w:r>
              <w:rPr>
                <w:rFonts w:ascii="Times New Roman" w:hAnsi="Times New Roman" w:eastAsia="Times New Roman" w:cs="Times New Roman"/>
                <w:spacing w:val="6"/>
              </w:rPr>
              <w:t>1</w:t>
            </w:r>
          </w:p>
        </w:tc>
        <w:tc>
          <w:tcPr>
            <w:tcW w:w="1709" w:type="dxa"/>
            <w:vAlign w:val="top"/>
          </w:tcPr>
          <w:p>
            <w:pPr>
              <w:pStyle w:val="TableText"/>
              <w:ind w:left="194" w:right="140" w:hanging="30"/>
              <w:spacing w:before="32" w:line="234" w:lineRule="auto"/>
              <w:rPr/>
            </w:pPr>
            <w:r>
              <w:rPr>
                <w:rFonts w:ascii="Times New Roman" w:hAnsi="Times New Roman" w:eastAsia="Times New Roman" w:cs="Times New Roman"/>
                <w:spacing w:val="2"/>
              </w:rPr>
              <w:t>119°45′33.21″</w:t>
            </w:r>
            <w:r>
              <w:rPr>
                <w:spacing w:val="2"/>
              </w:rPr>
              <w:t>东</w:t>
            </w:r>
            <w:r>
              <w:rPr>
                <w:spacing w:val="12"/>
              </w:rPr>
              <w:t xml:space="preserve"> </w:t>
            </w:r>
            <w:r>
              <w:rPr>
                <w:rFonts w:ascii="Times New Roman" w:hAnsi="Times New Roman" w:eastAsia="Times New Roman" w:cs="Times New Roman"/>
                <w:spacing w:val="4"/>
              </w:rPr>
              <w:t>29°50′38.98″</w:t>
            </w:r>
            <w:r>
              <w:rPr>
                <w:spacing w:val="4"/>
              </w:rPr>
              <w:t>北</w:t>
            </w:r>
          </w:p>
        </w:tc>
      </w:tr>
      <w:tr>
        <w:trPr>
          <w:trHeight w:val="549" w:hRule="atLeast"/>
        </w:trPr>
        <w:tc>
          <w:tcPr>
            <w:tcW w:w="682" w:type="dxa"/>
            <w:vAlign w:val="top"/>
            <w:vMerge w:val="continue"/>
            <w:tcBorders>
              <w:top w:val="nil"/>
              <w:bottom w:val="nil"/>
            </w:tcBorders>
          </w:tcPr>
          <w:p>
            <w:pPr>
              <w:rPr>
                <w:rFonts w:ascii="Arial"/>
                <w:sz w:val="21"/>
              </w:rPr>
            </w:pPr>
            <w:r/>
          </w:p>
        </w:tc>
        <w:tc>
          <w:tcPr>
            <w:tcW w:w="2305" w:type="dxa"/>
            <w:vAlign w:val="top"/>
            <w:vMerge w:val="continue"/>
            <w:tcBorders>
              <w:top w:val="nil"/>
              <w:bottom w:val="nil"/>
            </w:tcBorders>
          </w:tcPr>
          <w:p>
            <w:pPr>
              <w:rPr>
                <w:rFonts w:ascii="Arial"/>
                <w:sz w:val="21"/>
              </w:rPr>
            </w:pPr>
            <w:r/>
          </w:p>
        </w:tc>
        <w:tc>
          <w:tcPr>
            <w:tcW w:w="1535"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691" w:type="dxa"/>
            <w:vAlign w:val="top"/>
            <w:vMerge w:val="continue"/>
            <w:tcBorders>
              <w:top w:val="nil"/>
              <w:bottom w:val="nil"/>
            </w:tcBorders>
          </w:tcPr>
          <w:p>
            <w:pPr>
              <w:rPr>
                <w:rFonts w:ascii="Arial"/>
                <w:sz w:val="21"/>
              </w:rPr>
            </w:pPr>
            <w:r/>
          </w:p>
        </w:tc>
        <w:tc>
          <w:tcPr>
            <w:tcW w:w="1090" w:type="dxa"/>
            <w:vAlign w:val="top"/>
            <w:vMerge w:val="continue"/>
            <w:tcBorders>
              <w:top w:val="nil"/>
              <w:bottom w:val="nil"/>
            </w:tcBorders>
          </w:tcPr>
          <w:p>
            <w:pPr>
              <w:rPr>
                <w:rFonts w:ascii="Arial"/>
                <w:sz w:val="21"/>
              </w:rPr>
            </w:pPr>
            <w:r/>
          </w:p>
        </w:tc>
        <w:tc>
          <w:tcPr>
            <w:tcW w:w="806" w:type="dxa"/>
            <w:vAlign w:val="top"/>
            <w:vMerge w:val="continue"/>
            <w:tcBorders>
              <w:top w:val="nil"/>
              <w:bottom w:val="nil"/>
            </w:tcBorders>
          </w:tcPr>
          <w:p>
            <w:pPr>
              <w:rPr>
                <w:rFonts w:ascii="Arial"/>
                <w:sz w:val="21"/>
              </w:rPr>
            </w:pPr>
            <w:r/>
          </w:p>
        </w:tc>
        <w:tc>
          <w:tcPr>
            <w:tcW w:w="1428" w:type="dxa"/>
            <w:vAlign w:val="top"/>
          </w:tcPr>
          <w:p>
            <w:pPr>
              <w:pStyle w:val="TableText"/>
              <w:ind w:left="327"/>
              <w:spacing w:before="169"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AT</w:t>
            </w:r>
            <w:r>
              <w:rPr>
                <w:rFonts w:ascii="Times New Roman" w:hAnsi="Times New Roman" w:eastAsia="Times New Roman" w:cs="Times New Roman"/>
                <w:spacing w:val="6"/>
              </w:rPr>
              <w:t>2</w:t>
            </w:r>
          </w:p>
        </w:tc>
        <w:tc>
          <w:tcPr>
            <w:tcW w:w="1709" w:type="dxa"/>
            <w:vAlign w:val="top"/>
          </w:tcPr>
          <w:p>
            <w:pPr>
              <w:pStyle w:val="TableText"/>
              <w:ind w:left="194" w:right="140" w:hanging="30"/>
              <w:spacing w:before="32" w:line="234" w:lineRule="auto"/>
              <w:rPr/>
            </w:pPr>
            <w:r>
              <w:rPr>
                <w:rFonts w:ascii="Times New Roman" w:hAnsi="Times New Roman" w:eastAsia="Times New Roman" w:cs="Times New Roman"/>
                <w:spacing w:val="2"/>
              </w:rPr>
              <w:t>119°45′33.41″</w:t>
            </w:r>
            <w:r>
              <w:rPr>
                <w:spacing w:val="2"/>
              </w:rPr>
              <w:t>东</w:t>
            </w:r>
            <w:r>
              <w:rPr>
                <w:spacing w:val="12"/>
              </w:rPr>
              <w:t xml:space="preserve"> </w:t>
            </w:r>
            <w:r>
              <w:rPr>
                <w:rFonts w:ascii="Times New Roman" w:hAnsi="Times New Roman" w:eastAsia="Times New Roman" w:cs="Times New Roman"/>
                <w:spacing w:val="4"/>
              </w:rPr>
              <w:t>29°50′38.93″</w:t>
            </w:r>
            <w:r>
              <w:rPr>
                <w:spacing w:val="4"/>
              </w:rPr>
              <w:t>北</w:t>
            </w:r>
          </w:p>
        </w:tc>
      </w:tr>
      <w:tr>
        <w:trPr>
          <w:trHeight w:val="549" w:hRule="atLeast"/>
        </w:trPr>
        <w:tc>
          <w:tcPr>
            <w:tcW w:w="682" w:type="dxa"/>
            <w:vAlign w:val="top"/>
            <w:vMerge w:val="continue"/>
            <w:tcBorders>
              <w:top w:val="nil"/>
            </w:tcBorders>
          </w:tcPr>
          <w:p>
            <w:pPr>
              <w:rPr>
                <w:rFonts w:ascii="Arial"/>
                <w:sz w:val="21"/>
              </w:rPr>
            </w:pPr>
            <w:r/>
          </w:p>
        </w:tc>
        <w:tc>
          <w:tcPr>
            <w:tcW w:w="2305" w:type="dxa"/>
            <w:vAlign w:val="top"/>
            <w:vMerge w:val="continue"/>
            <w:tcBorders>
              <w:top w:val="nil"/>
            </w:tcBorders>
          </w:tcPr>
          <w:p>
            <w:pPr>
              <w:rPr>
                <w:rFonts w:ascii="Arial"/>
                <w:sz w:val="21"/>
              </w:rPr>
            </w:pPr>
            <w:r/>
          </w:p>
        </w:tc>
        <w:tc>
          <w:tcPr>
            <w:tcW w:w="1535"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691"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1428" w:type="dxa"/>
            <w:vAlign w:val="top"/>
          </w:tcPr>
          <w:p>
            <w:pPr>
              <w:pStyle w:val="TableText"/>
              <w:ind w:left="227"/>
              <w:spacing w:before="169" w:line="231" w:lineRule="auto"/>
              <w:rPr>
                <w:rFonts w:ascii="Times New Roman" w:hAnsi="Times New Roman" w:eastAsia="Times New Roman" w:cs="Times New Roman"/>
              </w:rPr>
            </w:pPr>
            <w:r>
              <w:rPr>
                <w:spacing w:val="7"/>
              </w:rPr>
              <w:t>地下水</w:t>
            </w:r>
            <w:r>
              <w:rPr>
                <w:rFonts w:ascii="Times New Roman" w:hAnsi="Times New Roman" w:eastAsia="Times New Roman" w:cs="Times New Roman"/>
              </w:rPr>
              <w:t>AS</w:t>
            </w:r>
            <w:r>
              <w:rPr>
                <w:rFonts w:ascii="Times New Roman" w:hAnsi="Times New Roman" w:eastAsia="Times New Roman" w:cs="Times New Roman"/>
                <w:spacing w:val="7"/>
              </w:rPr>
              <w:t>1</w:t>
            </w:r>
          </w:p>
        </w:tc>
        <w:tc>
          <w:tcPr>
            <w:tcW w:w="1709" w:type="dxa"/>
            <w:vAlign w:val="top"/>
          </w:tcPr>
          <w:p>
            <w:pPr>
              <w:pStyle w:val="TableText"/>
              <w:ind w:left="199" w:right="145" w:hanging="30"/>
              <w:spacing w:before="36" w:line="232" w:lineRule="auto"/>
              <w:rPr/>
            </w:pPr>
            <w:r>
              <w:rPr>
                <w:rFonts w:ascii="Times New Roman" w:hAnsi="Times New Roman" w:eastAsia="Times New Roman" w:cs="Times New Roman"/>
                <w:spacing w:val="1"/>
              </w:rPr>
              <w:t>119°45'34.</w:t>
            </w:r>
            <w:r>
              <w:rPr>
                <w:rFonts w:ascii="Times New Roman" w:hAnsi="Times New Roman" w:eastAsia="Times New Roman" w:cs="Times New Roman"/>
                <w:spacing w:val="-24"/>
              </w:rPr>
              <w:t xml:space="preserve"> </w:t>
            </w:r>
            <w:r>
              <w:rPr>
                <w:rFonts w:ascii="Times New Roman" w:hAnsi="Times New Roman" w:eastAsia="Times New Roman" w:cs="Times New Roman"/>
                <w:spacing w:val="1"/>
              </w:rPr>
              <w:t>11"</w:t>
            </w:r>
            <w:r>
              <w:rPr>
                <w:spacing w:val="1"/>
              </w:rPr>
              <w:t>东</w:t>
            </w:r>
            <w:r>
              <w:rPr/>
              <w:t xml:space="preserve"> </w:t>
            </w:r>
            <w:r>
              <w:rPr>
                <w:rFonts w:ascii="Times New Roman" w:hAnsi="Times New Roman" w:eastAsia="Times New Roman" w:cs="Times New Roman"/>
                <w:spacing w:val="4"/>
              </w:rPr>
              <w:t>29°50'40.57"</w:t>
            </w:r>
            <w:r>
              <w:rPr>
                <w:spacing w:val="4"/>
              </w:rPr>
              <w:t>北</w:t>
            </w:r>
          </w:p>
        </w:tc>
      </w:tr>
      <w:tr>
        <w:trPr>
          <w:trHeight w:val="549" w:hRule="atLeast"/>
        </w:trPr>
        <w:tc>
          <w:tcPr>
            <w:tcW w:w="682" w:type="dxa"/>
            <w:vAlign w:val="top"/>
            <w:vMerge w:val="restart"/>
            <w:tcBorders>
              <w:bottom w:val="nil"/>
            </w:tcBorders>
          </w:tcPr>
          <w:p>
            <w:pPr>
              <w:spacing w:line="268" w:lineRule="auto"/>
              <w:rPr>
                <w:rFonts w:ascii="Arial"/>
                <w:sz w:val="21"/>
              </w:rPr>
            </w:pPr>
            <w:r/>
          </w:p>
          <w:p>
            <w:pPr>
              <w:spacing w:line="268" w:lineRule="auto"/>
              <w:rPr>
                <w:rFonts w:ascii="Arial"/>
                <w:sz w:val="21"/>
              </w:rPr>
            </w:pPr>
            <w:r/>
          </w:p>
          <w:p>
            <w:pPr>
              <w:pStyle w:val="TableText"/>
              <w:ind w:left="146"/>
              <w:spacing w:before="65" w:line="229" w:lineRule="auto"/>
              <w:rPr/>
            </w:pPr>
            <w:r>
              <w:rPr>
                <w:spacing w:val="-1"/>
              </w:rPr>
              <w:t>单元</w:t>
            </w:r>
          </w:p>
          <w:p>
            <w:pPr>
              <w:ind w:left="270"/>
              <w:spacing w:before="4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B</w:t>
            </w:r>
          </w:p>
        </w:tc>
        <w:tc>
          <w:tcPr>
            <w:tcW w:w="2305"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pStyle w:val="TableText"/>
              <w:ind w:left="215"/>
              <w:spacing w:before="65" w:line="232" w:lineRule="auto"/>
              <w:rPr/>
            </w:pPr>
            <w:r>
              <w:rPr>
                <w:spacing w:val="8"/>
              </w:rPr>
              <w:t>事故池和初期雨水池</w:t>
            </w:r>
          </w:p>
          <w:p>
            <w:pPr>
              <w:pStyle w:val="TableText"/>
              <w:ind w:left="1073"/>
              <w:spacing w:before="22" w:line="242" w:lineRule="auto"/>
              <w:rPr/>
            </w:pPr>
            <w:r>
              <w:rPr/>
              <w:t>区</w:t>
            </w:r>
          </w:p>
        </w:tc>
        <w:tc>
          <w:tcPr>
            <w:tcW w:w="1535"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pStyle w:val="TableText"/>
              <w:ind w:left="252" w:right="138" w:hanging="105"/>
              <w:spacing w:before="65" w:line="252" w:lineRule="auto"/>
              <w:rPr/>
            </w:pPr>
            <w:r>
              <w:rPr>
                <w:spacing w:val="7"/>
              </w:rPr>
              <w:t>事故废水和初</w:t>
            </w:r>
            <w:r>
              <w:rPr/>
              <w:t xml:space="preserve"> </w:t>
            </w:r>
            <w:r>
              <w:rPr>
                <w:spacing w:val="7"/>
              </w:rPr>
              <w:t>期雨水收集</w:t>
            </w:r>
          </w:p>
        </w:tc>
        <w:tc>
          <w:tcPr>
            <w:tcW w:w="1511" w:type="dxa"/>
            <w:vAlign w:val="top"/>
            <w:vMerge w:val="restart"/>
            <w:tcBorders>
              <w:bottom w:val="nil"/>
            </w:tcBorders>
          </w:tcPr>
          <w:p>
            <w:pPr>
              <w:spacing w:line="385" w:lineRule="auto"/>
              <w:rPr>
                <w:rFonts w:ascii="Arial"/>
                <w:sz w:val="21"/>
              </w:rPr>
            </w:pPr>
            <w:r/>
          </w:p>
          <w:p>
            <w:pPr>
              <w:pStyle w:val="TableText"/>
              <w:ind w:left="138"/>
              <w:spacing w:before="65" w:line="231" w:lineRule="auto"/>
              <w:rPr/>
            </w:pPr>
            <w:r>
              <w:rPr>
                <w:spacing w:val="5"/>
              </w:rPr>
              <w:t>铜、铅、锌、</w:t>
            </w:r>
          </w:p>
          <w:p>
            <w:pPr>
              <w:pStyle w:val="TableText"/>
              <w:ind w:left="137"/>
              <w:spacing w:before="20" w:line="229" w:lineRule="auto"/>
              <w:rPr/>
            </w:pPr>
            <w:r>
              <w:rPr>
                <w:spacing w:val="5"/>
              </w:rPr>
              <w:t>镉、镍、砷、</w:t>
            </w:r>
          </w:p>
          <w:p>
            <w:pPr>
              <w:pStyle w:val="TableText"/>
              <w:ind w:left="663"/>
              <w:spacing w:before="23" w:line="230" w:lineRule="auto"/>
              <w:rPr/>
            </w:pPr>
            <w:r>
              <w:rPr/>
              <w:t>铬</w:t>
            </w:r>
          </w:p>
        </w:tc>
        <w:tc>
          <w:tcPr>
            <w:tcW w:w="1511" w:type="dxa"/>
            <w:vAlign w:val="top"/>
            <w:vMerge w:val="restart"/>
            <w:tcBorders>
              <w:bottom w:val="nil"/>
            </w:tcBorders>
          </w:tcPr>
          <w:p>
            <w:pPr>
              <w:spacing w:line="385" w:lineRule="auto"/>
              <w:rPr>
                <w:rFonts w:ascii="Arial"/>
                <w:sz w:val="21"/>
              </w:rPr>
            </w:pPr>
            <w:r/>
          </w:p>
          <w:p>
            <w:pPr>
              <w:pStyle w:val="TableText"/>
              <w:ind w:left="139"/>
              <w:spacing w:before="65" w:line="231" w:lineRule="auto"/>
              <w:rPr/>
            </w:pPr>
            <w:r>
              <w:rPr>
                <w:spacing w:val="5"/>
              </w:rPr>
              <w:t>铜、铅、锌、</w:t>
            </w:r>
          </w:p>
          <w:p>
            <w:pPr>
              <w:pStyle w:val="TableText"/>
              <w:ind w:left="138"/>
              <w:spacing w:before="20" w:line="229" w:lineRule="auto"/>
              <w:rPr/>
            </w:pPr>
            <w:r>
              <w:rPr>
                <w:spacing w:val="5"/>
              </w:rPr>
              <w:t>镉、镍、砷、</w:t>
            </w:r>
          </w:p>
          <w:p>
            <w:pPr>
              <w:pStyle w:val="TableText"/>
              <w:ind w:left="664"/>
              <w:spacing w:before="23" w:line="230" w:lineRule="auto"/>
              <w:rPr/>
            </w:pPr>
            <w:r>
              <w:rPr/>
              <w:t>铬</w:t>
            </w:r>
          </w:p>
        </w:tc>
        <w:tc>
          <w:tcPr>
            <w:tcW w:w="1691" w:type="dxa"/>
            <w:vAlign w:val="top"/>
            <w:vMerge w:val="restart"/>
            <w:tcBorders>
              <w:bottom w:val="nil"/>
            </w:tcBorders>
          </w:tcPr>
          <w:p>
            <w:pPr>
              <w:spacing w:line="259" w:lineRule="auto"/>
              <w:rPr>
                <w:rFonts w:ascii="Arial"/>
                <w:sz w:val="21"/>
              </w:rPr>
            </w:pPr>
            <w:r/>
          </w:p>
          <w:p>
            <w:pPr>
              <w:spacing w:line="260" w:lineRule="auto"/>
              <w:rPr>
                <w:rFonts w:ascii="Arial"/>
                <w:sz w:val="21"/>
              </w:rPr>
            </w:pPr>
            <w:r/>
          </w:p>
          <w:p>
            <w:pPr>
              <w:pStyle w:val="TableText"/>
              <w:ind w:left="197" w:right="135" w:hanging="36"/>
              <w:spacing w:before="65" w:line="253" w:lineRule="auto"/>
              <w:rPr/>
            </w:pPr>
            <w:r>
              <w:rPr>
                <w:rFonts w:ascii="Times New Roman" w:hAnsi="Times New Roman" w:eastAsia="Times New Roman" w:cs="Times New Roman"/>
                <w:spacing w:val="2"/>
              </w:rPr>
              <w:t>120°47'52.16"</w:t>
            </w:r>
            <w:r>
              <w:rPr>
                <w:spacing w:val="2"/>
              </w:rPr>
              <w:t>东</w:t>
            </w:r>
            <w:r>
              <w:rPr>
                <w:spacing w:val="12"/>
              </w:rPr>
              <w:t xml:space="preserve"> </w:t>
            </w:r>
            <w:r>
              <w:rPr>
                <w:rFonts w:ascii="Times New Roman" w:hAnsi="Times New Roman" w:eastAsia="Times New Roman" w:cs="Times New Roman"/>
                <w:spacing w:val="2"/>
              </w:rPr>
              <w:t>30°</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18'31.01"</w:t>
            </w:r>
            <w:r>
              <w:rPr>
                <w:spacing w:val="2"/>
              </w:rPr>
              <w:t>北</w:t>
            </w:r>
          </w:p>
        </w:tc>
        <w:tc>
          <w:tcPr>
            <w:tcW w:w="1090" w:type="dxa"/>
            <w:vAlign w:val="top"/>
            <w:vMerge w:val="restart"/>
            <w:tcBorders>
              <w:bottom w:val="nil"/>
            </w:tcBorders>
          </w:tcPr>
          <w:p>
            <w:pPr>
              <w:spacing w:line="249" w:lineRule="auto"/>
              <w:rPr>
                <w:rFonts w:ascii="Arial"/>
                <w:sz w:val="21"/>
              </w:rPr>
            </w:pPr>
            <w:r/>
          </w:p>
          <w:p>
            <w:pPr>
              <w:pStyle w:val="TableText"/>
              <w:ind w:left="138"/>
              <w:spacing w:before="65" w:line="228" w:lineRule="auto"/>
              <w:rPr/>
            </w:pPr>
            <w:r>
              <w:rPr>
                <w:spacing w:val="5"/>
              </w:rPr>
              <w:t>是，存在</w:t>
            </w:r>
          </w:p>
          <w:p>
            <w:pPr>
              <w:pStyle w:val="TableText"/>
              <w:ind w:left="148"/>
              <w:spacing w:before="24" w:line="230" w:lineRule="auto"/>
              <w:rPr/>
            </w:pPr>
            <w:r>
              <w:rPr/>
              <w:t>收集池</w:t>
            </w:r>
            <w:r>
              <w:rPr>
                <w:spacing w:val="20"/>
              </w:rPr>
              <w:t xml:space="preserve"> </w:t>
            </w:r>
            <w:r>
              <w:rPr/>
              <w:t>(</w:t>
            </w:r>
          </w:p>
          <w:p>
            <w:pPr>
              <w:pStyle w:val="TableText"/>
              <w:ind w:left="350" w:right="172" w:hanging="162"/>
              <w:spacing w:before="23" w:line="251" w:lineRule="auto"/>
              <w:rPr/>
            </w:pPr>
            <w:r>
              <w:rPr>
                <w:spacing w:val="5"/>
              </w:rPr>
              <w:t>埋深约</w:t>
            </w:r>
            <w:r>
              <w:rPr>
                <w:rFonts w:ascii="Times New Roman" w:hAnsi="Times New Roman" w:eastAsia="Times New Roman" w:cs="Times New Roman"/>
                <w:spacing w:val="5"/>
              </w:rPr>
              <w:t>3</w:t>
            </w:r>
            <w:r>
              <w:rPr>
                <w:rFonts w:ascii="Times New Roman" w:hAnsi="Times New Roman" w:eastAsia="Times New Roman" w:cs="Times New Roman"/>
                <w:spacing w:val="2"/>
              </w:rPr>
              <w:t xml:space="preserve"> </w:t>
            </w:r>
            <w:r>
              <w:rPr>
                <w:spacing w:val="-4"/>
              </w:rPr>
              <w:t>米）</w:t>
            </w:r>
          </w:p>
        </w:tc>
        <w:tc>
          <w:tcPr>
            <w:tcW w:w="806" w:type="dxa"/>
            <w:vAlign w:val="top"/>
            <w:vMerge w:val="restart"/>
            <w:tcBorders>
              <w:bottom w:val="nil"/>
            </w:tcBorders>
          </w:tcPr>
          <w:p>
            <w:pPr>
              <w:spacing w:line="259" w:lineRule="auto"/>
              <w:rPr>
                <w:rFonts w:ascii="Arial"/>
                <w:sz w:val="21"/>
              </w:rPr>
            </w:pPr>
            <w:r/>
          </w:p>
          <w:p>
            <w:pPr>
              <w:spacing w:line="260" w:lineRule="auto"/>
              <w:rPr>
                <w:rFonts w:ascii="Arial"/>
                <w:sz w:val="21"/>
              </w:rPr>
            </w:pPr>
            <w:r/>
          </w:p>
          <w:p>
            <w:pPr>
              <w:pStyle w:val="TableText"/>
              <w:ind w:left="209"/>
              <w:spacing w:before="65" w:line="233" w:lineRule="auto"/>
              <w:rPr/>
            </w:pPr>
            <w:r>
              <w:rPr/>
              <w:t>一类</w:t>
            </w:r>
          </w:p>
          <w:p>
            <w:pPr>
              <w:pStyle w:val="TableText"/>
              <w:ind w:left="210"/>
              <w:spacing w:before="21" w:line="229" w:lineRule="auto"/>
              <w:rPr/>
            </w:pPr>
            <w:r>
              <w:rPr>
                <w:spacing w:val="-1"/>
              </w:rPr>
              <w:t>单元</w:t>
            </w:r>
          </w:p>
        </w:tc>
        <w:tc>
          <w:tcPr>
            <w:tcW w:w="1428" w:type="dxa"/>
            <w:vAlign w:val="top"/>
          </w:tcPr>
          <w:p>
            <w:pPr>
              <w:pStyle w:val="TableText"/>
              <w:ind w:left="331"/>
              <w:spacing w:before="170"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BT</w:t>
            </w:r>
            <w:r>
              <w:rPr>
                <w:rFonts w:ascii="Times New Roman" w:hAnsi="Times New Roman" w:eastAsia="Times New Roman" w:cs="Times New Roman"/>
                <w:spacing w:val="6"/>
              </w:rPr>
              <w:t>1</w:t>
            </w:r>
          </w:p>
        </w:tc>
        <w:tc>
          <w:tcPr>
            <w:tcW w:w="1709" w:type="dxa"/>
            <w:vAlign w:val="top"/>
          </w:tcPr>
          <w:p>
            <w:pPr>
              <w:pStyle w:val="TableText"/>
              <w:ind w:left="194" w:right="140" w:hanging="30"/>
              <w:spacing w:before="34" w:line="233" w:lineRule="auto"/>
              <w:rPr/>
            </w:pPr>
            <w:r>
              <w:rPr>
                <w:rFonts w:ascii="Times New Roman" w:hAnsi="Times New Roman" w:eastAsia="Times New Roman" w:cs="Times New Roman"/>
                <w:spacing w:val="2"/>
              </w:rPr>
              <w:t>119°45′37.78″</w:t>
            </w:r>
            <w:r>
              <w:rPr>
                <w:spacing w:val="2"/>
              </w:rPr>
              <w:t>东</w:t>
            </w:r>
            <w:r>
              <w:rPr>
                <w:spacing w:val="12"/>
              </w:rPr>
              <w:t xml:space="preserve"> </w:t>
            </w:r>
            <w:r>
              <w:rPr>
                <w:rFonts w:ascii="Times New Roman" w:hAnsi="Times New Roman" w:eastAsia="Times New Roman" w:cs="Times New Roman"/>
                <w:spacing w:val="4"/>
              </w:rPr>
              <w:t>29°50′38.91″</w:t>
            </w:r>
            <w:r>
              <w:rPr>
                <w:spacing w:val="4"/>
              </w:rPr>
              <w:t>北</w:t>
            </w:r>
          </w:p>
        </w:tc>
      </w:tr>
      <w:tr>
        <w:trPr>
          <w:trHeight w:val="550" w:hRule="atLeast"/>
        </w:trPr>
        <w:tc>
          <w:tcPr>
            <w:tcW w:w="682" w:type="dxa"/>
            <w:vAlign w:val="top"/>
            <w:vMerge w:val="continue"/>
            <w:tcBorders>
              <w:top w:val="nil"/>
              <w:bottom w:val="nil"/>
            </w:tcBorders>
          </w:tcPr>
          <w:p>
            <w:pPr>
              <w:rPr>
                <w:rFonts w:ascii="Arial"/>
                <w:sz w:val="21"/>
              </w:rPr>
            </w:pPr>
            <w:r/>
          </w:p>
        </w:tc>
        <w:tc>
          <w:tcPr>
            <w:tcW w:w="2305" w:type="dxa"/>
            <w:vAlign w:val="top"/>
            <w:vMerge w:val="continue"/>
            <w:tcBorders>
              <w:top w:val="nil"/>
              <w:bottom w:val="nil"/>
            </w:tcBorders>
          </w:tcPr>
          <w:p>
            <w:pPr>
              <w:rPr>
                <w:rFonts w:ascii="Arial"/>
                <w:sz w:val="21"/>
              </w:rPr>
            </w:pPr>
            <w:r/>
          </w:p>
        </w:tc>
        <w:tc>
          <w:tcPr>
            <w:tcW w:w="1535"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691" w:type="dxa"/>
            <w:vAlign w:val="top"/>
            <w:vMerge w:val="continue"/>
            <w:tcBorders>
              <w:top w:val="nil"/>
              <w:bottom w:val="nil"/>
            </w:tcBorders>
          </w:tcPr>
          <w:p>
            <w:pPr>
              <w:rPr>
                <w:rFonts w:ascii="Arial"/>
                <w:sz w:val="21"/>
              </w:rPr>
            </w:pPr>
            <w:r/>
          </w:p>
        </w:tc>
        <w:tc>
          <w:tcPr>
            <w:tcW w:w="1090" w:type="dxa"/>
            <w:vAlign w:val="top"/>
            <w:vMerge w:val="continue"/>
            <w:tcBorders>
              <w:top w:val="nil"/>
              <w:bottom w:val="nil"/>
            </w:tcBorders>
          </w:tcPr>
          <w:p>
            <w:pPr>
              <w:rPr>
                <w:rFonts w:ascii="Arial"/>
                <w:sz w:val="21"/>
              </w:rPr>
            </w:pPr>
            <w:r/>
          </w:p>
        </w:tc>
        <w:tc>
          <w:tcPr>
            <w:tcW w:w="806" w:type="dxa"/>
            <w:vAlign w:val="top"/>
            <w:vMerge w:val="continue"/>
            <w:tcBorders>
              <w:top w:val="nil"/>
              <w:bottom w:val="nil"/>
            </w:tcBorders>
          </w:tcPr>
          <w:p>
            <w:pPr>
              <w:rPr>
                <w:rFonts w:ascii="Arial"/>
                <w:sz w:val="21"/>
              </w:rPr>
            </w:pPr>
            <w:r/>
          </w:p>
        </w:tc>
        <w:tc>
          <w:tcPr>
            <w:tcW w:w="1428" w:type="dxa"/>
            <w:vAlign w:val="top"/>
          </w:tcPr>
          <w:p>
            <w:pPr>
              <w:pStyle w:val="TableText"/>
              <w:ind w:left="331"/>
              <w:spacing w:before="170"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BT</w:t>
            </w:r>
            <w:r>
              <w:rPr>
                <w:rFonts w:ascii="Times New Roman" w:hAnsi="Times New Roman" w:eastAsia="Times New Roman" w:cs="Times New Roman"/>
                <w:spacing w:val="6"/>
              </w:rPr>
              <w:t>2</w:t>
            </w:r>
          </w:p>
        </w:tc>
        <w:tc>
          <w:tcPr>
            <w:tcW w:w="1709" w:type="dxa"/>
            <w:vAlign w:val="top"/>
          </w:tcPr>
          <w:p>
            <w:pPr>
              <w:pStyle w:val="TableText"/>
              <w:ind w:left="194" w:right="140" w:hanging="30"/>
              <w:spacing w:before="35" w:line="233" w:lineRule="auto"/>
              <w:rPr/>
            </w:pPr>
            <w:r>
              <w:rPr>
                <w:rFonts w:ascii="Times New Roman" w:hAnsi="Times New Roman" w:eastAsia="Times New Roman" w:cs="Times New Roman"/>
                <w:spacing w:val="2"/>
              </w:rPr>
              <w:t>119°45′36.68″</w:t>
            </w:r>
            <w:r>
              <w:rPr>
                <w:spacing w:val="2"/>
              </w:rPr>
              <w:t>东</w:t>
            </w:r>
            <w:r>
              <w:rPr>
                <w:spacing w:val="12"/>
              </w:rPr>
              <w:t xml:space="preserve"> </w:t>
            </w:r>
            <w:r>
              <w:rPr>
                <w:rFonts w:ascii="Times New Roman" w:hAnsi="Times New Roman" w:eastAsia="Times New Roman" w:cs="Times New Roman"/>
                <w:spacing w:val="4"/>
              </w:rPr>
              <w:t>29°50′40.36″</w:t>
            </w:r>
            <w:r>
              <w:rPr>
                <w:spacing w:val="4"/>
              </w:rPr>
              <w:t>北</w:t>
            </w:r>
          </w:p>
        </w:tc>
      </w:tr>
      <w:tr>
        <w:trPr>
          <w:trHeight w:val="550" w:hRule="atLeast"/>
        </w:trPr>
        <w:tc>
          <w:tcPr>
            <w:tcW w:w="682" w:type="dxa"/>
            <w:vAlign w:val="top"/>
            <w:vMerge w:val="continue"/>
            <w:tcBorders>
              <w:top w:val="nil"/>
            </w:tcBorders>
          </w:tcPr>
          <w:p>
            <w:pPr>
              <w:rPr>
                <w:rFonts w:ascii="Arial"/>
                <w:sz w:val="21"/>
              </w:rPr>
            </w:pPr>
            <w:r/>
          </w:p>
        </w:tc>
        <w:tc>
          <w:tcPr>
            <w:tcW w:w="2305" w:type="dxa"/>
            <w:vAlign w:val="top"/>
            <w:vMerge w:val="continue"/>
            <w:tcBorders>
              <w:top w:val="nil"/>
            </w:tcBorders>
          </w:tcPr>
          <w:p>
            <w:pPr>
              <w:rPr>
                <w:rFonts w:ascii="Arial"/>
                <w:sz w:val="21"/>
              </w:rPr>
            </w:pPr>
            <w:r/>
          </w:p>
        </w:tc>
        <w:tc>
          <w:tcPr>
            <w:tcW w:w="1535"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691"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1428" w:type="dxa"/>
            <w:vAlign w:val="top"/>
          </w:tcPr>
          <w:p>
            <w:pPr>
              <w:pStyle w:val="TableText"/>
              <w:ind w:left="231"/>
              <w:spacing w:before="169" w:line="231" w:lineRule="auto"/>
              <w:rPr>
                <w:rFonts w:ascii="Times New Roman" w:hAnsi="Times New Roman" w:eastAsia="Times New Roman" w:cs="Times New Roman"/>
              </w:rPr>
            </w:pPr>
            <w:r>
              <w:rPr>
                <w:spacing w:val="7"/>
              </w:rPr>
              <w:t>地下水</w:t>
            </w:r>
            <w:r>
              <w:rPr>
                <w:rFonts w:ascii="Times New Roman" w:hAnsi="Times New Roman" w:eastAsia="Times New Roman" w:cs="Times New Roman"/>
              </w:rPr>
              <w:t>BS</w:t>
            </w:r>
            <w:r>
              <w:rPr>
                <w:rFonts w:ascii="Times New Roman" w:hAnsi="Times New Roman" w:eastAsia="Times New Roman" w:cs="Times New Roman"/>
                <w:spacing w:val="7"/>
              </w:rPr>
              <w:t>1</w:t>
            </w:r>
          </w:p>
        </w:tc>
        <w:tc>
          <w:tcPr>
            <w:tcW w:w="1709" w:type="dxa"/>
            <w:vAlign w:val="top"/>
          </w:tcPr>
          <w:p>
            <w:pPr>
              <w:pStyle w:val="TableText"/>
              <w:ind w:left="199" w:right="145" w:hanging="30"/>
              <w:spacing w:before="35" w:line="233" w:lineRule="auto"/>
              <w:rPr/>
            </w:pPr>
            <w:r>
              <w:rPr>
                <w:rFonts w:ascii="Times New Roman" w:hAnsi="Times New Roman" w:eastAsia="Times New Roman" w:cs="Times New Roman"/>
                <w:spacing w:val="2"/>
              </w:rPr>
              <w:t>119°45'36.92"</w:t>
            </w:r>
            <w:r>
              <w:rPr>
                <w:spacing w:val="2"/>
              </w:rPr>
              <w:t>东</w:t>
            </w:r>
            <w:r>
              <w:rPr>
                <w:spacing w:val="12"/>
              </w:rPr>
              <w:t xml:space="preserve"> </w:t>
            </w:r>
            <w:r>
              <w:rPr>
                <w:rFonts w:ascii="Times New Roman" w:hAnsi="Times New Roman" w:eastAsia="Times New Roman" w:cs="Times New Roman"/>
                <w:spacing w:val="4"/>
              </w:rPr>
              <w:t>29°50'40.32"</w:t>
            </w:r>
            <w:r>
              <w:rPr>
                <w:spacing w:val="4"/>
              </w:rPr>
              <w:t>北</w:t>
            </w:r>
          </w:p>
        </w:tc>
      </w:tr>
      <w:tr>
        <w:trPr>
          <w:trHeight w:val="550" w:hRule="atLeast"/>
        </w:trPr>
        <w:tc>
          <w:tcPr>
            <w:tcW w:w="682" w:type="dxa"/>
            <w:vAlign w:val="top"/>
            <w:vMerge w:val="restart"/>
            <w:tcBorders>
              <w:bottom w:val="nil"/>
            </w:tcBorders>
          </w:tcPr>
          <w:p>
            <w:pPr>
              <w:spacing w:line="267" w:lineRule="auto"/>
              <w:rPr>
                <w:rFonts w:ascii="Arial"/>
                <w:sz w:val="21"/>
              </w:rPr>
            </w:pPr>
            <w:r/>
          </w:p>
          <w:p>
            <w:pPr>
              <w:spacing w:line="268" w:lineRule="auto"/>
              <w:rPr>
                <w:rFonts w:ascii="Arial"/>
                <w:sz w:val="21"/>
              </w:rPr>
            </w:pPr>
            <w:r/>
          </w:p>
          <w:p>
            <w:pPr>
              <w:pStyle w:val="TableText"/>
              <w:ind w:left="146"/>
              <w:spacing w:before="65" w:line="229" w:lineRule="auto"/>
              <w:rPr/>
            </w:pPr>
            <w:r>
              <w:rPr>
                <w:spacing w:val="-1"/>
              </w:rPr>
              <w:t>单元</w:t>
            </w:r>
          </w:p>
          <w:p>
            <w:pPr>
              <w:ind w:left="274"/>
              <w:spacing w:before="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C</w:t>
            </w:r>
          </w:p>
        </w:tc>
        <w:tc>
          <w:tcPr>
            <w:tcW w:w="2305"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pStyle w:val="TableText"/>
              <w:ind w:left="220"/>
              <w:spacing w:before="65" w:line="228" w:lineRule="auto"/>
              <w:rPr/>
            </w:pPr>
            <w:r>
              <w:rPr>
                <w:spacing w:val="7"/>
              </w:rPr>
              <w:t>原料仓库及原制球车</w:t>
            </w:r>
          </w:p>
          <w:p>
            <w:pPr>
              <w:pStyle w:val="TableText"/>
              <w:ind w:left="1075"/>
              <w:spacing w:before="23" w:line="232" w:lineRule="auto"/>
              <w:rPr/>
            </w:pPr>
            <w:r>
              <w:rPr/>
              <w:t>间</w:t>
            </w:r>
          </w:p>
        </w:tc>
        <w:tc>
          <w:tcPr>
            <w:tcW w:w="1535" w:type="dxa"/>
            <w:vAlign w:val="top"/>
            <w:vMerge w:val="restart"/>
            <w:tcBorders>
              <w:bottom w:val="nil"/>
            </w:tcBorders>
          </w:tcPr>
          <w:p>
            <w:pPr>
              <w:pStyle w:val="TableText"/>
              <w:ind w:left="151"/>
              <w:spacing w:before="181" w:line="228" w:lineRule="auto"/>
              <w:rPr/>
            </w:pPr>
            <w:r>
              <w:rPr>
                <w:spacing w:val="6"/>
              </w:rPr>
              <w:t>原料仓库贮存</w:t>
            </w:r>
          </w:p>
          <w:p>
            <w:pPr>
              <w:pStyle w:val="TableText"/>
              <w:ind w:left="147"/>
              <w:spacing w:before="24" w:line="229" w:lineRule="auto"/>
              <w:rPr/>
            </w:pPr>
            <w:r>
              <w:rPr>
                <w:spacing w:val="7"/>
              </w:rPr>
              <w:t>从外单位收集</w:t>
            </w:r>
          </w:p>
          <w:p>
            <w:pPr>
              <w:pStyle w:val="TableText"/>
              <w:ind w:left="160"/>
              <w:spacing w:before="23" w:line="229" w:lineRule="auto"/>
              <w:rPr/>
            </w:pPr>
            <w:r>
              <w:rPr>
                <w:spacing w:val="5"/>
              </w:rPr>
              <w:t>的含金属废物</w:t>
            </w:r>
          </w:p>
          <w:p>
            <w:pPr>
              <w:pStyle w:val="TableText"/>
              <w:ind w:left="162"/>
              <w:spacing w:before="25" w:line="228" w:lineRule="auto"/>
              <w:rPr/>
            </w:pPr>
            <w:r>
              <w:rPr>
                <w:spacing w:val="-7"/>
              </w:rPr>
              <w:t>,</w:t>
            </w:r>
            <w:r>
              <w:rPr>
                <w:spacing w:val="70"/>
              </w:rPr>
              <w:t xml:space="preserve"> </w:t>
            </w:r>
            <w:r>
              <w:rPr>
                <w:spacing w:val="-7"/>
              </w:rPr>
              <w:t>原制球车间</w:t>
            </w:r>
          </w:p>
          <w:p>
            <w:pPr>
              <w:pStyle w:val="TableText"/>
              <w:ind w:left="489"/>
              <w:spacing w:before="23" w:line="232" w:lineRule="auto"/>
              <w:rPr/>
            </w:pPr>
            <w:r>
              <w:rPr>
                <w:spacing w:val="-4"/>
              </w:rPr>
              <w:t>已停用</w:t>
            </w:r>
          </w:p>
        </w:tc>
        <w:tc>
          <w:tcPr>
            <w:tcW w:w="1511" w:type="dxa"/>
            <w:vAlign w:val="top"/>
            <w:vMerge w:val="restart"/>
            <w:tcBorders>
              <w:bottom w:val="nil"/>
            </w:tcBorders>
          </w:tcPr>
          <w:p>
            <w:pPr>
              <w:spacing w:line="384" w:lineRule="auto"/>
              <w:rPr>
                <w:rFonts w:ascii="Arial"/>
                <w:sz w:val="21"/>
              </w:rPr>
            </w:pPr>
            <w:r/>
          </w:p>
          <w:p>
            <w:pPr>
              <w:pStyle w:val="TableText"/>
              <w:ind w:left="138"/>
              <w:spacing w:before="65" w:line="231" w:lineRule="auto"/>
              <w:rPr/>
            </w:pPr>
            <w:r>
              <w:rPr>
                <w:spacing w:val="5"/>
              </w:rPr>
              <w:t>铜、铅、锌、</w:t>
            </w:r>
          </w:p>
          <w:p>
            <w:pPr>
              <w:pStyle w:val="TableText"/>
              <w:ind w:left="137"/>
              <w:spacing w:before="20" w:line="229" w:lineRule="auto"/>
              <w:rPr/>
            </w:pPr>
            <w:r>
              <w:rPr>
                <w:spacing w:val="5"/>
              </w:rPr>
              <w:t>镉、镍、砷、</w:t>
            </w:r>
          </w:p>
          <w:p>
            <w:pPr>
              <w:pStyle w:val="TableText"/>
              <w:ind w:left="663"/>
              <w:spacing w:before="26" w:line="230" w:lineRule="auto"/>
              <w:rPr/>
            </w:pPr>
            <w:r>
              <w:rPr/>
              <w:t>铬</w:t>
            </w:r>
          </w:p>
        </w:tc>
        <w:tc>
          <w:tcPr>
            <w:tcW w:w="1511" w:type="dxa"/>
            <w:vAlign w:val="top"/>
            <w:vMerge w:val="restart"/>
            <w:tcBorders>
              <w:bottom w:val="nil"/>
            </w:tcBorders>
          </w:tcPr>
          <w:p>
            <w:pPr>
              <w:spacing w:line="384" w:lineRule="auto"/>
              <w:rPr>
                <w:rFonts w:ascii="Arial"/>
                <w:sz w:val="21"/>
              </w:rPr>
            </w:pPr>
            <w:r/>
          </w:p>
          <w:p>
            <w:pPr>
              <w:pStyle w:val="TableText"/>
              <w:ind w:left="139"/>
              <w:spacing w:before="65" w:line="231" w:lineRule="auto"/>
              <w:rPr/>
            </w:pPr>
            <w:r>
              <w:rPr>
                <w:spacing w:val="5"/>
              </w:rPr>
              <w:t>铜、铅、锌、</w:t>
            </w:r>
          </w:p>
          <w:p>
            <w:pPr>
              <w:pStyle w:val="TableText"/>
              <w:ind w:left="138"/>
              <w:spacing w:before="20" w:line="229" w:lineRule="auto"/>
              <w:rPr/>
            </w:pPr>
            <w:r>
              <w:rPr>
                <w:spacing w:val="5"/>
              </w:rPr>
              <w:t>镉、镍、砷、</w:t>
            </w:r>
          </w:p>
          <w:p>
            <w:pPr>
              <w:pStyle w:val="TableText"/>
              <w:ind w:left="664"/>
              <w:spacing w:before="26" w:line="230" w:lineRule="auto"/>
              <w:rPr/>
            </w:pPr>
            <w:r>
              <w:rPr/>
              <w:t>铬</w:t>
            </w:r>
          </w:p>
        </w:tc>
        <w:tc>
          <w:tcPr>
            <w:tcW w:w="1691"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pStyle w:val="TableText"/>
              <w:ind w:left="197" w:right="135" w:hanging="36"/>
              <w:spacing w:before="65" w:line="251" w:lineRule="auto"/>
              <w:rPr/>
            </w:pPr>
            <w:r>
              <w:rPr>
                <w:rFonts w:ascii="Times New Roman" w:hAnsi="Times New Roman" w:eastAsia="Times New Roman" w:cs="Times New Roman"/>
                <w:spacing w:val="2"/>
              </w:rPr>
              <w:t>120°47'50.62"</w:t>
            </w:r>
            <w:r>
              <w:rPr>
                <w:spacing w:val="2"/>
              </w:rPr>
              <w:t>东</w:t>
            </w:r>
            <w:r>
              <w:rPr>
                <w:spacing w:val="12"/>
              </w:rPr>
              <w:t xml:space="preserve"> </w:t>
            </w:r>
            <w:r>
              <w:rPr>
                <w:rFonts w:ascii="Times New Roman" w:hAnsi="Times New Roman" w:eastAsia="Times New Roman" w:cs="Times New Roman"/>
                <w:spacing w:val="2"/>
              </w:rPr>
              <w:t>30°</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18'24.92"</w:t>
            </w:r>
            <w:r>
              <w:rPr>
                <w:spacing w:val="2"/>
              </w:rPr>
              <w:t>北</w:t>
            </w:r>
          </w:p>
        </w:tc>
        <w:tc>
          <w:tcPr>
            <w:tcW w:w="1090" w:type="dxa"/>
            <w:vAlign w:val="top"/>
            <w:vMerge w:val="restart"/>
            <w:tcBorders>
              <w:bottom w:val="nil"/>
            </w:tcBorders>
          </w:tcPr>
          <w:p>
            <w:pPr>
              <w:spacing w:line="327" w:lineRule="auto"/>
              <w:rPr>
                <w:rFonts w:ascii="Arial"/>
                <w:sz w:val="21"/>
              </w:rPr>
            </w:pPr>
            <w:r/>
          </w:p>
          <w:p>
            <w:pPr>
              <w:spacing w:line="327" w:lineRule="auto"/>
              <w:rPr>
                <w:rFonts w:ascii="Arial"/>
                <w:sz w:val="21"/>
              </w:rPr>
            </w:pPr>
            <w:r/>
          </w:p>
          <w:p>
            <w:pPr>
              <w:pStyle w:val="TableText"/>
              <w:ind w:left="459"/>
              <w:spacing w:before="65" w:line="233" w:lineRule="auto"/>
              <w:rPr/>
            </w:pPr>
            <w:r>
              <w:rPr/>
              <w:t>否</w:t>
            </w:r>
          </w:p>
        </w:tc>
        <w:tc>
          <w:tcPr>
            <w:tcW w:w="806" w:type="dxa"/>
            <w:vAlign w:val="top"/>
            <w:vMerge w:val="restart"/>
            <w:tcBorders>
              <w:bottom w:val="nil"/>
            </w:tcBorders>
          </w:tcPr>
          <w:p>
            <w:pPr>
              <w:spacing w:line="260" w:lineRule="auto"/>
              <w:rPr>
                <w:rFonts w:ascii="Arial"/>
                <w:sz w:val="21"/>
              </w:rPr>
            </w:pPr>
            <w:r/>
          </w:p>
          <w:p>
            <w:pPr>
              <w:spacing w:line="261" w:lineRule="auto"/>
              <w:rPr>
                <w:rFonts w:ascii="Arial"/>
                <w:sz w:val="21"/>
              </w:rPr>
            </w:pPr>
            <w:r/>
          </w:p>
          <w:p>
            <w:pPr>
              <w:pStyle w:val="TableText"/>
              <w:ind w:left="213"/>
              <w:spacing w:before="65" w:line="233" w:lineRule="auto"/>
              <w:rPr/>
            </w:pPr>
            <w:r>
              <w:rPr>
                <w:spacing w:val="2"/>
              </w:rPr>
              <w:t>二类</w:t>
            </w:r>
          </w:p>
          <w:p>
            <w:pPr>
              <w:pStyle w:val="TableText"/>
              <w:ind w:left="210"/>
              <w:spacing w:before="19" w:line="229" w:lineRule="auto"/>
              <w:rPr/>
            </w:pPr>
            <w:r>
              <w:rPr>
                <w:spacing w:val="-1"/>
              </w:rPr>
              <w:t>单元</w:t>
            </w:r>
          </w:p>
        </w:tc>
        <w:tc>
          <w:tcPr>
            <w:tcW w:w="1428" w:type="dxa"/>
            <w:vAlign w:val="top"/>
          </w:tcPr>
          <w:p>
            <w:pPr>
              <w:pStyle w:val="TableText"/>
              <w:ind w:left="331"/>
              <w:spacing w:before="169"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CT</w:t>
            </w:r>
            <w:r>
              <w:rPr>
                <w:rFonts w:ascii="Times New Roman" w:hAnsi="Times New Roman" w:eastAsia="Times New Roman" w:cs="Times New Roman"/>
                <w:spacing w:val="6"/>
              </w:rPr>
              <w:t>1</w:t>
            </w:r>
          </w:p>
        </w:tc>
        <w:tc>
          <w:tcPr>
            <w:tcW w:w="1709" w:type="dxa"/>
            <w:vAlign w:val="top"/>
          </w:tcPr>
          <w:p>
            <w:pPr>
              <w:pStyle w:val="TableText"/>
              <w:ind w:left="194" w:right="140" w:hanging="30"/>
              <w:spacing w:before="35" w:line="233" w:lineRule="auto"/>
              <w:rPr/>
            </w:pPr>
            <w:r>
              <w:rPr>
                <w:rFonts w:ascii="Times New Roman" w:hAnsi="Times New Roman" w:eastAsia="Times New Roman" w:cs="Times New Roman"/>
                <w:spacing w:val="2"/>
              </w:rPr>
              <w:t>119°45′39.92″</w:t>
            </w:r>
            <w:r>
              <w:rPr>
                <w:spacing w:val="2"/>
              </w:rPr>
              <w:t>东</w:t>
            </w:r>
            <w:r>
              <w:rPr>
                <w:spacing w:val="12"/>
              </w:rPr>
              <w:t xml:space="preserve"> </w:t>
            </w:r>
            <w:r>
              <w:rPr>
                <w:rFonts w:ascii="Times New Roman" w:hAnsi="Times New Roman" w:eastAsia="Times New Roman" w:cs="Times New Roman"/>
                <w:spacing w:val="4"/>
              </w:rPr>
              <w:t>29°50′32.64″</w:t>
            </w:r>
            <w:r>
              <w:rPr>
                <w:spacing w:val="4"/>
              </w:rPr>
              <w:t>北</w:t>
            </w:r>
          </w:p>
        </w:tc>
      </w:tr>
      <w:tr>
        <w:trPr>
          <w:trHeight w:val="549" w:hRule="atLeast"/>
        </w:trPr>
        <w:tc>
          <w:tcPr>
            <w:tcW w:w="682" w:type="dxa"/>
            <w:vAlign w:val="top"/>
            <w:vMerge w:val="continue"/>
            <w:tcBorders>
              <w:top w:val="nil"/>
              <w:bottom w:val="nil"/>
            </w:tcBorders>
          </w:tcPr>
          <w:p>
            <w:pPr>
              <w:rPr>
                <w:rFonts w:ascii="Arial"/>
                <w:sz w:val="21"/>
              </w:rPr>
            </w:pPr>
            <w:r/>
          </w:p>
        </w:tc>
        <w:tc>
          <w:tcPr>
            <w:tcW w:w="2305" w:type="dxa"/>
            <w:vAlign w:val="top"/>
            <w:vMerge w:val="continue"/>
            <w:tcBorders>
              <w:top w:val="nil"/>
              <w:bottom w:val="nil"/>
            </w:tcBorders>
          </w:tcPr>
          <w:p>
            <w:pPr>
              <w:rPr>
                <w:rFonts w:ascii="Arial"/>
                <w:sz w:val="21"/>
              </w:rPr>
            </w:pPr>
            <w:r/>
          </w:p>
        </w:tc>
        <w:tc>
          <w:tcPr>
            <w:tcW w:w="1535"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691" w:type="dxa"/>
            <w:vAlign w:val="top"/>
            <w:vMerge w:val="continue"/>
            <w:tcBorders>
              <w:top w:val="nil"/>
              <w:bottom w:val="nil"/>
            </w:tcBorders>
          </w:tcPr>
          <w:p>
            <w:pPr>
              <w:rPr>
                <w:rFonts w:ascii="Arial"/>
                <w:sz w:val="21"/>
              </w:rPr>
            </w:pPr>
            <w:r/>
          </w:p>
        </w:tc>
        <w:tc>
          <w:tcPr>
            <w:tcW w:w="1090" w:type="dxa"/>
            <w:vAlign w:val="top"/>
            <w:vMerge w:val="continue"/>
            <w:tcBorders>
              <w:top w:val="nil"/>
              <w:bottom w:val="nil"/>
            </w:tcBorders>
          </w:tcPr>
          <w:p>
            <w:pPr>
              <w:rPr>
                <w:rFonts w:ascii="Arial"/>
                <w:sz w:val="21"/>
              </w:rPr>
            </w:pPr>
            <w:r/>
          </w:p>
        </w:tc>
        <w:tc>
          <w:tcPr>
            <w:tcW w:w="806" w:type="dxa"/>
            <w:vAlign w:val="top"/>
            <w:vMerge w:val="continue"/>
            <w:tcBorders>
              <w:top w:val="nil"/>
              <w:bottom w:val="nil"/>
            </w:tcBorders>
          </w:tcPr>
          <w:p>
            <w:pPr>
              <w:rPr>
                <w:rFonts w:ascii="Arial"/>
                <w:sz w:val="21"/>
              </w:rPr>
            </w:pPr>
            <w:r/>
          </w:p>
        </w:tc>
        <w:tc>
          <w:tcPr>
            <w:tcW w:w="1428" w:type="dxa"/>
            <w:vAlign w:val="top"/>
          </w:tcPr>
          <w:p>
            <w:pPr>
              <w:pStyle w:val="TableText"/>
              <w:ind w:left="331"/>
              <w:spacing w:before="168"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CT</w:t>
            </w:r>
            <w:r>
              <w:rPr>
                <w:rFonts w:ascii="Times New Roman" w:hAnsi="Times New Roman" w:eastAsia="Times New Roman" w:cs="Times New Roman"/>
                <w:spacing w:val="6"/>
              </w:rPr>
              <w:t>2</w:t>
            </w:r>
          </w:p>
        </w:tc>
        <w:tc>
          <w:tcPr>
            <w:tcW w:w="1709" w:type="dxa"/>
            <w:vAlign w:val="top"/>
          </w:tcPr>
          <w:p>
            <w:pPr>
              <w:pStyle w:val="TableText"/>
              <w:ind w:left="194" w:right="140" w:hanging="30"/>
              <w:spacing w:before="34" w:line="233" w:lineRule="auto"/>
              <w:rPr/>
            </w:pPr>
            <w:r>
              <w:rPr>
                <w:rFonts w:ascii="Times New Roman" w:hAnsi="Times New Roman" w:eastAsia="Times New Roman" w:cs="Times New Roman"/>
                <w:spacing w:val="2"/>
              </w:rPr>
              <w:t>119°45′35.93″</w:t>
            </w:r>
            <w:r>
              <w:rPr>
                <w:spacing w:val="2"/>
              </w:rPr>
              <w:t>东</w:t>
            </w:r>
            <w:r>
              <w:rPr>
                <w:spacing w:val="12"/>
              </w:rPr>
              <w:t xml:space="preserve"> </w:t>
            </w:r>
            <w:r>
              <w:rPr>
                <w:rFonts w:ascii="Times New Roman" w:hAnsi="Times New Roman" w:eastAsia="Times New Roman" w:cs="Times New Roman"/>
                <w:spacing w:val="4"/>
              </w:rPr>
              <w:t>29°50′33.41″</w:t>
            </w:r>
            <w:r>
              <w:rPr>
                <w:spacing w:val="4"/>
              </w:rPr>
              <w:t>北</w:t>
            </w:r>
          </w:p>
        </w:tc>
      </w:tr>
      <w:tr>
        <w:trPr>
          <w:trHeight w:val="549" w:hRule="atLeast"/>
        </w:trPr>
        <w:tc>
          <w:tcPr>
            <w:tcW w:w="682" w:type="dxa"/>
            <w:vAlign w:val="top"/>
            <w:vMerge w:val="continue"/>
            <w:tcBorders>
              <w:top w:val="nil"/>
            </w:tcBorders>
          </w:tcPr>
          <w:p>
            <w:pPr>
              <w:rPr>
                <w:rFonts w:ascii="Arial"/>
                <w:sz w:val="21"/>
              </w:rPr>
            </w:pPr>
            <w:r/>
          </w:p>
        </w:tc>
        <w:tc>
          <w:tcPr>
            <w:tcW w:w="2305" w:type="dxa"/>
            <w:vAlign w:val="top"/>
            <w:vMerge w:val="continue"/>
            <w:tcBorders>
              <w:top w:val="nil"/>
            </w:tcBorders>
          </w:tcPr>
          <w:p>
            <w:pPr>
              <w:rPr>
                <w:rFonts w:ascii="Arial"/>
                <w:sz w:val="21"/>
              </w:rPr>
            </w:pPr>
            <w:r/>
          </w:p>
        </w:tc>
        <w:tc>
          <w:tcPr>
            <w:tcW w:w="1535"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691"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1428" w:type="dxa"/>
            <w:vAlign w:val="top"/>
          </w:tcPr>
          <w:p>
            <w:pPr>
              <w:pStyle w:val="TableText"/>
              <w:ind w:left="231"/>
              <w:spacing w:before="171" w:line="231" w:lineRule="auto"/>
              <w:rPr>
                <w:rFonts w:ascii="Times New Roman" w:hAnsi="Times New Roman" w:eastAsia="Times New Roman" w:cs="Times New Roman"/>
              </w:rPr>
            </w:pPr>
            <w:r>
              <w:rPr>
                <w:spacing w:val="7"/>
              </w:rPr>
              <w:t>地下水</w:t>
            </w:r>
            <w:r>
              <w:rPr>
                <w:rFonts w:ascii="Times New Roman" w:hAnsi="Times New Roman" w:eastAsia="Times New Roman" w:cs="Times New Roman"/>
              </w:rPr>
              <w:t>CS</w:t>
            </w:r>
            <w:r>
              <w:rPr>
                <w:rFonts w:ascii="Times New Roman" w:hAnsi="Times New Roman" w:eastAsia="Times New Roman" w:cs="Times New Roman"/>
                <w:spacing w:val="7"/>
              </w:rPr>
              <w:t>1</w:t>
            </w:r>
          </w:p>
        </w:tc>
        <w:tc>
          <w:tcPr>
            <w:tcW w:w="1709" w:type="dxa"/>
            <w:vAlign w:val="top"/>
          </w:tcPr>
          <w:p>
            <w:pPr>
              <w:pStyle w:val="TableText"/>
              <w:ind w:left="199" w:right="145" w:hanging="30"/>
              <w:spacing w:before="34" w:line="233" w:lineRule="auto"/>
              <w:rPr/>
            </w:pPr>
            <w:r>
              <w:rPr>
                <w:rFonts w:ascii="Times New Roman" w:hAnsi="Times New Roman" w:eastAsia="Times New Roman" w:cs="Times New Roman"/>
                <w:spacing w:val="2"/>
              </w:rPr>
              <w:t>119°45'39.74"</w:t>
            </w:r>
            <w:r>
              <w:rPr>
                <w:spacing w:val="2"/>
              </w:rPr>
              <w:t>东</w:t>
            </w:r>
            <w:r>
              <w:rPr>
                <w:spacing w:val="12"/>
              </w:rPr>
              <w:t xml:space="preserve"> </w:t>
            </w:r>
            <w:r>
              <w:rPr>
                <w:rFonts w:ascii="Times New Roman" w:hAnsi="Times New Roman" w:eastAsia="Times New Roman" w:cs="Times New Roman"/>
                <w:spacing w:val="4"/>
              </w:rPr>
              <w:t>29°50'32.52"</w:t>
            </w:r>
            <w:r>
              <w:rPr>
                <w:spacing w:val="4"/>
              </w:rPr>
              <w:t>北</w:t>
            </w:r>
          </w:p>
        </w:tc>
      </w:tr>
      <w:tr>
        <w:trPr>
          <w:trHeight w:val="550" w:hRule="atLeast"/>
        </w:trPr>
        <w:tc>
          <w:tcPr>
            <w:tcW w:w="682" w:type="dxa"/>
            <w:vAlign w:val="top"/>
            <w:vMerge w:val="restart"/>
            <w:tcBorders>
              <w:bottom w:val="nil"/>
            </w:tcBorders>
          </w:tcPr>
          <w:p>
            <w:pPr>
              <w:spacing w:line="435" w:lineRule="auto"/>
              <w:rPr>
                <w:rFonts w:ascii="Arial"/>
                <w:sz w:val="21"/>
              </w:rPr>
            </w:pPr>
            <w:r/>
          </w:p>
          <w:p>
            <w:pPr>
              <w:pStyle w:val="TableText"/>
              <w:ind w:left="146"/>
              <w:spacing w:before="65" w:line="229" w:lineRule="auto"/>
              <w:rPr/>
            </w:pPr>
            <w:r>
              <w:rPr>
                <w:spacing w:val="-1"/>
              </w:rPr>
              <w:t>单元</w:t>
            </w:r>
          </w:p>
          <w:p>
            <w:pPr>
              <w:ind w:left="266"/>
              <w:spacing w:before="4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D</w:t>
            </w:r>
          </w:p>
        </w:tc>
        <w:tc>
          <w:tcPr>
            <w:tcW w:w="2305" w:type="dxa"/>
            <w:vAlign w:val="top"/>
            <w:vMerge w:val="restart"/>
            <w:tcBorders>
              <w:bottom w:val="nil"/>
            </w:tcBorders>
          </w:tcPr>
          <w:p>
            <w:pPr>
              <w:spacing w:line="282" w:lineRule="auto"/>
              <w:rPr>
                <w:rFonts w:ascii="Arial"/>
                <w:sz w:val="21"/>
              </w:rPr>
            </w:pPr>
            <w:r/>
          </w:p>
          <w:p>
            <w:pPr>
              <w:pStyle w:val="TableText"/>
              <w:ind w:left="637"/>
              <w:spacing w:before="65" w:line="232" w:lineRule="auto"/>
              <w:rPr/>
            </w:pPr>
            <w:r>
              <w:rPr>
                <w:spacing w:val="6"/>
              </w:rPr>
              <w:t>铜渣选矿区</w:t>
            </w:r>
          </w:p>
          <w:p>
            <w:pPr>
              <w:pStyle w:val="TableText"/>
              <w:ind w:left="852" w:right="108" w:hanging="730"/>
              <w:spacing w:before="23" w:line="249" w:lineRule="auto"/>
              <w:rPr/>
            </w:pPr>
            <w:r>
              <w:rPr>
                <w:spacing w:val="6"/>
              </w:rPr>
              <w:t>（脱水、磨浮、粉碎筛</w:t>
            </w:r>
            <w:r>
              <w:rPr>
                <w:spacing w:val="8"/>
              </w:rPr>
              <w:t xml:space="preserve"> </w:t>
            </w:r>
            <w:r>
              <w:rPr>
                <w:spacing w:val="-1"/>
              </w:rPr>
              <w:t>车间）</w:t>
            </w:r>
          </w:p>
        </w:tc>
        <w:tc>
          <w:tcPr>
            <w:tcW w:w="1535" w:type="dxa"/>
            <w:vAlign w:val="top"/>
            <w:vMerge w:val="restart"/>
            <w:tcBorders>
              <w:bottom w:val="nil"/>
            </w:tcBorders>
          </w:tcPr>
          <w:p>
            <w:pPr>
              <w:pStyle w:val="TableText"/>
              <w:ind w:left="149"/>
              <w:spacing w:before="78" w:line="229" w:lineRule="auto"/>
              <w:rPr/>
            </w:pPr>
            <w:r>
              <w:rPr>
                <w:spacing w:val="7"/>
              </w:rPr>
              <w:t>对废弃物提纯</w:t>
            </w:r>
          </w:p>
          <w:p>
            <w:pPr>
              <w:pStyle w:val="TableText"/>
              <w:ind w:left="165"/>
              <w:spacing w:before="22" w:line="232" w:lineRule="auto"/>
              <w:rPr/>
            </w:pPr>
            <w:r>
              <w:rPr>
                <w:spacing w:val="4"/>
              </w:rPr>
              <w:t>区产生的冶炼</w:t>
            </w:r>
          </w:p>
          <w:p>
            <w:pPr>
              <w:pStyle w:val="TableText"/>
              <w:ind w:left="149"/>
              <w:spacing w:before="23" w:line="229" w:lineRule="auto"/>
              <w:rPr/>
            </w:pPr>
            <w:r>
              <w:rPr>
                <w:spacing w:val="7"/>
              </w:rPr>
              <w:t>炉渣进行选矿</w:t>
            </w:r>
          </w:p>
          <w:p>
            <w:pPr>
              <w:pStyle w:val="TableText"/>
              <w:ind w:left="162"/>
              <w:spacing w:before="22" w:line="231" w:lineRule="auto"/>
              <w:rPr/>
            </w:pPr>
            <w:r>
              <w:rPr>
                <w:spacing w:val="-9"/>
              </w:rPr>
              <w:t>,</w:t>
            </w:r>
            <w:r>
              <w:rPr>
                <w:spacing w:val="82"/>
              </w:rPr>
              <w:t xml:space="preserve"> </w:t>
            </w:r>
            <w:r>
              <w:rPr>
                <w:spacing w:val="-9"/>
              </w:rPr>
              <w:t>以获取铜精</w:t>
            </w:r>
          </w:p>
          <w:p>
            <w:pPr>
              <w:pStyle w:val="TableText"/>
              <w:ind w:left="462"/>
              <w:spacing w:before="23" w:line="232" w:lineRule="auto"/>
              <w:rPr/>
            </w:pPr>
            <w:r>
              <w:rPr>
                <w:spacing w:val="5"/>
              </w:rPr>
              <w:t>矿产品</w:t>
            </w:r>
          </w:p>
        </w:tc>
        <w:tc>
          <w:tcPr>
            <w:tcW w:w="1511" w:type="dxa"/>
            <w:vAlign w:val="top"/>
            <w:vMerge w:val="restart"/>
            <w:tcBorders>
              <w:bottom w:val="nil"/>
            </w:tcBorders>
          </w:tcPr>
          <w:p>
            <w:pPr>
              <w:spacing w:line="282" w:lineRule="auto"/>
              <w:rPr>
                <w:rFonts w:ascii="Arial"/>
                <w:sz w:val="21"/>
              </w:rPr>
            </w:pPr>
            <w:r/>
          </w:p>
          <w:p>
            <w:pPr>
              <w:pStyle w:val="TableText"/>
              <w:ind w:left="138"/>
              <w:spacing w:before="65" w:line="231" w:lineRule="auto"/>
              <w:rPr/>
            </w:pPr>
            <w:r>
              <w:rPr>
                <w:spacing w:val="5"/>
              </w:rPr>
              <w:t>铜、铅、锌、</w:t>
            </w:r>
          </w:p>
          <w:p>
            <w:pPr>
              <w:pStyle w:val="TableText"/>
              <w:ind w:left="137"/>
              <w:spacing w:before="23" w:line="229" w:lineRule="auto"/>
              <w:rPr/>
            </w:pPr>
            <w:r>
              <w:rPr>
                <w:spacing w:val="5"/>
              </w:rPr>
              <w:t>镉、镍、砷、</w:t>
            </w:r>
          </w:p>
          <w:p>
            <w:pPr>
              <w:pStyle w:val="TableText"/>
              <w:ind w:left="663"/>
              <w:spacing w:before="23" w:line="230" w:lineRule="auto"/>
              <w:rPr/>
            </w:pPr>
            <w:r>
              <w:rPr/>
              <w:t>铬</w:t>
            </w:r>
          </w:p>
        </w:tc>
        <w:tc>
          <w:tcPr>
            <w:tcW w:w="1511" w:type="dxa"/>
            <w:vAlign w:val="top"/>
            <w:vMerge w:val="restart"/>
            <w:tcBorders>
              <w:bottom w:val="nil"/>
            </w:tcBorders>
          </w:tcPr>
          <w:p>
            <w:pPr>
              <w:spacing w:line="282" w:lineRule="auto"/>
              <w:rPr>
                <w:rFonts w:ascii="Arial"/>
                <w:sz w:val="21"/>
              </w:rPr>
            </w:pPr>
            <w:r/>
          </w:p>
          <w:p>
            <w:pPr>
              <w:pStyle w:val="TableText"/>
              <w:ind w:left="139"/>
              <w:spacing w:before="65" w:line="231" w:lineRule="auto"/>
              <w:rPr/>
            </w:pPr>
            <w:r>
              <w:rPr>
                <w:spacing w:val="5"/>
              </w:rPr>
              <w:t>铜、铅、锌、</w:t>
            </w:r>
          </w:p>
          <w:p>
            <w:pPr>
              <w:pStyle w:val="TableText"/>
              <w:ind w:left="138"/>
              <w:spacing w:before="23" w:line="229" w:lineRule="auto"/>
              <w:rPr/>
            </w:pPr>
            <w:r>
              <w:rPr>
                <w:spacing w:val="5"/>
              </w:rPr>
              <w:t>镉、镍、砷、</w:t>
            </w:r>
          </w:p>
          <w:p>
            <w:pPr>
              <w:pStyle w:val="TableText"/>
              <w:ind w:left="664"/>
              <w:spacing w:before="23" w:line="230" w:lineRule="auto"/>
              <w:rPr/>
            </w:pPr>
            <w:r>
              <w:rPr/>
              <w:t>铬</w:t>
            </w:r>
          </w:p>
        </w:tc>
        <w:tc>
          <w:tcPr>
            <w:tcW w:w="1691" w:type="dxa"/>
            <w:vAlign w:val="top"/>
            <w:vMerge w:val="restart"/>
            <w:tcBorders>
              <w:bottom w:val="nil"/>
            </w:tcBorders>
          </w:tcPr>
          <w:p>
            <w:pPr>
              <w:spacing w:line="418" w:lineRule="auto"/>
              <w:rPr>
                <w:rFonts w:ascii="Arial"/>
                <w:sz w:val="21"/>
              </w:rPr>
            </w:pPr>
            <w:r/>
          </w:p>
          <w:p>
            <w:pPr>
              <w:pStyle w:val="TableText"/>
              <w:ind w:left="197" w:right="135" w:hanging="36"/>
              <w:spacing w:before="65" w:line="253" w:lineRule="auto"/>
              <w:rPr/>
            </w:pPr>
            <w:r>
              <w:rPr>
                <w:rFonts w:ascii="Times New Roman" w:hAnsi="Times New Roman" w:eastAsia="Times New Roman" w:cs="Times New Roman"/>
                <w:spacing w:val="2"/>
              </w:rPr>
              <w:t>120°47'47.62"</w:t>
            </w:r>
            <w:r>
              <w:rPr>
                <w:spacing w:val="2"/>
              </w:rPr>
              <w:t>东</w:t>
            </w:r>
            <w:r>
              <w:rPr>
                <w:spacing w:val="12"/>
              </w:rPr>
              <w:t xml:space="preserve"> </w:t>
            </w:r>
            <w:r>
              <w:rPr>
                <w:rFonts w:ascii="Times New Roman" w:hAnsi="Times New Roman" w:eastAsia="Times New Roman" w:cs="Times New Roman"/>
                <w:spacing w:val="2"/>
              </w:rPr>
              <w:t>30°</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18'33.95"</w:t>
            </w:r>
            <w:r>
              <w:rPr>
                <w:spacing w:val="2"/>
              </w:rPr>
              <w:t>北</w:t>
            </w:r>
          </w:p>
        </w:tc>
        <w:tc>
          <w:tcPr>
            <w:tcW w:w="1090" w:type="dxa"/>
            <w:vAlign w:val="top"/>
            <w:vMerge w:val="restart"/>
            <w:tcBorders>
              <w:bottom w:val="nil"/>
            </w:tcBorders>
          </w:tcPr>
          <w:p>
            <w:pPr>
              <w:spacing w:line="282" w:lineRule="auto"/>
              <w:rPr>
                <w:rFonts w:ascii="Arial"/>
                <w:sz w:val="21"/>
              </w:rPr>
            </w:pPr>
            <w:r/>
          </w:p>
          <w:p>
            <w:pPr>
              <w:pStyle w:val="TableText"/>
              <w:ind w:left="138"/>
              <w:spacing w:before="65" w:line="228" w:lineRule="auto"/>
              <w:rPr/>
            </w:pPr>
            <w:r>
              <w:rPr>
                <w:spacing w:val="5"/>
              </w:rPr>
              <w:t>是，存在</w:t>
            </w:r>
          </w:p>
          <w:p>
            <w:pPr>
              <w:pStyle w:val="TableText"/>
              <w:ind w:left="242" w:right="123" w:hanging="104"/>
              <w:spacing w:before="25" w:line="251" w:lineRule="auto"/>
              <w:rPr/>
            </w:pPr>
            <w:r>
              <w:rPr>
                <w:spacing w:val="5"/>
              </w:rPr>
              <w:t>接地储罐</w:t>
            </w:r>
            <w:r>
              <w:rPr>
                <w:spacing w:val="2"/>
              </w:rPr>
              <w:t xml:space="preserve"> </w:t>
            </w:r>
            <w:r>
              <w:rPr>
                <w:spacing w:val="5"/>
              </w:rPr>
              <w:t>和池体</w:t>
            </w:r>
          </w:p>
        </w:tc>
        <w:tc>
          <w:tcPr>
            <w:tcW w:w="806" w:type="dxa"/>
            <w:vAlign w:val="top"/>
            <w:vMerge w:val="restart"/>
            <w:tcBorders>
              <w:bottom w:val="nil"/>
            </w:tcBorders>
          </w:tcPr>
          <w:p>
            <w:pPr>
              <w:spacing w:line="418" w:lineRule="auto"/>
              <w:rPr>
                <w:rFonts w:ascii="Arial"/>
                <w:sz w:val="21"/>
              </w:rPr>
            </w:pPr>
            <w:r/>
          </w:p>
          <w:p>
            <w:pPr>
              <w:pStyle w:val="TableText"/>
              <w:ind w:left="209"/>
              <w:spacing w:before="65" w:line="233" w:lineRule="auto"/>
              <w:rPr/>
            </w:pPr>
            <w:r>
              <w:rPr/>
              <w:t>一类</w:t>
            </w:r>
          </w:p>
          <w:p>
            <w:pPr>
              <w:pStyle w:val="TableText"/>
              <w:ind w:left="210"/>
              <w:spacing w:before="21" w:line="229" w:lineRule="auto"/>
              <w:rPr/>
            </w:pPr>
            <w:r>
              <w:rPr>
                <w:spacing w:val="-1"/>
              </w:rPr>
              <w:t>单元</w:t>
            </w:r>
          </w:p>
        </w:tc>
        <w:tc>
          <w:tcPr>
            <w:tcW w:w="1428" w:type="dxa"/>
            <w:vAlign w:val="top"/>
          </w:tcPr>
          <w:p>
            <w:pPr>
              <w:pStyle w:val="TableText"/>
              <w:ind w:left="327"/>
              <w:spacing w:before="169"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DT</w:t>
            </w:r>
            <w:r>
              <w:rPr>
                <w:rFonts w:ascii="Times New Roman" w:hAnsi="Times New Roman" w:eastAsia="Times New Roman" w:cs="Times New Roman"/>
                <w:spacing w:val="6"/>
              </w:rPr>
              <w:t>1</w:t>
            </w:r>
          </w:p>
        </w:tc>
        <w:tc>
          <w:tcPr>
            <w:tcW w:w="1709" w:type="dxa"/>
            <w:vAlign w:val="top"/>
          </w:tcPr>
          <w:p>
            <w:pPr>
              <w:pStyle w:val="TableText"/>
              <w:ind w:left="194" w:right="140" w:hanging="30"/>
              <w:spacing w:before="35" w:line="233" w:lineRule="auto"/>
              <w:rPr/>
            </w:pPr>
            <w:r>
              <w:rPr>
                <w:rFonts w:ascii="Times New Roman" w:hAnsi="Times New Roman" w:eastAsia="Times New Roman" w:cs="Times New Roman"/>
                <w:spacing w:val="2"/>
              </w:rPr>
              <w:t>119°45′41.89″</w:t>
            </w:r>
            <w:r>
              <w:rPr>
                <w:spacing w:val="2"/>
              </w:rPr>
              <w:t>东</w:t>
            </w:r>
            <w:r>
              <w:rPr>
                <w:spacing w:val="12"/>
              </w:rPr>
              <w:t xml:space="preserve"> </w:t>
            </w:r>
            <w:r>
              <w:rPr>
                <w:rFonts w:ascii="Times New Roman" w:hAnsi="Times New Roman" w:eastAsia="Times New Roman" w:cs="Times New Roman"/>
                <w:spacing w:val="4"/>
              </w:rPr>
              <w:t>29°50′24.30″</w:t>
            </w:r>
            <w:r>
              <w:rPr>
                <w:spacing w:val="4"/>
              </w:rPr>
              <w:t>北</w:t>
            </w:r>
          </w:p>
        </w:tc>
      </w:tr>
      <w:tr>
        <w:trPr>
          <w:trHeight w:val="549" w:hRule="atLeast"/>
        </w:trPr>
        <w:tc>
          <w:tcPr>
            <w:tcW w:w="682" w:type="dxa"/>
            <w:vAlign w:val="top"/>
            <w:vMerge w:val="continue"/>
            <w:tcBorders>
              <w:top w:val="nil"/>
              <w:bottom w:val="nil"/>
            </w:tcBorders>
          </w:tcPr>
          <w:p>
            <w:pPr>
              <w:rPr>
                <w:rFonts w:ascii="Arial"/>
                <w:sz w:val="21"/>
              </w:rPr>
            </w:pPr>
            <w:r/>
          </w:p>
        </w:tc>
        <w:tc>
          <w:tcPr>
            <w:tcW w:w="2305" w:type="dxa"/>
            <w:vAlign w:val="top"/>
            <w:vMerge w:val="continue"/>
            <w:tcBorders>
              <w:top w:val="nil"/>
              <w:bottom w:val="nil"/>
            </w:tcBorders>
          </w:tcPr>
          <w:p>
            <w:pPr>
              <w:rPr>
                <w:rFonts w:ascii="Arial"/>
                <w:sz w:val="21"/>
              </w:rPr>
            </w:pPr>
            <w:r/>
          </w:p>
        </w:tc>
        <w:tc>
          <w:tcPr>
            <w:tcW w:w="1535"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691" w:type="dxa"/>
            <w:vAlign w:val="top"/>
            <w:vMerge w:val="continue"/>
            <w:tcBorders>
              <w:top w:val="nil"/>
              <w:bottom w:val="nil"/>
            </w:tcBorders>
          </w:tcPr>
          <w:p>
            <w:pPr>
              <w:rPr>
                <w:rFonts w:ascii="Arial"/>
                <w:sz w:val="21"/>
              </w:rPr>
            </w:pPr>
            <w:r/>
          </w:p>
        </w:tc>
        <w:tc>
          <w:tcPr>
            <w:tcW w:w="1090" w:type="dxa"/>
            <w:vAlign w:val="top"/>
            <w:vMerge w:val="continue"/>
            <w:tcBorders>
              <w:top w:val="nil"/>
              <w:bottom w:val="nil"/>
            </w:tcBorders>
          </w:tcPr>
          <w:p>
            <w:pPr>
              <w:rPr>
                <w:rFonts w:ascii="Arial"/>
                <w:sz w:val="21"/>
              </w:rPr>
            </w:pPr>
            <w:r/>
          </w:p>
        </w:tc>
        <w:tc>
          <w:tcPr>
            <w:tcW w:w="806" w:type="dxa"/>
            <w:vAlign w:val="top"/>
            <w:vMerge w:val="continue"/>
            <w:tcBorders>
              <w:top w:val="nil"/>
              <w:bottom w:val="nil"/>
            </w:tcBorders>
          </w:tcPr>
          <w:p>
            <w:pPr>
              <w:rPr>
                <w:rFonts w:ascii="Arial"/>
                <w:sz w:val="21"/>
              </w:rPr>
            </w:pPr>
            <w:r/>
          </w:p>
        </w:tc>
        <w:tc>
          <w:tcPr>
            <w:tcW w:w="1428" w:type="dxa"/>
            <w:vAlign w:val="top"/>
          </w:tcPr>
          <w:p>
            <w:pPr>
              <w:pStyle w:val="TableText"/>
              <w:ind w:left="327"/>
              <w:spacing w:before="171"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DT</w:t>
            </w:r>
            <w:r>
              <w:rPr>
                <w:rFonts w:ascii="Times New Roman" w:hAnsi="Times New Roman" w:eastAsia="Times New Roman" w:cs="Times New Roman"/>
                <w:spacing w:val="6"/>
              </w:rPr>
              <w:t>2</w:t>
            </w:r>
          </w:p>
        </w:tc>
        <w:tc>
          <w:tcPr>
            <w:tcW w:w="1709" w:type="dxa"/>
            <w:vAlign w:val="top"/>
          </w:tcPr>
          <w:p>
            <w:pPr>
              <w:pStyle w:val="TableText"/>
              <w:ind w:left="194" w:right="140" w:hanging="30"/>
              <w:spacing w:before="34" w:line="233" w:lineRule="auto"/>
              <w:rPr/>
            </w:pPr>
            <w:r>
              <w:rPr>
                <w:rFonts w:ascii="Times New Roman" w:hAnsi="Times New Roman" w:eastAsia="Times New Roman" w:cs="Times New Roman"/>
                <w:spacing w:val="2"/>
              </w:rPr>
              <w:t>119°45′39.22″</w:t>
            </w:r>
            <w:r>
              <w:rPr>
                <w:spacing w:val="2"/>
              </w:rPr>
              <w:t>东</w:t>
            </w:r>
            <w:r>
              <w:rPr>
                <w:spacing w:val="12"/>
              </w:rPr>
              <w:t xml:space="preserve"> </w:t>
            </w:r>
            <w:r>
              <w:rPr>
                <w:rFonts w:ascii="Times New Roman" w:hAnsi="Times New Roman" w:eastAsia="Times New Roman" w:cs="Times New Roman"/>
                <w:spacing w:val="4"/>
              </w:rPr>
              <w:t>29°50′25.51″</w:t>
            </w:r>
            <w:r>
              <w:rPr>
                <w:spacing w:val="4"/>
              </w:rPr>
              <w:t>北</w:t>
            </w:r>
          </w:p>
        </w:tc>
      </w:tr>
      <w:tr>
        <w:trPr>
          <w:trHeight w:val="347" w:hRule="atLeast"/>
        </w:trPr>
        <w:tc>
          <w:tcPr>
            <w:tcW w:w="682" w:type="dxa"/>
            <w:vAlign w:val="top"/>
            <w:vMerge w:val="continue"/>
            <w:tcBorders>
              <w:top w:val="nil"/>
            </w:tcBorders>
          </w:tcPr>
          <w:p>
            <w:pPr>
              <w:rPr>
                <w:rFonts w:ascii="Arial"/>
                <w:sz w:val="21"/>
              </w:rPr>
            </w:pPr>
            <w:r/>
          </w:p>
        </w:tc>
        <w:tc>
          <w:tcPr>
            <w:tcW w:w="2305" w:type="dxa"/>
            <w:vAlign w:val="top"/>
            <w:vMerge w:val="continue"/>
            <w:tcBorders>
              <w:top w:val="nil"/>
            </w:tcBorders>
          </w:tcPr>
          <w:p>
            <w:pPr>
              <w:rPr>
                <w:rFonts w:ascii="Arial"/>
                <w:sz w:val="21"/>
              </w:rPr>
            </w:pPr>
            <w:r/>
          </w:p>
        </w:tc>
        <w:tc>
          <w:tcPr>
            <w:tcW w:w="1535"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691"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1428" w:type="dxa"/>
            <w:vAlign w:val="top"/>
          </w:tcPr>
          <w:p>
            <w:pPr>
              <w:pStyle w:val="TableText"/>
              <w:ind w:left="227"/>
              <w:spacing w:before="68" w:line="231" w:lineRule="auto"/>
              <w:rPr>
                <w:rFonts w:ascii="Times New Roman" w:hAnsi="Times New Roman" w:eastAsia="Times New Roman" w:cs="Times New Roman"/>
              </w:rPr>
            </w:pPr>
            <w:r>
              <w:rPr>
                <w:spacing w:val="7"/>
              </w:rPr>
              <w:t>地下水</w:t>
            </w:r>
            <w:r>
              <w:rPr>
                <w:rFonts w:ascii="Times New Roman" w:hAnsi="Times New Roman" w:eastAsia="Times New Roman" w:cs="Times New Roman"/>
              </w:rPr>
              <w:t>DS</w:t>
            </w:r>
            <w:r>
              <w:rPr>
                <w:rFonts w:ascii="Times New Roman" w:hAnsi="Times New Roman" w:eastAsia="Times New Roman" w:cs="Times New Roman"/>
                <w:spacing w:val="7"/>
              </w:rPr>
              <w:t>1</w:t>
            </w:r>
          </w:p>
        </w:tc>
        <w:tc>
          <w:tcPr>
            <w:tcW w:w="1709" w:type="dxa"/>
            <w:vAlign w:val="top"/>
          </w:tcPr>
          <w:p>
            <w:pPr>
              <w:pStyle w:val="TableText"/>
              <w:ind w:left="169"/>
              <w:spacing w:before="68" w:line="233" w:lineRule="auto"/>
              <w:rPr/>
            </w:pPr>
            <w:r>
              <w:rPr>
                <w:rFonts w:ascii="Times New Roman" w:hAnsi="Times New Roman" w:eastAsia="Times New Roman" w:cs="Times New Roman"/>
                <w:spacing w:val="1"/>
              </w:rPr>
              <w:t>119°45'39.</w:t>
            </w:r>
            <w:r>
              <w:rPr>
                <w:rFonts w:ascii="Times New Roman" w:hAnsi="Times New Roman" w:eastAsia="Times New Roman" w:cs="Times New Roman"/>
                <w:spacing w:val="-24"/>
              </w:rPr>
              <w:t xml:space="preserve"> </w:t>
            </w:r>
            <w:r>
              <w:rPr>
                <w:rFonts w:ascii="Times New Roman" w:hAnsi="Times New Roman" w:eastAsia="Times New Roman" w:cs="Times New Roman"/>
                <w:spacing w:val="1"/>
              </w:rPr>
              <w:t>14"</w:t>
            </w:r>
            <w:r>
              <w:rPr>
                <w:spacing w:val="1"/>
              </w:rPr>
              <w:t>东</w:t>
            </w:r>
          </w:p>
        </w:tc>
      </w:tr>
    </w:tbl>
    <w:p>
      <w:pPr>
        <w:pStyle w:val="BodyText"/>
        <w:ind w:left="7174"/>
        <w:spacing w:before="162" w:line="86" w:lineRule="exact"/>
        <w:rPr>
          <w:sz w:val="18"/>
          <w:szCs w:val="18"/>
        </w:rPr>
      </w:pPr>
      <w:r>
        <w:pict>
          <v:shape id="_x0000_s50" style="position:absolute;margin-left:362.909pt;margin-top:3.31495pt;mso-position-vertical-relative:text;mso-position-horizontal-relative:text;width:10.7pt;height:10.15pt;z-index:251659264;" filled="false" stroked="false" type="#_x0000_t202">
            <v:fill on="false"/>
            <v:stroke on="false"/>
            <v:path/>
            <v:imagedata o:title=""/>
            <o:lock v:ext="edit" aspectratio="false"/>
            <v:textbox inset="0mm,0mm,0mm,0mm">
              <w:txbxContent>
                <w:p>
                  <w:pPr>
                    <w:pStyle w:val="BodyText"/>
                    <w:ind w:left="20"/>
                    <w:spacing w:before="20" w:line="188" w:lineRule="auto"/>
                    <w:rPr>
                      <w:sz w:val="18"/>
                      <w:szCs w:val="18"/>
                    </w:rPr>
                  </w:pPr>
                  <w:r>
                    <w:rPr>
                      <w:sz w:val="18"/>
                      <w:szCs w:val="18"/>
                      <w:spacing w:val="-4"/>
                    </w:rPr>
                    <w:t>39</w:t>
                  </w:r>
                </w:p>
              </w:txbxContent>
            </v:textbox>
          </v:shape>
        </w:pict>
      </w:r>
      <w:r>
        <w:rPr>
          <w:sz w:val="18"/>
          <w:szCs w:val="18"/>
          <w:spacing w:val="-4"/>
          <w:position w:val="-1"/>
        </w:rPr>
        <w:t>-</w:t>
      </w:r>
      <w:r>
        <w:rPr>
          <w:sz w:val="18"/>
          <w:szCs w:val="18"/>
          <w:spacing w:val="1"/>
          <w:position w:val="-1"/>
        </w:rPr>
        <w:t xml:space="preserve">      </w:t>
      </w:r>
      <w:r>
        <w:rPr>
          <w:sz w:val="18"/>
          <w:szCs w:val="18"/>
          <w:spacing w:val="-4"/>
          <w:position w:val="-1"/>
        </w:rPr>
        <w:t>-</w:t>
      </w:r>
    </w:p>
    <w:p>
      <w:pPr>
        <w:spacing w:line="86" w:lineRule="exact"/>
        <w:sectPr>
          <w:headerReference w:type="default" r:id="rId105"/>
          <w:footerReference w:type="default" r:id="rId2"/>
          <w:pgSz w:w="16839" w:h="11906"/>
          <w:pgMar w:top="1025" w:right="1327" w:bottom="400" w:left="1237" w:header="716" w:footer="0" w:gutter="0"/>
        </w:sectPr>
        <w:rPr>
          <w:sz w:val="18"/>
          <w:szCs w:val="18"/>
        </w:rPr>
      </w:pPr>
    </w:p>
    <w:p>
      <w:pPr>
        <w:spacing w:line="54" w:lineRule="exact"/>
        <w:rPr/>
      </w:pPr>
      <w:r/>
    </w:p>
    <w:tbl>
      <w:tblPr>
        <w:tblStyle w:val="TableNormal"/>
        <w:tblW w:w="1426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2"/>
        <w:gridCol w:w="2305"/>
        <w:gridCol w:w="1535"/>
        <w:gridCol w:w="1511"/>
        <w:gridCol w:w="1511"/>
        <w:gridCol w:w="1691"/>
        <w:gridCol w:w="1090"/>
        <w:gridCol w:w="806"/>
        <w:gridCol w:w="1428"/>
        <w:gridCol w:w="1709"/>
      </w:tblGrid>
      <w:tr>
        <w:trPr>
          <w:trHeight w:val="349" w:hRule="atLeast"/>
        </w:trPr>
        <w:tc>
          <w:tcPr>
            <w:tcW w:w="2987" w:type="dxa"/>
            <w:vAlign w:val="top"/>
            <w:gridSpan w:val="2"/>
          </w:tcPr>
          <w:p>
            <w:pPr>
              <w:pStyle w:val="TableText"/>
              <w:ind w:left="1086"/>
              <w:spacing w:before="68" w:line="229" w:lineRule="auto"/>
              <w:rPr/>
            </w:pPr>
            <w:r>
              <w:rPr>
                <w:spacing w:val="5"/>
              </w:rPr>
              <w:t>企业名称</w:t>
            </w:r>
          </w:p>
        </w:tc>
        <w:tc>
          <w:tcPr>
            <w:tcW w:w="4557" w:type="dxa"/>
            <w:vAlign w:val="top"/>
            <w:gridSpan w:val="3"/>
          </w:tcPr>
          <w:p>
            <w:pPr>
              <w:pStyle w:val="TableText"/>
              <w:ind w:left="821"/>
              <w:spacing w:before="68" w:line="231" w:lineRule="auto"/>
              <w:rPr/>
            </w:pPr>
            <w:r>
              <w:rPr>
                <w:spacing w:val="8"/>
              </w:rPr>
              <w:t>浙江环益资源利用股份有限公司</w:t>
            </w:r>
          </w:p>
        </w:tc>
        <w:tc>
          <w:tcPr>
            <w:tcW w:w="1691" w:type="dxa"/>
            <w:vAlign w:val="top"/>
          </w:tcPr>
          <w:p>
            <w:pPr>
              <w:pStyle w:val="TableText"/>
              <w:ind w:left="439"/>
              <w:spacing w:before="68" w:line="229" w:lineRule="auto"/>
              <w:rPr/>
            </w:pPr>
            <w:r>
              <w:rPr>
                <w:spacing w:val="5"/>
              </w:rPr>
              <w:t>所属行业</w:t>
            </w:r>
          </w:p>
        </w:tc>
        <w:tc>
          <w:tcPr>
            <w:tcW w:w="5033" w:type="dxa"/>
            <w:vAlign w:val="top"/>
            <w:gridSpan w:val="4"/>
          </w:tcPr>
          <w:p>
            <w:pPr>
              <w:pStyle w:val="TableText"/>
              <w:ind w:left="1092"/>
              <w:spacing w:before="68" w:line="229" w:lineRule="auto"/>
              <w:rPr>
                <w:rFonts w:ascii="Times New Roman" w:hAnsi="Times New Roman" w:eastAsia="Times New Roman" w:cs="Times New Roman"/>
              </w:rPr>
            </w:pPr>
            <w:r>
              <w:rPr>
                <w:spacing w:val="7"/>
              </w:rPr>
              <w:t>金属废料和碎屑加工处理</w:t>
            </w:r>
            <w:r>
              <w:rPr>
                <w:rFonts w:ascii="Times New Roman" w:hAnsi="Times New Roman" w:eastAsia="Times New Roman" w:cs="Times New Roman"/>
                <w:spacing w:val="7"/>
              </w:rPr>
              <w:t>C4210</w:t>
            </w:r>
          </w:p>
        </w:tc>
      </w:tr>
      <w:tr>
        <w:trPr>
          <w:trHeight w:val="345" w:hRule="atLeast"/>
        </w:trPr>
        <w:tc>
          <w:tcPr>
            <w:tcW w:w="2987" w:type="dxa"/>
            <w:vAlign w:val="top"/>
            <w:gridSpan w:val="2"/>
          </w:tcPr>
          <w:p>
            <w:pPr>
              <w:pStyle w:val="TableText"/>
              <w:ind w:left="1086"/>
              <w:spacing w:before="64" w:line="232" w:lineRule="auto"/>
              <w:rPr/>
            </w:pPr>
            <w:r>
              <w:rPr>
                <w:spacing w:val="5"/>
              </w:rPr>
              <w:t>填写日期</w:t>
            </w:r>
          </w:p>
        </w:tc>
        <w:tc>
          <w:tcPr>
            <w:tcW w:w="3046" w:type="dxa"/>
            <w:vAlign w:val="top"/>
            <w:gridSpan w:val="2"/>
          </w:tcPr>
          <w:p>
            <w:pPr>
              <w:pStyle w:val="TableText"/>
              <w:ind w:left="841"/>
              <w:spacing w:before="64" w:line="231" w:lineRule="auto"/>
              <w:rPr/>
            </w:pPr>
            <w:r>
              <w:rPr>
                <w:rFonts w:ascii="Times New Roman" w:hAnsi="Times New Roman" w:eastAsia="Times New Roman" w:cs="Times New Roman"/>
                <w:spacing w:val="5"/>
              </w:rPr>
              <w:t>2023</w:t>
            </w:r>
            <w:r>
              <w:rPr>
                <w:spacing w:val="5"/>
              </w:rPr>
              <w:t>年</w:t>
            </w:r>
            <w:r>
              <w:rPr>
                <w:rFonts w:ascii="Times New Roman" w:hAnsi="Times New Roman" w:eastAsia="Times New Roman" w:cs="Times New Roman"/>
                <w:spacing w:val="5"/>
              </w:rPr>
              <w:t>7</w:t>
            </w:r>
            <w:r>
              <w:rPr>
                <w:spacing w:val="5"/>
              </w:rPr>
              <w:t>月</w:t>
            </w:r>
            <w:r>
              <w:rPr>
                <w:rFonts w:ascii="Times New Roman" w:hAnsi="Times New Roman" w:eastAsia="Times New Roman" w:cs="Times New Roman"/>
                <w:spacing w:val="5"/>
              </w:rPr>
              <w:t>30</w:t>
            </w:r>
            <w:r>
              <w:rPr>
                <w:spacing w:val="5"/>
              </w:rPr>
              <w:t>日</w:t>
            </w:r>
          </w:p>
        </w:tc>
        <w:tc>
          <w:tcPr>
            <w:tcW w:w="1511" w:type="dxa"/>
            <w:vAlign w:val="top"/>
          </w:tcPr>
          <w:p>
            <w:pPr>
              <w:pStyle w:val="TableText"/>
              <w:ind w:left="348"/>
              <w:spacing w:before="64" w:line="231" w:lineRule="auto"/>
              <w:rPr/>
            </w:pPr>
            <w:r>
              <w:rPr>
                <w:spacing w:val="5"/>
              </w:rPr>
              <w:t>填报人员</w:t>
            </w:r>
          </w:p>
        </w:tc>
        <w:tc>
          <w:tcPr>
            <w:tcW w:w="1691" w:type="dxa"/>
            <w:vAlign w:val="top"/>
          </w:tcPr>
          <w:p>
            <w:pPr>
              <w:rPr>
                <w:rFonts w:ascii="Arial"/>
                <w:sz w:val="21"/>
              </w:rPr>
            </w:pPr>
            <w:r/>
          </w:p>
        </w:tc>
        <w:tc>
          <w:tcPr>
            <w:tcW w:w="1896" w:type="dxa"/>
            <w:vAlign w:val="top"/>
            <w:gridSpan w:val="2"/>
          </w:tcPr>
          <w:p>
            <w:pPr>
              <w:pStyle w:val="TableText"/>
              <w:ind w:left="538"/>
              <w:spacing w:before="64" w:line="232" w:lineRule="auto"/>
              <w:rPr/>
            </w:pPr>
            <w:r>
              <w:rPr>
                <w:spacing w:val="6"/>
              </w:rPr>
              <w:t>联系方式</w:t>
            </w:r>
          </w:p>
        </w:tc>
        <w:tc>
          <w:tcPr>
            <w:tcW w:w="3137" w:type="dxa"/>
            <w:vAlign w:val="top"/>
            <w:gridSpan w:val="2"/>
          </w:tcPr>
          <w:p>
            <w:pPr>
              <w:rPr>
                <w:rFonts w:ascii="Arial"/>
                <w:sz w:val="21"/>
              </w:rPr>
            </w:pPr>
            <w:r/>
          </w:p>
        </w:tc>
      </w:tr>
      <w:tr>
        <w:trPr>
          <w:trHeight w:val="549" w:hRule="atLeast"/>
        </w:trPr>
        <w:tc>
          <w:tcPr>
            <w:tcW w:w="682" w:type="dxa"/>
            <w:vAlign w:val="top"/>
          </w:tcPr>
          <w:p>
            <w:pPr>
              <w:pStyle w:val="TableText"/>
              <w:ind w:left="141"/>
              <w:spacing w:before="168" w:line="231" w:lineRule="auto"/>
              <w:rPr/>
            </w:pPr>
            <w:r>
              <w:rPr>
                <w:spacing w:val="2"/>
              </w:rPr>
              <w:t>序号</w:t>
            </w:r>
          </w:p>
        </w:tc>
        <w:tc>
          <w:tcPr>
            <w:tcW w:w="2305" w:type="dxa"/>
            <w:vAlign w:val="top"/>
          </w:tcPr>
          <w:p>
            <w:pPr>
              <w:pStyle w:val="TableText"/>
              <w:ind w:left="129" w:right="110" w:firstLine="91"/>
              <w:spacing w:before="32" w:line="234" w:lineRule="auto"/>
              <w:rPr/>
            </w:pPr>
            <w:r>
              <w:rPr>
                <w:spacing w:val="7"/>
              </w:rPr>
              <w:t>单元内需要监测的重</w:t>
            </w:r>
            <w:r>
              <w:rPr>
                <w:spacing w:val="3"/>
              </w:rPr>
              <w:t xml:space="preserve">  </w:t>
            </w:r>
            <w:r>
              <w:rPr>
                <w:spacing w:val="6"/>
              </w:rPr>
              <w:t>点场所、设施设备名称</w:t>
            </w:r>
          </w:p>
        </w:tc>
        <w:tc>
          <w:tcPr>
            <w:tcW w:w="1535" w:type="dxa"/>
            <w:vAlign w:val="top"/>
          </w:tcPr>
          <w:p>
            <w:pPr>
              <w:pStyle w:val="TableText"/>
              <w:ind w:left="571"/>
              <w:spacing w:before="168" w:line="230" w:lineRule="auto"/>
              <w:rPr/>
            </w:pPr>
            <w:r>
              <w:rPr>
                <w:spacing w:val="-1"/>
              </w:rPr>
              <w:t>功能</w:t>
            </w:r>
          </w:p>
        </w:tc>
        <w:tc>
          <w:tcPr>
            <w:tcW w:w="1511" w:type="dxa"/>
            <w:vAlign w:val="top"/>
          </w:tcPr>
          <w:p>
            <w:pPr>
              <w:pStyle w:val="TableText"/>
              <w:ind w:left="346" w:right="125" w:hanging="207"/>
              <w:spacing w:before="32" w:line="234" w:lineRule="auto"/>
              <w:rPr/>
            </w:pPr>
            <w:r>
              <w:rPr>
                <w:spacing w:val="6"/>
              </w:rPr>
              <w:t>涉及有毒有害</w:t>
            </w:r>
            <w:r>
              <w:rPr>
                <w:spacing w:val="4"/>
              </w:rPr>
              <w:t xml:space="preserve"> </w:t>
            </w:r>
            <w:r>
              <w:rPr>
                <w:spacing w:val="5"/>
              </w:rPr>
              <w:t>物质清单</w:t>
            </w:r>
          </w:p>
        </w:tc>
        <w:tc>
          <w:tcPr>
            <w:tcW w:w="1511" w:type="dxa"/>
            <w:vAlign w:val="top"/>
          </w:tcPr>
          <w:p>
            <w:pPr>
              <w:pStyle w:val="TableText"/>
              <w:ind w:left="249"/>
              <w:spacing w:before="168" w:line="229" w:lineRule="auto"/>
              <w:rPr/>
            </w:pPr>
            <w:r>
              <w:rPr>
                <w:spacing w:val="5"/>
              </w:rPr>
              <w:t>关注污染物</w:t>
            </w:r>
          </w:p>
        </w:tc>
        <w:tc>
          <w:tcPr>
            <w:tcW w:w="1691" w:type="dxa"/>
            <w:vAlign w:val="top"/>
          </w:tcPr>
          <w:p>
            <w:pPr>
              <w:pStyle w:val="TableText"/>
              <w:ind w:left="438"/>
              <w:spacing w:before="168" w:line="231" w:lineRule="auto"/>
              <w:rPr/>
            </w:pPr>
            <w:r>
              <w:rPr>
                <w:spacing w:val="6"/>
              </w:rPr>
              <w:t>设施坐标</w:t>
            </w:r>
          </w:p>
        </w:tc>
        <w:tc>
          <w:tcPr>
            <w:tcW w:w="1090" w:type="dxa"/>
            <w:vAlign w:val="top"/>
          </w:tcPr>
          <w:p>
            <w:pPr>
              <w:pStyle w:val="TableText"/>
              <w:ind w:left="138"/>
              <w:spacing w:before="31" w:line="232" w:lineRule="auto"/>
              <w:rPr/>
            </w:pPr>
            <w:r>
              <w:rPr>
                <w:spacing w:val="5"/>
              </w:rPr>
              <w:t>是否为隐</w:t>
            </w:r>
          </w:p>
          <w:p>
            <w:pPr>
              <w:pStyle w:val="TableText"/>
              <w:ind w:left="142"/>
              <w:spacing w:before="21" w:line="216" w:lineRule="auto"/>
              <w:rPr/>
            </w:pPr>
            <w:r>
              <w:rPr>
                <w:spacing w:val="4"/>
              </w:rPr>
              <w:t>蔽性设施</w:t>
            </w:r>
          </w:p>
        </w:tc>
        <w:tc>
          <w:tcPr>
            <w:tcW w:w="806" w:type="dxa"/>
            <w:vAlign w:val="top"/>
          </w:tcPr>
          <w:p>
            <w:pPr>
              <w:pStyle w:val="TableText"/>
              <w:ind w:left="210"/>
              <w:spacing w:before="32" w:line="229" w:lineRule="auto"/>
              <w:rPr/>
            </w:pPr>
            <w:r>
              <w:rPr>
                <w:spacing w:val="-1"/>
              </w:rPr>
              <w:t>单元</w:t>
            </w:r>
          </w:p>
          <w:p>
            <w:pPr>
              <w:pStyle w:val="TableText"/>
              <w:ind w:left="209"/>
              <w:spacing w:before="24" w:line="216" w:lineRule="auto"/>
              <w:rPr/>
            </w:pPr>
            <w:r>
              <w:rPr/>
              <w:t>类别</w:t>
            </w:r>
          </w:p>
        </w:tc>
        <w:tc>
          <w:tcPr>
            <w:tcW w:w="3137" w:type="dxa"/>
            <w:vAlign w:val="top"/>
            <w:gridSpan w:val="2"/>
          </w:tcPr>
          <w:p>
            <w:pPr>
              <w:pStyle w:val="TableText"/>
              <w:ind w:left="214"/>
              <w:spacing w:before="32" w:line="229" w:lineRule="auto"/>
              <w:rPr/>
            </w:pPr>
            <w:r>
              <w:rPr>
                <w:spacing w:val="8"/>
              </w:rPr>
              <w:t>该单元对应的监测点位编号及</w:t>
            </w:r>
          </w:p>
          <w:p>
            <w:pPr>
              <w:pStyle w:val="TableText"/>
              <w:ind w:left="1373"/>
              <w:spacing w:before="24" w:line="216" w:lineRule="auto"/>
              <w:rPr/>
            </w:pPr>
            <w:r>
              <w:rPr>
                <w:spacing w:val="-1"/>
              </w:rPr>
              <w:t>坐标</w:t>
            </w:r>
          </w:p>
        </w:tc>
      </w:tr>
      <w:tr>
        <w:trPr>
          <w:trHeight w:val="345" w:hRule="atLeast"/>
        </w:trPr>
        <w:tc>
          <w:tcPr>
            <w:tcW w:w="682" w:type="dxa"/>
            <w:vAlign w:val="top"/>
          </w:tcPr>
          <w:p>
            <w:pPr>
              <w:rPr>
                <w:rFonts w:ascii="Arial"/>
                <w:sz w:val="21"/>
              </w:rPr>
            </w:pPr>
            <w:r/>
          </w:p>
        </w:tc>
        <w:tc>
          <w:tcPr>
            <w:tcW w:w="2305" w:type="dxa"/>
            <w:vAlign w:val="top"/>
          </w:tcPr>
          <w:p>
            <w:pPr>
              <w:rPr>
                <w:rFonts w:ascii="Arial"/>
                <w:sz w:val="21"/>
              </w:rPr>
            </w:pPr>
            <w:r/>
          </w:p>
        </w:tc>
        <w:tc>
          <w:tcPr>
            <w:tcW w:w="1535" w:type="dxa"/>
            <w:vAlign w:val="top"/>
          </w:tcPr>
          <w:p>
            <w:pPr>
              <w:rPr>
                <w:rFonts w:ascii="Arial"/>
                <w:sz w:val="21"/>
              </w:rPr>
            </w:pPr>
            <w:r/>
          </w:p>
        </w:tc>
        <w:tc>
          <w:tcPr>
            <w:tcW w:w="1511" w:type="dxa"/>
            <w:vAlign w:val="top"/>
          </w:tcPr>
          <w:p>
            <w:pPr>
              <w:rPr>
                <w:rFonts w:ascii="Arial"/>
                <w:sz w:val="21"/>
              </w:rPr>
            </w:pPr>
            <w:r/>
          </w:p>
        </w:tc>
        <w:tc>
          <w:tcPr>
            <w:tcW w:w="1511" w:type="dxa"/>
            <w:vAlign w:val="top"/>
          </w:tcPr>
          <w:p>
            <w:pPr>
              <w:rPr>
                <w:rFonts w:ascii="Arial"/>
                <w:sz w:val="21"/>
              </w:rPr>
            </w:pPr>
            <w:r/>
          </w:p>
        </w:tc>
        <w:tc>
          <w:tcPr>
            <w:tcW w:w="1691" w:type="dxa"/>
            <w:vAlign w:val="top"/>
          </w:tcPr>
          <w:p>
            <w:pPr>
              <w:rPr>
                <w:rFonts w:ascii="Arial"/>
                <w:sz w:val="21"/>
              </w:rPr>
            </w:pPr>
            <w:r/>
          </w:p>
        </w:tc>
        <w:tc>
          <w:tcPr>
            <w:tcW w:w="1090" w:type="dxa"/>
            <w:vAlign w:val="top"/>
          </w:tcPr>
          <w:p>
            <w:pPr>
              <w:rPr>
                <w:rFonts w:ascii="Arial"/>
                <w:sz w:val="21"/>
              </w:rPr>
            </w:pPr>
            <w:r/>
          </w:p>
        </w:tc>
        <w:tc>
          <w:tcPr>
            <w:tcW w:w="806" w:type="dxa"/>
            <w:vAlign w:val="top"/>
          </w:tcPr>
          <w:p>
            <w:pPr>
              <w:rPr>
                <w:rFonts w:ascii="Arial"/>
                <w:sz w:val="21"/>
              </w:rPr>
            </w:pPr>
            <w:r/>
          </w:p>
        </w:tc>
        <w:tc>
          <w:tcPr>
            <w:tcW w:w="1428" w:type="dxa"/>
            <w:vAlign w:val="top"/>
          </w:tcPr>
          <w:p>
            <w:pPr>
              <w:rPr>
                <w:rFonts w:ascii="Arial"/>
                <w:sz w:val="21"/>
              </w:rPr>
            </w:pPr>
            <w:r/>
          </w:p>
        </w:tc>
        <w:tc>
          <w:tcPr>
            <w:tcW w:w="1709" w:type="dxa"/>
            <w:vAlign w:val="top"/>
          </w:tcPr>
          <w:p>
            <w:pPr>
              <w:pStyle w:val="TableText"/>
              <w:ind w:left="199"/>
              <w:spacing w:before="31" w:line="231" w:lineRule="auto"/>
              <w:rPr/>
            </w:pPr>
            <w:r>
              <w:rPr>
                <w:rFonts w:ascii="Times New Roman" w:hAnsi="Times New Roman" w:eastAsia="Times New Roman" w:cs="Times New Roman"/>
                <w:spacing w:val="4"/>
              </w:rPr>
              <w:t>29°50'25.56"</w:t>
            </w:r>
            <w:r>
              <w:rPr>
                <w:spacing w:val="4"/>
              </w:rPr>
              <w:t>北</w:t>
            </w:r>
          </w:p>
        </w:tc>
      </w:tr>
      <w:tr>
        <w:trPr>
          <w:trHeight w:val="549" w:hRule="atLeast"/>
        </w:trPr>
        <w:tc>
          <w:tcPr>
            <w:tcW w:w="682" w:type="dxa"/>
            <w:vAlign w:val="top"/>
            <w:vMerge w:val="restart"/>
            <w:tcBorders>
              <w:bottom w:val="nil"/>
            </w:tcBorders>
          </w:tcPr>
          <w:p>
            <w:pPr>
              <w:spacing w:line="259" w:lineRule="auto"/>
              <w:rPr>
                <w:rFonts w:ascii="Arial"/>
                <w:sz w:val="21"/>
              </w:rPr>
            </w:pPr>
            <w:r/>
          </w:p>
          <w:p>
            <w:pPr>
              <w:pStyle w:val="TableText"/>
              <w:ind w:left="146"/>
              <w:spacing w:before="65" w:line="229" w:lineRule="auto"/>
              <w:rPr/>
            </w:pPr>
            <w:r>
              <w:rPr>
                <w:spacing w:val="-1"/>
              </w:rPr>
              <w:t>单元</w:t>
            </w:r>
          </w:p>
          <w:p>
            <w:pPr>
              <w:ind w:left="278"/>
              <w:spacing w:before="4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E</w:t>
            </w:r>
          </w:p>
        </w:tc>
        <w:tc>
          <w:tcPr>
            <w:tcW w:w="2305" w:type="dxa"/>
            <w:vAlign w:val="top"/>
            <w:vMerge w:val="restart"/>
            <w:tcBorders>
              <w:bottom w:val="nil"/>
            </w:tcBorders>
          </w:tcPr>
          <w:p>
            <w:pPr>
              <w:spacing w:line="378" w:lineRule="auto"/>
              <w:rPr>
                <w:rFonts w:ascii="Arial"/>
                <w:sz w:val="21"/>
              </w:rPr>
            </w:pPr>
            <w:r/>
          </w:p>
          <w:p>
            <w:pPr>
              <w:pStyle w:val="TableText"/>
              <w:ind w:left="637"/>
              <w:spacing w:before="65" w:line="229" w:lineRule="auto"/>
              <w:rPr/>
            </w:pPr>
            <w:r>
              <w:rPr>
                <w:spacing w:val="6"/>
              </w:rPr>
              <w:t>冶炼渣堆场</w:t>
            </w:r>
          </w:p>
        </w:tc>
        <w:tc>
          <w:tcPr>
            <w:tcW w:w="1535" w:type="dxa"/>
            <w:vAlign w:val="top"/>
            <w:vMerge w:val="restart"/>
            <w:tcBorders>
              <w:bottom w:val="nil"/>
            </w:tcBorders>
          </w:tcPr>
          <w:p>
            <w:pPr>
              <w:pStyle w:val="TableText"/>
              <w:ind w:left="149"/>
              <w:spacing w:before="37" w:line="229" w:lineRule="auto"/>
              <w:rPr/>
            </w:pPr>
            <w:r>
              <w:rPr>
                <w:spacing w:val="7"/>
              </w:rPr>
              <w:t>冶炼渣的破碎</w:t>
            </w:r>
          </w:p>
          <w:p>
            <w:pPr>
              <w:pStyle w:val="TableText"/>
              <w:ind w:left="147"/>
              <w:spacing w:before="23" w:line="229" w:lineRule="auto"/>
              <w:rPr/>
            </w:pPr>
            <w:r>
              <w:rPr>
                <w:spacing w:val="7"/>
              </w:rPr>
              <w:t>和堆放，冶炼</w:t>
            </w:r>
          </w:p>
          <w:p>
            <w:pPr>
              <w:pStyle w:val="TableText"/>
              <w:ind w:left="253" w:right="138" w:hanging="105"/>
              <w:spacing w:before="22" w:line="237" w:lineRule="auto"/>
              <w:rPr/>
            </w:pPr>
            <w:r>
              <w:rPr>
                <w:spacing w:val="7"/>
              </w:rPr>
              <w:t>渣为铜渣选矿</w:t>
            </w:r>
            <w:r>
              <w:rPr/>
              <w:t xml:space="preserve"> </w:t>
            </w:r>
            <w:r>
              <w:rPr>
                <w:spacing w:val="6"/>
              </w:rPr>
              <w:t>项目的原料</w:t>
            </w:r>
          </w:p>
        </w:tc>
        <w:tc>
          <w:tcPr>
            <w:tcW w:w="1511" w:type="dxa"/>
            <w:vAlign w:val="top"/>
            <w:vMerge w:val="restart"/>
            <w:tcBorders>
              <w:bottom w:val="nil"/>
            </w:tcBorders>
          </w:tcPr>
          <w:p>
            <w:pPr>
              <w:pStyle w:val="TableText"/>
              <w:ind w:left="138"/>
              <w:spacing w:before="171" w:line="231" w:lineRule="auto"/>
              <w:rPr/>
            </w:pPr>
            <w:r>
              <w:rPr>
                <w:spacing w:val="5"/>
              </w:rPr>
              <w:t>铜、铅、锌、</w:t>
            </w:r>
          </w:p>
          <w:p>
            <w:pPr>
              <w:pStyle w:val="TableText"/>
              <w:ind w:left="137"/>
              <w:spacing w:before="23" w:line="229" w:lineRule="auto"/>
              <w:rPr/>
            </w:pPr>
            <w:r>
              <w:rPr>
                <w:spacing w:val="5"/>
              </w:rPr>
              <w:t>镉、镍、砷、</w:t>
            </w:r>
          </w:p>
          <w:p>
            <w:pPr>
              <w:pStyle w:val="TableText"/>
              <w:ind w:left="663"/>
              <w:spacing w:before="23" w:line="230" w:lineRule="auto"/>
              <w:rPr/>
            </w:pPr>
            <w:r>
              <w:rPr/>
              <w:t>铬</w:t>
            </w:r>
          </w:p>
        </w:tc>
        <w:tc>
          <w:tcPr>
            <w:tcW w:w="1511" w:type="dxa"/>
            <w:vAlign w:val="top"/>
            <w:vMerge w:val="restart"/>
            <w:tcBorders>
              <w:bottom w:val="nil"/>
            </w:tcBorders>
          </w:tcPr>
          <w:p>
            <w:pPr>
              <w:pStyle w:val="TableText"/>
              <w:ind w:left="139"/>
              <w:spacing w:before="171" w:line="231" w:lineRule="auto"/>
              <w:rPr/>
            </w:pPr>
            <w:r>
              <w:rPr>
                <w:spacing w:val="5"/>
              </w:rPr>
              <w:t>铜、铅、锌、</w:t>
            </w:r>
          </w:p>
          <w:p>
            <w:pPr>
              <w:pStyle w:val="TableText"/>
              <w:ind w:left="138"/>
              <w:spacing w:before="23" w:line="229" w:lineRule="auto"/>
              <w:rPr/>
            </w:pPr>
            <w:r>
              <w:rPr>
                <w:spacing w:val="5"/>
              </w:rPr>
              <w:t>镉、镍、砷、</w:t>
            </w:r>
          </w:p>
          <w:p>
            <w:pPr>
              <w:pStyle w:val="TableText"/>
              <w:ind w:left="664"/>
              <w:spacing w:before="23" w:line="230" w:lineRule="auto"/>
              <w:rPr/>
            </w:pPr>
            <w:r>
              <w:rPr/>
              <w:t>铬</w:t>
            </w:r>
          </w:p>
        </w:tc>
        <w:tc>
          <w:tcPr>
            <w:tcW w:w="1691" w:type="dxa"/>
            <w:vAlign w:val="top"/>
            <w:vMerge w:val="restart"/>
            <w:tcBorders>
              <w:bottom w:val="nil"/>
            </w:tcBorders>
          </w:tcPr>
          <w:p>
            <w:pPr>
              <w:spacing w:line="241" w:lineRule="auto"/>
              <w:rPr>
                <w:rFonts w:ascii="Arial"/>
                <w:sz w:val="21"/>
              </w:rPr>
            </w:pPr>
            <w:r/>
          </w:p>
          <w:p>
            <w:pPr>
              <w:pStyle w:val="TableText"/>
              <w:ind w:left="197" w:right="135" w:hanging="36"/>
              <w:spacing w:before="65" w:line="253" w:lineRule="auto"/>
              <w:rPr/>
            </w:pPr>
            <w:r>
              <w:rPr>
                <w:rFonts w:ascii="Times New Roman" w:hAnsi="Times New Roman" w:eastAsia="Times New Roman" w:cs="Times New Roman"/>
                <w:spacing w:val="2"/>
              </w:rPr>
              <w:t>120°47'50.57"</w:t>
            </w:r>
            <w:r>
              <w:rPr>
                <w:spacing w:val="2"/>
              </w:rPr>
              <w:t>东</w:t>
            </w:r>
            <w:r>
              <w:rPr>
                <w:spacing w:val="12"/>
              </w:rPr>
              <w:t xml:space="preserve"> </w:t>
            </w:r>
            <w:r>
              <w:rPr>
                <w:rFonts w:ascii="Times New Roman" w:hAnsi="Times New Roman" w:eastAsia="Times New Roman" w:cs="Times New Roman"/>
                <w:spacing w:val="2"/>
              </w:rPr>
              <w:t>30°</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18'34.26"</w:t>
            </w:r>
            <w:r>
              <w:rPr>
                <w:spacing w:val="2"/>
              </w:rPr>
              <w:t>北</w:t>
            </w:r>
          </w:p>
        </w:tc>
        <w:tc>
          <w:tcPr>
            <w:tcW w:w="1090" w:type="dxa"/>
            <w:vAlign w:val="top"/>
            <w:vMerge w:val="restart"/>
            <w:tcBorders>
              <w:bottom w:val="nil"/>
            </w:tcBorders>
          </w:tcPr>
          <w:p>
            <w:pPr>
              <w:spacing w:line="377" w:lineRule="auto"/>
              <w:rPr>
                <w:rFonts w:ascii="Arial"/>
                <w:sz w:val="21"/>
              </w:rPr>
            </w:pPr>
            <w:r/>
          </w:p>
          <w:p>
            <w:pPr>
              <w:pStyle w:val="TableText"/>
              <w:ind w:left="459"/>
              <w:spacing w:before="65" w:line="233" w:lineRule="auto"/>
              <w:rPr/>
            </w:pPr>
            <w:r>
              <w:rPr/>
              <w:t>否</w:t>
            </w:r>
          </w:p>
        </w:tc>
        <w:tc>
          <w:tcPr>
            <w:tcW w:w="806" w:type="dxa"/>
            <w:vAlign w:val="top"/>
            <w:vMerge w:val="restart"/>
            <w:tcBorders>
              <w:bottom w:val="nil"/>
            </w:tcBorders>
          </w:tcPr>
          <w:p>
            <w:pPr>
              <w:spacing w:line="241" w:lineRule="auto"/>
              <w:rPr>
                <w:rFonts w:ascii="Arial"/>
                <w:sz w:val="21"/>
              </w:rPr>
            </w:pPr>
            <w:r/>
          </w:p>
          <w:p>
            <w:pPr>
              <w:pStyle w:val="TableText"/>
              <w:ind w:left="213"/>
              <w:spacing w:before="65" w:line="233" w:lineRule="auto"/>
              <w:rPr/>
            </w:pPr>
            <w:r>
              <w:rPr>
                <w:spacing w:val="2"/>
              </w:rPr>
              <w:t>二类</w:t>
            </w:r>
          </w:p>
          <w:p>
            <w:pPr>
              <w:pStyle w:val="TableText"/>
              <w:ind w:left="210"/>
              <w:spacing w:before="21" w:line="229" w:lineRule="auto"/>
              <w:rPr/>
            </w:pPr>
            <w:r>
              <w:rPr>
                <w:spacing w:val="-1"/>
              </w:rPr>
              <w:t>单元</w:t>
            </w:r>
          </w:p>
        </w:tc>
        <w:tc>
          <w:tcPr>
            <w:tcW w:w="1428" w:type="dxa"/>
            <w:vAlign w:val="top"/>
          </w:tcPr>
          <w:p>
            <w:pPr>
              <w:pStyle w:val="TableText"/>
              <w:ind w:left="339"/>
              <w:spacing w:before="167"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ET</w:t>
            </w:r>
            <w:r>
              <w:rPr>
                <w:rFonts w:ascii="Times New Roman" w:hAnsi="Times New Roman" w:eastAsia="Times New Roman" w:cs="Times New Roman"/>
                <w:spacing w:val="6"/>
              </w:rPr>
              <w:t>1</w:t>
            </w:r>
          </w:p>
        </w:tc>
        <w:tc>
          <w:tcPr>
            <w:tcW w:w="1709" w:type="dxa"/>
            <w:vAlign w:val="top"/>
          </w:tcPr>
          <w:p>
            <w:pPr>
              <w:pStyle w:val="TableText"/>
              <w:ind w:left="194" w:right="140" w:hanging="30"/>
              <w:spacing w:before="32" w:line="234" w:lineRule="auto"/>
              <w:rPr/>
            </w:pPr>
            <w:r>
              <w:rPr>
                <w:rFonts w:ascii="Times New Roman" w:hAnsi="Times New Roman" w:eastAsia="Times New Roman" w:cs="Times New Roman"/>
                <w:spacing w:val="2"/>
              </w:rPr>
              <w:t>119°45′37.05″</w:t>
            </w:r>
            <w:r>
              <w:rPr>
                <w:spacing w:val="2"/>
              </w:rPr>
              <w:t>东</w:t>
            </w:r>
            <w:r>
              <w:rPr>
                <w:spacing w:val="12"/>
              </w:rPr>
              <w:t xml:space="preserve"> </w:t>
            </w:r>
            <w:r>
              <w:rPr>
                <w:rFonts w:ascii="Times New Roman" w:hAnsi="Times New Roman" w:eastAsia="Times New Roman" w:cs="Times New Roman"/>
                <w:spacing w:val="4"/>
              </w:rPr>
              <w:t>29°50′22.96″</w:t>
            </w:r>
            <w:r>
              <w:rPr>
                <w:spacing w:val="4"/>
              </w:rPr>
              <w:t>北</w:t>
            </w:r>
          </w:p>
        </w:tc>
      </w:tr>
      <w:tr>
        <w:trPr>
          <w:trHeight w:val="549" w:hRule="atLeast"/>
        </w:trPr>
        <w:tc>
          <w:tcPr>
            <w:tcW w:w="682" w:type="dxa"/>
            <w:vAlign w:val="top"/>
            <w:vMerge w:val="continue"/>
            <w:tcBorders>
              <w:top w:val="nil"/>
            </w:tcBorders>
          </w:tcPr>
          <w:p>
            <w:pPr>
              <w:rPr>
                <w:rFonts w:ascii="Arial"/>
                <w:sz w:val="21"/>
              </w:rPr>
            </w:pPr>
            <w:r/>
          </w:p>
        </w:tc>
        <w:tc>
          <w:tcPr>
            <w:tcW w:w="2305" w:type="dxa"/>
            <w:vAlign w:val="top"/>
            <w:vMerge w:val="continue"/>
            <w:tcBorders>
              <w:top w:val="nil"/>
            </w:tcBorders>
          </w:tcPr>
          <w:p>
            <w:pPr>
              <w:rPr>
                <w:rFonts w:ascii="Arial"/>
                <w:sz w:val="21"/>
              </w:rPr>
            </w:pPr>
            <w:r/>
          </w:p>
        </w:tc>
        <w:tc>
          <w:tcPr>
            <w:tcW w:w="1535"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691"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1428" w:type="dxa"/>
            <w:vAlign w:val="top"/>
          </w:tcPr>
          <w:p>
            <w:pPr>
              <w:pStyle w:val="TableText"/>
              <w:ind w:left="239"/>
              <w:spacing w:before="167" w:line="231" w:lineRule="auto"/>
              <w:rPr>
                <w:rFonts w:ascii="Times New Roman" w:hAnsi="Times New Roman" w:eastAsia="Times New Roman" w:cs="Times New Roman"/>
              </w:rPr>
            </w:pPr>
            <w:r>
              <w:rPr>
                <w:spacing w:val="7"/>
              </w:rPr>
              <w:t>地下水</w:t>
            </w:r>
            <w:r>
              <w:rPr>
                <w:rFonts w:ascii="Times New Roman" w:hAnsi="Times New Roman" w:eastAsia="Times New Roman" w:cs="Times New Roman"/>
              </w:rPr>
              <w:t>ES</w:t>
            </w:r>
            <w:r>
              <w:rPr>
                <w:rFonts w:ascii="Times New Roman" w:hAnsi="Times New Roman" w:eastAsia="Times New Roman" w:cs="Times New Roman"/>
                <w:spacing w:val="7"/>
              </w:rPr>
              <w:t>1</w:t>
            </w:r>
          </w:p>
        </w:tc>
        <w:tc>
          <w:tcPr>
            <w:tcW w:w="1709" w:type="dxa"/>
            <w:vAlign w:val="top"/>
          </w:tcPr>
          <w:p>
            <w:pPr>
              <w:pStyle w:val="TableText"/>
              <w:ind w:left="199" w:right="145" w:hanging="30"/>
              <w:spacing w:before="32" w:line="234" w:lineRule="auto"/>
              <w:rPr/>
            </w:pPr>
            <w:r>
              <w:rPr>
                <w:rFonts w:ascii="Times New Roman" w:hAnsi="Times New Roman" w:eastAsia="Times New Roman" w:cs="Times New Roman"/>
                <w:spacing w:val="2"/>
              </w:rPr>
              <w:t>119°45'36.40"</w:t>
            </w:r>
            <w:r>
              <w:rPr>
                <w:spacing w:val="2"/>
              </w:rPr>
              <w:t>东</w:t>
            </w:r>
            <w:r>
              <w:rPr>
                <w:spacing w:val="12"/>
              </w:rPr>
              <w:t xml:space="preserve"> </w:t>
            </w:r>
            <w:r>
              <w:rPr>
                <w:rFonts w:ascii="Times New Roman" w:hAnsi="Times New Roman" w:eastAsia="Times New Roman" w:cs="Times New Roman"/>
                <w:spacing w:val="4"/>
              </w:rPr>
              <w:t>29°50'23.94"</w:t>
            </w:r>
            <w:r>
              <w:rPr>
                <w:spacing w:val="4"/>
              </w:rPr>
              <w:t>北</w:t>
            </w:r>
          </w:p>
        </w:tc>
      </w:tr>
      <w:tr>
        <w:trPr>
          <w:trHeight w:val="549" w:hRule="atLeast"/>
        </w:trPr>
        <w:tc>
          <w:tcPr>
            <w:tcW w:w="682" w:type="dxa"/>
            <w:vAlign w:val="top"/>
            <w:vMerge w:val="restart"/>
            <w:tcBorders>
              <w:bottom w:val="nil"/>
            </w:tcBorders>
          </w:tcPr>
          <w:p>
            <w:pPr>
              <w:spacing w:line="259" w:lineRule="auto"/>
              <w:rPr>
                <w:rFonts w:ascii="Arial"/>
                <w:sz w:val="21"/>
              </w:rPr>
            </w:pPr>
            <w:r/>
          </w:p>
          <w:p>
            <w:pPr>
              <w:pStyle w:val="TableText"/>
              <w:ind w:left="146"/>
              <w:spacing w:before="65" w:line="229" w:lineRule="auto"/>
              <w:rPr/>
            </w:pPr>
            <w:r>
              <w:rPr>
                <w:spacing w:val="-1"/>
              </w:rPr>
              <w:t>单元</w:t>
            </w:r>
          </w:p>
          <w:p>
            <w:pPr>
              <w:ind w:left="282"/>
              <w:spacing w:before="4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F</w:t>
            </w:r>
          </w:p>
        </w:tc>
        <w:tc>
          <w:tcPr>
            <w:tcW w:w="2305" w:type="dxa"/>
            <w:vAlign w:val="top"/>
            <w:vMerge w:val="restart"/>
            <w:tcBorders>
              <w:bottom w:val="nil"/>
            </w:tcBorders>
          </w:tcPr>
          <w:p>
            <w:pPr>
              <w:spacing w:line="245" w:lineRule="auto"/>
              <w:rPr>
                <w:rFonts w:ascii="Arial"/>
                <w:sz w:val="21"/>
              </w:rPr>
            </w:pPr>
            <w:r/>
          </w:p>
          <w:p>
            <w:pPr>
              <w:pStyle w:val="TableText"/>
              <w:ind w:left="742"/>
              <w:spacing w:before="65" w:line="228" w:lineRule="auto"/>
              <w:rPr/>
            </w:pPr>
            <w:r>
              <w:rPr>
                <w:spacing w:val="5"/>
              </w:rPr>
              <w:t>制球车间</w:t>
            </w:r>
          </w:p>
          <w:p>
            <w:pPr>
              <w:pStyle w:val="TableText"/>
              <w:ind w:left="431"/>
              <w:spacing w:before="24" w:line="229" w:lineRule="auto"/>
              <w:rPr/>
            </w:pPr>
            <w:r>
              <w:rPr>
                <w:spacing w:val="5"/>
              </w:rPr>
              <w:t>（原铜泥堆场）</w:t>
            </w:r>
          </w:p>
        </w:tc>
        <w:tc>
          <w:tcPr>
            <w:tcW w:w="1535" w:type="dxa"/>
            <w:vAlign w:val="top"/>
            <w:vMerge w:val="restart"/>
            <w:tcBorders>
              <w:bottom w:val="nil"/>
            </w:tcBorders>
          </w:tcPr>
          <w:p>
            <w:pPr>
              <w:pStyle w:val="TableText"/>
              <w:ind w:left="147"/>
              <w:spacing w:before="174" w:line="228" w:lineRule="auto"/>
              <w:rPr/>
            </w:pPr>
            <w:r>
              <w:rPr>
                <w:spacing w:val="7"/>
              </w:rPr>
              <w:t>现状为制球车</w:t>
            </w:r>
          </w:p>
          <w:p>
            <w:pPr>
              <w:pStyle w:val="TableText"/>
              <w:ind w:left="267" w:right="138" w:hanging="100"/>
              <w:spacing w:before="24" w:line="250" w:lineRule="auto"/>
              <w:rPr/>
            </w:pPr>
            <w:r>
              <w:rPr>
                <w:spacing w:val="4"/>
              </w:rPr>
              <w:t>间，之前为临</w:t>
            </w:r>
            <w:r>
              <w:rPr/>
              <w:t xml:space="preserve"> </w:t>
            </w:r>
            <w:r>
              <w:rPr>
                <w:spacing w:val="4"/>
              </w:rPr>
              <w:t>时铜泥堆场</w:t>
            </w:r>
          </w:p>
        </w:tc>
        <w:tc>
          <w:tcPr>
            <w:tcW w:w="1511" w:type="dxa"/>
            <w:vAlign w:val="top"/>
            <w:vMerge w:val="restart"/>
            <w:tcBorders>
              <w:bottom w:val="nil"/>
            </w:tcBorders>
          </w:tcPr>
          <w:p>
            <w:pPr>
              <w:pStyle w:val="TableText"/>
              <w:ind w:left="138"/>
              <w:spacing w:before="174" w:line="231" w:lineRule="auto"/>
              <w:rPr/>
            </w:pPr>
            <w:r>
              <w:rPr>
                <w:spacing w:val="5"/>
              </w:rPr>
              <w:t>铜、铅、锌、</w:t>
            </w:r>
          </w:p>
          <w:p>
            <w:pPr>
              <w:pStyle w:val="TableText"/>
              <w:ind w:left="137"/>
              <w:spacing w:before="20" w:line="229" w:lineRule="auto"/>
              <w:rPr/>
            </w:pPr>
            <w:r>
              <w:rPr>
                <w:spacing w:val="5"/>
              </w:rPr>
              <w:t>镉、镍、砷、</w:t>
            </w:r>
          </w:p>
          <w:p>
            <w:pPr>
              <w:pStyle w:val="TableText"/>
              <w:ind w:left="663"/>
              <w:spacing w:before="23" w:line="230" w:lineRule="auto"/>
              <w:rPr/>
            </w:pPr>
            <w:r>
              <w:rPr/>
              <w:t>铬</w:t>
            </w:r>
          </w:p>
        </w:tc>
        <w:tc>
          <w:tcPr>
            <w:tcW w:w="1511" w:type="dxa"/>
            <w:vAlign w:val="top"/>
            <w:vMerge w:val="restart"/>
            <w:tcBorders>
              <w:bottom w:val="nil"/>
            </w:tcBorders>
          </w:tcPr>
          <w:p>
            <w:pPr>
              <w:pStyle w:val="TableText"/>
              <w:ind w:left="139"/>
              <w:spacing w:before="174" w:line="231" w:lineRule="auto"/>
              <w:rPr/>
            </w:pPr>
            <w:r>
              <w:rPr>
                <w:spacing w:val="5"/>
              </w:rPr>
              <w:t>铜、铅、锌、</w:t>
            </w:r>
          </w:p>
          <w:p>
            <w:pPr>
              <w:pStyle w:val="TableText"/>
              <w:ind w:left="138"/>
              <w:spacing w:before="20" w:line="229" w:lineRule="auto"/>
              <w:rPr/>
            </w:pPr>
            <w:r>
              <w:rPr>
                <w:spacing w:val="5"/>
              </w:rPr>
              <w:t>镉、镍、砷、</w:t>
            </w:r>
          </w:p>
          <w:p>
            <w:pPr>
              <w:pStyle w:val="TableText"/>
              <w:ind w:left="664"/>
              <w:spacing w:before="23" w:line="230" w:lineRule="auto"/>
              <w:rPr/>
            </w:pPr>
            <w:r>
              <w:rPr/>
              <w:t>铬</w:t>
            </w:r>
          </w:p>
        </w:tc>
        <w:tc>
          <w:tcPr>
            <w:tcW w:w="1691" w:type="dxa"/>
            <w:vAlign w:val="top"/>
            <w:vMerge w:val="restart"/>
            <w:tcBorders>
              <w:bottom w:val="nil"/>
            </w:tcBorders>
          </w:tcPr>
          <w:p>
            <w:pPr>
              <w:spacing w:line="244" w:lineRule="auto"/>
              <w:rPr>
                <w:rFonts w:ascii="Arial"/>
                <w:sz w:val="21"/>
              </w:rPr>
            </w:pPr>
            <w:r/>
          </w:p>
          <w:p>
            <w:pPr>
              <w:pStyle w:val="TableText"/>
              <w:ind w:left="197" w:right="135" w:hanging="36"/>
              <w:spacing w:before="65" w:line="251" w:lineRule="auto"/>
              <w:rPr/>
            </w:pPr>
            <w:r>
              <w:rPr>
                <w:rFonts w:ascii="Times New Roman" w:hAnsi="Times New Roman" w:eastAsia="Times New Roman" w:cs="Times New Roman"/>
                <w:spacing w:val="2"/>
              </w:rPr>
              <w:t>120°47'48.33"</w:t>
            </w:r>
            <w:r>
              <w:rPr>
                <w:spacing w:val="2"/>
              </w:rPr>
              <w:t>东</w:t>
            </w:r>
            <w:r>
              <w:rPr>
                <w:spacing w:val="12"/>
              </w:rPr>
              <w:t xml:space="preserve"> </w:t>
            </w:r>
            <w:r>
              <w:rPr>
                <w:rFonts w:ascii="Times New Roman" w:hAnsi="Times New Roman" w:eastAsia="Times New Roman" w:cs="Times New Roman"/>
                <w:spacing w:val="2"/>
              </w:rPr>
              <w:t>30°</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18'21.92"</w:t>
            </w:r>
            <w:r>
              <w:rPr>
                <w:spacing w:val="2"/>
              </w:rPr>
              <w:t>北</w:t>
            </w:r>
          </w:p>
        </w:tc>
        <w:tc>
          <w:tcPr>
            <w:tcW w:w="1090" w:type="dxa"/>
            <w:vAlign w:val="top"/>
            <w:vMerge w:val="restart"/>
            <w:tcBorders>
              <w:bottom w:val="nil"/>
            </w:tcBorders>
          </w:tcPr>
          <w:p>
            <w:pPr>
              <w:spacing w:line="381" w:lineRule="auto"/>
              <w:rPr>
                <w:rFonts w:ascii="Arial"/>
                <w:sz w:val="21"/>
              </w:rPr>
            </w:pPr>
            <w:r/>
          </w:p>
          <w:p>
            <w:pPr>
              <w:pStyle w:val="TableText"/>
              <w:ind w:left="459"/>
              <w:spacing w:before="65" w:line="233" w:lineRule="auto"/>
              <w:rPr/>
            </w:pPr>
            <w:r>
              <w:rPr/>
              <w:t>否</w:t>
            </w:r>
          </w:p>
        </w:tc>
        <w:tc>
          <w:tcPr>
            <w:tcW w:w="806" w:type="dxa"/>
            <w:vAlign w:val="top"/>
            <w:vMerge w:val="restart"/>
            <w:tcBorders>
              <w:bottom w:val="nil"/>
            </w:tcBorders>
          </w:tcPr>
          <w:p>
            <w:pPr>
              <w:spacing w:line="245" w:lineRule="auto"/>
              <w:rPr>
                <w:rFonts w:ascii="Arial"/>
                <w:sz w:val="21"/>
              </w:rPr>
            </w:pPr>
            <w:r/>
          </w:p>
          <w:p>
            <w:pPr>
              <w:pStyle w:val="TableText"/>
              <w:ind w:left="213"/>
              <w:spacing w:before="65" w:line="233" w:lineRule="auto"/>
              <w:rPr/>
            </w:pPr>
            <w:r>
              <w:rPr>
                <w:spacing w:val="2"/>
              </w:rPr>
              <w:t>二类</w:t>
            </w:r>
          </w:p>
          <w:p>
            <w:pPr>
              <w:pStyle w:val="TableText"/>
              <w:ind w:left="210"/>
              <w:spacing w:before="19" w:line="229" w:lineRule="auto"/>
              <w:rPr/>
            </w:pPr>
            <w:r>
              <w:rPr>
                <w:spacing w:val="-1"/>
              </w:rPr>
              <w:t>单元</w:t>
            </w:r>
          </w:p>
        </w:tc>
        <w:tc>
          <w:tcPr>
            <w:tcW w:w="1428" w:type="dxa"/>
            <w:vAlign w:val="top"/>
          </w:tcPr>
          <w:p>
            <w:pPr>
              <w:pStyle w:val="TableText"/>
              <w:ind w:left="343"/>
              <w:spacing w:before="170"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FT</w:t>
            </w:r>
            <w:r>
              <w:rPr>
                <w:rFonts w:ascii="Times New Roman" w:hAnsi="Times New Roman" w:eastAsia="Times New Roman" w:cs="Times New Roman"/>
                <w:spacing w:val="6"/>
              </w:rPr>
              <w:t>1</w:t>
            </w:r>
          </w:p>
        </w:tc>
        <w:tc>
          <w:tcPr>
            <w:tcW w:w="1709" w:type="dxa"/>
            <w:vAlign w:val="top"/>
          </w:tcPr>
          <w:p>
            <w:pPr>
              <w:pStyle w:val="TableText"/>
              <w:ind w:left="194" w:right="140" w:hanging="30"/>
              <w:spacing w:before="34" w:line="233" w:lineRule="auto"/>
              <w:rPr/>
            </w:pPr>
            <w:r>
              <w:rPr>
                <w:rFonts w:ascii="Times New Roman" w:hAnsi="Times New Roman" w:eastAsia="Times New Roman" w:cs="Times New Roman"/>
                <w:spacing w:val="2"/>
              </w:rPr>
              <w:t>119°45′36.40″</w:t>
            </w:r>
            <w:r>
              <w:rPr>
                <w:spacing w:val="2"/>
              </w:rPr>
              <w:t>东</w:t>
            </w:r>
            <w:r>
              <w:rPr>
                <w:spacing w:val="12"/>
              </w:rPr>
              <w:t xml:space="preserve"> </w:t>
            </w:r>
            <w:r>
              <w:rPr>
                <w:rFonts w:ascii="Times New Roman" w:hAnsi="Times New Roman" w:eastAsia="Times New Roman" w:cs="Times New Roman"/>
                <w:spacing w:val="4"/>
              </w:rPr>
              <w:t>29°50′23.39″</w:t>
            </w:r>
            <w:r>
              <w:rPr>
                <w:spacing w:val="4"/>
              </w:rPr>
              <w:t>北</w:t>
            </w:r>
          </w:p>
        </w:tc>
      </w:tr>
      <w:tr>
        <w:trPr>
          <w:trHeight w:val="549" w:hRule="atLeast"/>
        </w:trPr>
        <w:tc>
          <w:tcPr>
            <w:tcW w:w="682" w:type="dxa"/>
            <w:vAlign w:val="top"/>
            <w:vMerge w:val="continue"/>
            <w:tcBorders>
              <w:top w:val="nil"/>
            </w:tcBorders>
          </w:tcPr>
          <w:p>
            <w:pPr>
              <w:rPr>
                <w:rFonts w:ascii="Arial"/>
                <w:sz w:val="21"/>
              </w:rPr>
            </w:pPr>
            <w:r/>
          </w:p>
        </w:tc>
        <w:tc>
          <w:tcPr>
            <w:tcW w:w="2305" w:type="dxa"/>
            <w:vAlign w:val="top"/>
            <w:vMerge w:val="continue"/>
            <w:tcBorders>
              <w:top w:val="nil"/>
            </w:tcBorders>
          </w:tcPr>
          <w:p>
            <w:pPr>
              <w:rPr>
                <w:rFonts w:ascii="Arial"/>
                <w:sz w:val="21"/>
              </w:rPr>
            </w:pPr>
            <w:r/>
          </w:p>
        </w:tc>
        <w:tc>
          <w:tcPr>
            <w:tcW w:w="1535"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691"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1428" w:type="dxa"/>
            <w:vAlign w:val="top"/>
          </w:tcPr>
          <w:p>
            <w:pPr>
              <w:pStyle w:val="TableText"/>
              <w:ind w:left="243"/>
              <w:spacing w:before="170" w:line="231" w:lineRule="auto"/>
              <w:rPr>
                <w:rFonts w:ascii="Times New Roman" w:hAnsi="Times New Roman" w:eastAsia="Times New Roman" w:cs="Times New Roman"/>
              </w:rPr>
            </w:pPr>
            <w:r>
              <w:rPr>
                <w:spacing w:val="7"/>
              </w:rPr>
              <w:t>地下水</w:t>
            </w:r>
            <w:r>
              <w:rPr>
                <w:rFonts w:ascii="Times New Roman" w:hAnsi="Times New Roman" w:eastAsia="Times New Roman" w:cs="Times New Roman"/>
              </w:rPr>
              <w:t>FS</w:t>
            </w:r>
            <w:r>
              <w:rPr>
                <w:rFonts w:ascii="Times New Roman" w:hAnsi="Times New Roman" w:eastAsia="Times New Roman" w:cs="Times New Roman"/>
                <w:spacing w:val="7"/>
              </w:rPr>
              <w:t>1</w:t>
            </w:r>
          </w:p>
        </w:tc>
        <w:tc>
          <w:tcPr>
            <w:tcW w:w="1709" w:type="dxa"/>
            <w:vAlign w:val="top"/>
          </w:tcPr>
          <w:p>
            <w:pPr>
              <w:pStyle w:val="TableText"/>
              <w:ind w:left="199" w:right="145" w:hanging="30"/>
              <w:spacing w:before="34" w:line="233" w:lineRule="auto"/>
              <w:rPr/>
            </w:pPr>
            <w:r>
              <w:rPr>
                <w:rFonts w:ascii="Times New Roman" w:hAnsi="Times New Roman" w:eastAsia="Times New Roman" w:cs="Times New Roman"/>
                <w:spacing w:val="2"/>
              </w:rPr>
              <w:t>119°45'29.09"</w:t>
            </w:r>
            <w:r>
              <w:rPr>
                <w:spacing w:val="2"/>
              </w:rPr>
              <w:t>东</w:t>
            </w:r>
            <w:r>
              <w:rPr>
                <w:spacing w:val="12"/>
              </w:rPr>
              <w:t xml:space="preserve"> </w:t>
            </w:r>
            <w:r>
              <w:rPr>
                <w:rFonts w:ascii="Times New Roman" w:hAnsi="Times New Roman" w:eastAsia="Times New Roman" w:cs="Times New Roman"/>
                <w:spacing w:val="4"/>
              </w:rPr>
              <w:t>29°50'23.25"</w:t>
            </w:r>
            <w:r>
              <w:rPr>
                <w:spacing w:val="4"/>
              </w:rPr>
              <w:t>北</w:t>
            </w:r>
          </w:p>
        </w:tc>
      </w:tr>
      <w:tr>
        <w:trPr>
          <w:trHeight w:val="550" w:hRule="atLeast"/>
        </w:trPr>
        <w:tc>
          <w:tcPr>
            <w:tcW w:w="682" w:type="dxa"/>
            <w:vAlign w:val="top"/>
            <w:vMerge w:val="restart"/>
            <w:tcBorders>
              <w:bottom w:val="nil"/>
            </w:tcBorders>
          </w:tcPr>
          <w:p>
            <w:pPr>
              <w:spacing w:line="268" w:lineRule="auto"/>
              <w:rPr>
                <w:rFonts w:ascii="Arial"/>
                <w:sz w:val="21"/>
              </w:rPr>
            </w:pPr>
            <w:r/>
          </w:p>
          <w:p>
            <w:pPr>
              <w:spacing w:line="269" w:lineRule="auto"/>
              <w:rPr>
                <w:rFonts w:ascii="Arial"/>
                <w:sz w:val="21"/>
              </w:rPr>
            </w:pPr>
            <w:r/>
          </w:p>
          <w:p>
            <w:pPr>
              <w:pStyle w:val="TableText"/>
              <w:ind w:left="146"/>
              <w:spacing w:before="65" w:line="229" w:lineRule="auto"/>
              <w:rPr/>
            </w:pPr>
            <w:r>
              <w:rPr>
                <w:spacing w:val="-1"/>
              </w:rPr>
              <w:t>单元</w:t>
            </w:r>
          </w:p>
          <w:p>
            <w:pPr>
              <w:ind w:left="269"/>
              <w:spacing w:before="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G</w:t>
            </w:r>
          </w:p>
        </w:tc>
        <w:tc>
          <w:tcPr>
            <w:tcW w:w="2305" w:type="dxa"/>
            <w:vAlign w:val="top"/>
            <w:vMerge w:val="restart"/>
            <w:tcBorders>
              <w:bottom w:val="nil"/>
            </w:tcBorders>
          </w:tcPr>
          <w:p>
            <w:pPr>
              <w:spacing w:line="328" w:lineRule="auto"/>
              <w:rPr>
                <w:rFonts w:ascii="Arial"/>
                <w:sz w:val="21"/>
              </w:rPr>
            </w:pPr>
            <w:r/>
          </w:p>
          <w:p>
            <w:pPr>
              <w:spacing w:line="328" w:lineRule="auto"/>
              <w:rPr>
                <w:rFonts w:ascii="Arial"/>
                <w:sz w:val="21"/>
              </w:rPr>
            </w:pPr>
            <w:r/>
          </w:p>
          <w:p>
            <w:pPr>
              <w:pStyle w:val="TableText"/>
              <w:ind w:left="120"/>
              <w:spacing w:before="65" w:line="229" w:lineRule="auto"/>
              <w:rPr/>
            </w:pPr>
            <w:r>
              <w:rPr>
                <w:spacing w:val="5"/>
              </w:rPr>
              <w:t>废弃物提纯（竖炉）</w:t>
            </w:r>
            <w:r>
              <w:rPr>
                <w:spacing w:val="-57"/>
              </w:rPr>
              <w:t xml:space="preserve"> </w:t>
            </w:r>
            <w:r>
              <w:rPr>
                <w:spacing w:val="5"/>
              </w:rPr>
              <w:t>区</w:t>
            </w:r>
          </w:p>
        </w:tc>
        <w:tc>
          <w:tcPr>
            <w:tcW w:w="1535" w:type="dxa"/>
            <w:vAlign w:val="top"/>
            <w:vMerge w:val="restart"/>
            <w:tcBorders>
              <w:bottom w:val="nil"/>
            </w:tcBorders>
          </w:tcPr>
          <w:p>
            <w:pPr>
              <w:pStyle w:val="TableText"/>
              <w:ind w:left="145"/>
              <w:spacing w:before="180" w:line="231" w:lineRule="auto"/>
              <w:rPr/>
            </w:pPr>
            <w:r>
              <w:rPr>
                <w:spacing w:val="7"/>
              </w:rPr>
              <w:t>有色金属废弃</w:t>
            </w:r>
          </w:p>
          <w:p>
            <w:pPr>
              <w:pStyle w:val="TableText"/>
              <w:ind w:left="148"/>
              <w:spacing w:before="23" w:line="228" w:lineRule="auto"/>
              <w:rPr/>
            </w:pPr>
            <w:r>
              <w:rPr>
                <w:spacing w:val="5"/>
              </w:rPr>
              <w:t>物处理车间</w:t>
            </w:r>
            <w:r>
              <w:rPr>
                <w:spacing w:val="21"/>
              </w:rPr>
              <w:t xml:space="preserve"> </w:t>
            </w:r>
            <w:r>
              <w:rPr>
                <w:spacing w:val="5"/>
              </w:rPr>
              <w:t>(</w:t>
            </w:r>
          </w:p>
          <w:p>
            <w:pPr>
              <w:pStyle w:val="TableText"/>
              <w:ind w:left="149"/>
              <w:spacing w:before="23" w:line="232" w:lineRule="auto"/>
              <w:rPr/>
            </w:pPr>
            <w:r>
              <w:rPr>
                <w:spacing w:val="-1"/>
              </w:rPr>
              <w:t>冶炼</w:t>
            </w:r>
            <w:r>
              <w:rPr>
                <w:spacing w:val="22"/>
              </w:rPr>
              <w:t>），</w:t>
            </w:r>
            <w:r>
              <w:rPr>
                <w:spacing w:val="-1"/>
              </w:rPr>
              <w:t>为全</w:t>
            </w:r>
          </w:p>
          <w:p>
            <w:pPr>
              <w:pStyle w:val="TableText"/>
              <w:ind w:left="147"/>
              <w:spacing w:before="23" w:line="232" w:lineRule="auto"/>
              <w:rPr/>
            </w:pPr>
            <w:r>
              <w:rPr>
                <w:spacing w:val="7"/>
              </w:rPr>
              <w:t>厂的主要产污</w:t>
            </w:r>
          </w:p>
          <w:p>
            <w:pPr>
              <w:pStyle w:val="TableText"/>
              <w:ind w:left="691"/>
              <w:spacing w:before="19" w:line="242" w:lineRule="auto"/>
              <w:rPr/>
            </w:pPr>
            <w:r>
              <w:rPr/>
              <w:t>区</w:t>
            </w:r>
          </w:p>
        </w:tc>
        <w:tc>
          <w:tcPr>
            <w:tcW w:w="1511" w:type="dxa"/>
            <w:vAlign w:val="top"/>
            <w:vMerge w:val="restart"/>
            <w:tcBorders>
              <w:bottom w:val="nil"/>
            </w:tcBorders>
          </w:tcPr>
          <w:p>
            <w:pPr>
              <w:spacing w:line="250" w:lineRule="auto"/>
              <w:rPr>
                <w:rFonts w:ascii="Arial"/>
                <w:sz w:val="21"/>
              </w:rPr>
            </w:pPr>
            <w:r/>
          </w:p>
          <w:p>
            <w:pPr>
              <w:pStyle w:val="TableText"/>
              <w:ind w:left="138"/>
              <w:spacing w:before="65" w:line="231" w:lineRule="auto"/>
              <w:rPr/>
            </w:pPr>
            <w:r>
              <w:rPr>
                <w:spacing w:val="5"/>
              </w:rPr>
              <w:t>铜、铅、锌、</w:t>
            </w:r>
          </w:p>
          <w:p>
            <w:pPr>
              <w:pStyle w:val="TableText"/>
              <w:ind w:left="137"/>
              <w:spacing w:before="20" w:line="229" w:lineRule="auto"/>
              <w:rPr/>
            </w:pPr>
            <w:r>
              <w:rPr>
                <w:spacing w:val="5"/>
              </w:rPr>
              <w:t>镉、镍、砷、</w:t>
            </w:r>
          </w:p>
          <w:p>
            <w:pPr>
              <w:pStyle w:val="TableText"/>
              <w:ind w:left="138"/>
              <w:spacing w:before="25" w:line="230" w:lineRule="auto"/>
              <w:rPr/>
            </w:pPr>
            <w:r>
              <w:rPr>
                <w:spacing w:val="5"/>
              </w:rPr>
              <w:t>六价铬、铬、</w:t>
            </w:r>
          </w:p>
          <w:p>
            <w:pPr>
              <w:pStyle w:val="TableText"/>
              <w:ind w:left="457"/>
              <w:spacing w:before="21" w:line="232" w:lineRule="auto"/>
              <w:rPr/>
            </w:pPr>
            <w:r>
              <w:rPr>
                <w:spacing w:val="2"/>
              </w:rPr>
              <w:t>二噁英</w:t>
            </w:r>
          </w:p>
        </w:tc>
        <w:tc>
          <w:tcPr>
            <w:tcW w:w="1511" w:type="dxa"/>
            <w:vAlign w:val="top"/>
            <w:vMerge w:val="restart"/>
            <w:tcBorders>
              <w:bottom w:val="nil"/>
            </w:tcBorders>
          </w:tcPr>
          <w:p>
            <w:pPr>
              <w:pStyle w:val="TableText"/>
              <w:ind w:left="139"/>
              <w:spacing w:before="180" w:line="231" w:lineRule="auto"/>
              <w:rPr/>
            </w:pPr>
            <w:r>
              <w:rPr>
                <w:spacing w:val="5"/>
              </w:rPr>
              <w:t>铜、铅、锌、</w:t>
            </w:r>
          </w:p>
          <w:p>
            <w:pPr>
              <w:pStyle w:val="TableText"/>
              <w:ind w:left="138"/>
              <w:spacing w:before="23" w:line="229" w:lineRule="auto"/>
              <w:rPr/>
            </w:pPr>
            <w:r>
              <w:rPr>
                <w:spacing w:val="5"/>
              </w:rPr>
              <w:t>镉、镍、砷、</w:t>
            </w:r>
          </w:p>
          <w:p>
            <w:pPr>
              <w:pStyle w:val="TableText"/>
              <w:ind w:left="143"/>
              <w:spacing w:before="23" w:line="231" w:lineRule="auto"/>
              <w:rPr/>
            </w:pPr>
            <w:r>
              <w:rPr>
                <w:spacing w:val="4"/>
              </w:rPr>
              <w:t>氟、氯化氢、</w:t>
            </w:r>
          </w:p>
          <w:p>
            <w:pPr>
              <w:pStyle w:val="TableText"/>
              <w:ind w:left="244" w:right="162" w:hanging="100"/>
              <w:spacing w:before="24" w:line="250" w:lineRule="auto"/>
              <w:rPr/>
            </w:pPr>
            <w:r>
              <w:rPr>
                <w:spacing w:val="-1"/>
              </w:rPr>
              <w:t>二噁英、氨、</w:t>
            </w:r>
            <w:r>
              <w:rPr>
                <w:spacing w:val="4"/>
              </w:rPr>
              <w:t xml:space="preserve"> </w:t>
            </w:r>
            <w:r>
              <w:rPr>
                <w:spacing w:val="7"/>
              </w:rPr>
              <w:t>六价铬、铬</w:t>
            </w:r>
          </w:p>
        </w:tc>
        <w:tc>
          <w:tcPr>
            <w:tcW w:w="1691" w:type="dxa"/>
            <w:vAlign w:val="top"/>
            <w:vMerge w:val="restart"/>
            <w:tcBorders>
              <w:bottom w:val="nil"/>
            </w:tcBorders>
          </w:tcPr>
          <w:p>
            <w:pPr>
              <w:spacing w:line="259" w:lineRule="auto"/>
              <w:rPr>
                <w:rFonts w:ascii="Arial"/>
                <w:sz w:val="21"/>
              </w:rPr>
            </w:pPr>
            <w:r/>
          </w:p>
          <w:p>
            <w:pPr>
              <w:spacing w:line="260" w:lineRule="auto"/>
              <w:rPr>
                <w:rFonts w:ascii="Arial"/>
                <w:sz w:val="21"/>
              </w:rPr>
            </w:pPr>
            <w:r/>
          </w:p>
          <w:p>
            <w:pPr>
              <w:pStyle w:val="TableText"/>
              <w:ind w:left="197" w:right="135" w:hanging="36"/>
              <w:spacing w:before="65" w:line="253" w:lineRule="auto"/>
              <w:rPr/>
            </w:pPr>
            <w:r>
              <w:rPr>
                <w:rFonts w:ascii="Times New Roman" w:hAnsi="Times New Roman" w:eastAsia="Times New Roman" w:cs="Times New Roman"/>
                <w:spacing w:val="2"/>
              </w:rPr>
              <w:t>120°47'59.89"</w:t>
            </w:r>
            <w:r>
              <w:rPr>
                <w:spacing w:val="2"/>
              </w:rPr>
              <w:t>东</w:t>
            </w:r>
            <w:r>
              <w:rPr>
                <w:spacing w:val="12"/>
              </w:rPr>
              <w:t xml:space="preserve"> </w:t>
            </w:r>
            <w:r>
              <w:rPr>
                <w:rFonts w:ascii="Times New Roman" w:hAnsi="Times New Roman" w:eastAsia="Times New Roman" w:cs="Times New Roman"/>
                <w:spacing w:val="2"/>
              </w:rPr>
              <w:t>30°</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18'34.25"</w:t>
            </w:r>
            <w:r>
              <w:rPr>
                <w:spacing w:val="2"/>
              </w:rPr>
              <w:t>北</w:t>
            </w:r>
          </w:p>
        </w:tc>
        <w:tc>
          <w:tcPr>
            <w:tcW w:w="1090" w:type="dxa"/>
            <w:vAlign w:val="top"/>
            <w:vMerge w:val="restart"/>
            <w:tcBorders>
              <w:bottom w:val="nil"/>
            </w:tcBorders>
          </w:tcPr>
          <w:p>
            <w:pPr>
              <w:spacing w:line="328" w:lineRule="auto"/>
              <w:rPr>
                <w:rFonts w:ascii="Arial"/>
                <w:sz w:val="21"/>
              </w:rPr>
            </w:pPr>
            <w:r/>
          </w:p>
          <w:p>
            <w:pPr>
              <w:spacing w:line="328" w:lineRule="auto"/>
              <w:rPr>
                <w:rFonts w:ascii="Arial"/>
                <w:sz w:val="21"/>
              </w:rPr>
            </w:pPr>
            <w:r/>
          </w:p>
          <w:p>
            <w:pPr>
              <w:pStyle w:val="TableText"/>
              <w:ind w:left="459"/>
              <w:spacing w:before="65" w:line="233" w:lineRule="auto"/>
              <w:rPr/>
            </w:pPr>
            <w:r>
              <w:rPr/>
              <w:t>否</w:t>
            </w:r>
          </w:p>
        </w:tc>
        <w:tc>
          <w:tcPr>
            <w:tcW w:w="806"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pStyle w:val="TableText"/>
              <w:ind w:left="213"/>
              <w:spacing w:before="65" w:line="233" w:lineRule="auto"/>
              <w:rPr/>
            </w:pPr>
            <w:r>
              <w:rPr>
                <w:spacing w:val="2"/>
              </w:rPr>
              <w:t>二类</w:t>
            </w:r>
          </w:p>
          <w:p>
            <w:pPr>
              <w:pStyle w:val="TableText"/>
              <w:ind w:left="210"/>
              <w:spacing w:before="21" w:line="229" w:lineRule="auto"/>
              <w:rPr/>
            </w:pPr>
            <w:r>
              <w:rPr>
                <w:spacing w:val="-1"/>
              </w:rPr>
              <w:t>单元</w:t>
            </w:r>
          </w:p>
        </w:tc>
        <w:tc>
          <w:tcPr>
            <w:tcW w:w="1428" w:type="dxa"/>
            <w:vAlign w:val="top"/>
          </w:tcPr>
          <w:p>
            <w:pPr>
              <w:pStyle w:val="TableText"/>
              <w:ind w:left="327"/>
              <w:spacing w:before="171"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GT</w:t>
            </w:r>
            <w:r>
              <w:rPr>
                <w:rFonts w:ascii="Times New Roman" w:hAnsi="Times New Roman" w:eastAsia="Times New Roman" w:cs="Times New Roman"/>
                <w:spacing w:val="6"/>
              </w:rPr>
              <w:t>1</w:t>
            </w:r>
          </w:p>
        </w:tc>
        <w:tc>
          <w:tcPr>
            <w:tcW w:w="1709" w:type="dxa"/>
            <w:vAlign w:val="top"/>
          </w:tcPr>
          <w:p>
            <w:pPr>
              <w:pStyle w:val="TableText"/>
              <w:ind w:left="194" w:right="140" w:hanging="30"/>
              <w:spacing w:before="37" w:line="232" w:lineRule="auto"/>
              <w:rPr/>
            </w:pPr>
            <w:r>
              <w:rPr>
                <w:rFonts w:ascii="Times New Roman" w:hAnsi="Times New Roman" w:eastAsia="Times New Roman" w:cs="Times New Roman"/>
                <w:spacing w:val="2"/>
              </w:rPr>
              <w:t>119°45′30.89″</w:t>
            </w:r>
            <w:r>
              <w:rPr>
                <w:spacing w:val="2"/>
              </w:rPr>
              <w:t>东</w:t>
            </w:r>
            <w:r>
              <w:rPr>
                <w:spacing w:val="12"/>
              </w:rPr>
              <w:t xml:space="preserve"> </w:t>
            </w:r>
            <w:r>
              <w:rPr>
                <w:rFonts w:ascii="Times New Roman" w:hAnsi="Times New Roman" w:eastAsia="Times New Roman" w:cs="Times New Roman"/>
                <w:spacing w:val="4"/>
              </w:rPr>
              <w:t>29°50′30.90″</w:t>
            </w:r>
            <w:r>
              <w:rPr>
                <w:spacing w:val="4"/>
              </w:rPr>
              <w:t>北</w:t>
            </w:r>
          </w:p>
        </w:tc>
      </w:tr>
      <w:tr>
        <w:trPr>
          <w:trHeight w:val="549" w:hRule="atLeast"/>
        </w:trPr>
        <w:tc>
          <w:tcPr>
            <w:tcW w:w="682" w:type="dxa"/>
            <w:vAlign w:val="top"/>
            <w:vMerge w:val="continue"/>
            <w:tcBorders>
              <w:top w:val="nil"/>
              <w:bottom w:val="nil"/>
            </w:tcBorders>
          </w:tcPr>
          <w:p>
            <w:pPr>
              <w:rPr>
                <w:rFonts w:ascii="Arial"/>
                <w:sz w:val="21"/>
              </w:rPr>
            </w:pPr>
            <w:r/>
          </w:p>
        </w:tc>
        <w:tc>
          <w:tcPr>
            <w:tcW w:w="2305" w:type="dxa"/>
            <w:vAlign w:val="top"/>
            <w:vMerge w:val="continue"/>
            <w:tcBorders>
              <w:top w:val="nil"/>
              <w:bottom w:val="nil"/>
            </w:tcBorders>
          </w:tcPr>
          <w:p>
            <w:pPr>
              <w:rPr>
                <w:rFonts w:ascii="Arial"/>
                <w:sz w:val="21"/>
              </w:rPr>
            </w:pPr>
            <w:r/>
          </w:p>
        </w:tc>
        <w:tc>
          <w:tcPr>
            <w:tcW w:w="1535"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691" w:type="dxa"/>
            <w:vAlign w:val="top"/>
            <w:vMerge w:val="continue"/>
            <w:tcBorders>
              <w:top w:val="nil"/>
              <w:bottom w:val="nil"/>
            </w:tcBorders>
          </w:tcPr>
          <w:p>
            <w:pPr>
              <w:rPr>
                <w:rFonts w:ascii="Arial"/>
                <w:sz w:val="21"/>
              </w:rPr>
            </w:pPr>
            <w:r/>
          </w:p>
        </w:tc>
        <w:tc>
          <w:tcPr>
            <w:tcW w:w="1090" w:type="dxa"/>
            <w:vAlign w:val="top"/>
            <w:vMerge w:val="continue"/>
            <w:tcBorders>
              <w:top w:val="nil"/>
              <w:bottom w:val="nil"/>
            </w:tcBorders>
          </w:tcPr>
          <w:p>
            <w:pPr>
              <w:rPr>
                <w:rFonts w:ascii="Arial"/>
                <w:sz w:val="21"/>
              </w:rPr>
            </w:pPr>
            <w:r/>
          </w:p>
        </w:tc>
        <w:tc>
          <w:tcPr>
            <w:tcW w:w="806" w:type="dxa"/>
            <w:vAlign w:val="top"/>
            <w:vMerge w:val="continue"/>
            <w:tcBorders>
              <w:top w:val="nil"/>
              <w:bottom w:val="nil"/>
            </w:tcBorders>
          </w:tcPr>
          <w:p>
            <w:pPr>
              <w:rPr>
                <w:rFonts w:ascii="Arial"/>
                <w:sz w:val="21"/>
              </w:rPr>
            </w:pPr>
            <w:r/>
          </w:p>
        </w:tc>
        <w:tc>
          <w:tcPr>
            <w:tcW w:w="1428" w:type="dxa"/>
            <w:vAlign w:val="top"/>
          </w:tcPr>
          <w:p>
            <w:pPr>
              <w:pStyle w:val="TableText"/>
              <w:ind w:left="327"/>
              <w:spacing w:before="170"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GT</w:t>
            </w:r>
            <w:r>
              <w:rPr>
                <w:rFonts w:ascii="Times New Roman" w:hAnsi="Times New Roman" w:eastAsia="Times New Roman" w:cs="Times New Roman"/>
                <w:spacing w:val="6"/>
              </w:rPr>
              <w:t>2</w:t>
            </w:r>
          </w:p>
        </w:tc>
        <w:tc>
          <w:tcPr>
            <w:tcW w:w="1709" w:type="dxa"/>
            <w:vAlign w:val="top"/>
          </w:tcPr>
          <w:p>
            <w:pPr>
              <w:pStyle w:val="TableText"/>
              <w:ind w:left="194" w:right="140" w:hanging="30"/>
              <w:spacing w:before="36" w:line="232" w:lineRule="auto"/>
              <w:rPr/>
            </w:pPr>
            <w:r>
              <w:rPr>
                <w:rFonts w:ascii="Times New Roman" w:hAnsi="Times New Roman" w:eastAsia="Times New Roman" w:cs="Times New Roman"/>
                <w:spacing w:val="2"/>
              </w:rPr>
              <w:t>119°45′34.37″</w:t>
            </w:r>
            <w:r>
              <w:rPr>
                <w:spacing w:val="2"/>
              </w:rPr>
              <w:t>东</w:t>
            </w:r>
            <w:r>
              <w:rPr>
                <w:spacing w:val="12"/>
              </w:rPr>
              <w:t xml:space="preserve"> </w:t>
            </w:r>
            <w:r>
              <w:rPr>
                <w:rFonts w:ascii="Times New Roman" w:hAnsi="Times New Roman" w:eastAsia="Times New Roman" w:cs="Times New Roman"/>
                <w:spacing w:val="4"/>
              </w:rPr>
              <w:t>29°50′32.20″</w:t>
            </w:r>
            <w:r>
              <w:rPr>
                <w:spacing w:val="4"/>
              </w:rPr>
              <w:t>北</w:t>
            </w:r>
          </w:p>
        </w:tc>
      </w:tr>
      <w:tr>
        <w:trPr>
          <w:trHeight w:val="550" w:hRule="atLeast"/>
        </w:trPr>
        <w:tc>
          <w:tcPr>
            <w:tcW w:w="682" w:type="dxa"/>
            <w:vAlign w:val="top"/>
            <w:vMerge w:val="continue"/>
            <w:tcBorders>
              <w:top w:val="nil"/>
            </w:tcBorders>
          </w:tcPr>
          <w:p>
            <w:pPr>
              <w:rPr>
                <w:rFonts w:ascii="Arial"/>
                <w:sz w:val="21"/>
              </w:rPr>
            </w:pPr>
            <w:r/>
          </w:p>
        </w:tc>
        <w:tc>
          <w:tcPr>
            <w:tcW w:w="2305" w:type="dxa"/>
            <w:vAlign w:val="top"/>
            <w:vMerge w:val="continue"/>
            <w:tcBorders>
              <w:top w:val="nil"/>
            </w:tcBorders>
          </w:tcPr>
          <w:p>
            <w:pPr>
              <w:rPr>
                <w:rFonts w:ascii="Arial"/>
                <w:sz w:val="21"/>
              </w:rPr>
            </w:pPr>
            <w:r/>
          </w:p>
        </w:tc>
        <w:tc>
          <w:tcPr>
            <w:tcW w:w="1535"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691"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1428" w:type="dxa"/>
            <w:vAlign w:val="top"/>
          </w:tcPr>
          <w:p>
            <w:pPr>
              <w:pStyle w:val="TableText"/>
              <w:ind w:left="227"/>
              <w:spacing w:before="170" w:line="231" w:lineRule="auto"/>
              <w:rPr>
                <w:rFonts w:ascii="Times New Roman" w:hAnsi="Times New Roman" w:eastAsia="Times New Roman" w:cs="Times New Roman"/>
              </w:rPr>
            </w:pPr>
            <w:r>
              <w:rPr>
                <w:spacing w:val="7"/>
              </w:rPr>
              <w:t>地下水</w:t>
            </w:r>
            <w:r>
              <w:rPr>
                <w:rFonts w:ascii="Times New Roman" w:hAnsi="Times New Roman" w:eastAsia="Times New Roman" w:cs="Times New Roman"/>
              </w:rPr>
              <w:t>GS</w:t>
            </w:r>
            <w:r>
              <w:rPr>
                <w:rFonts w:ascii="Times New Roman" w:hAnsi="Times New Roman" w:eastAsia="Times New Roman" w:cs="Times New Roman"/>
                <w:spacing w:val="7"/>
              </w:rPr>
              <w:t>1</w:t>
            </w:r>
          </w:p>
        </w:tc>
        <w:tc>
          <w:tcPr>
            <w:tcW w:w="1709" w:type="dxa"/>
            <w:vAlign w:val="top"/>
          </w:tcPr>
          <w:p>
            <w:pPr>
              <w:pStyle w:val="TableText"/>
              <w:ind w:left="199" w:right="145" w:hanging="30"/>
              <w:spacing w:before="37" w:line="232" w:lineRule="auto"/>
              <w:rPr/>
            </w:pPr>
            <w:r>
              <w:rPr>
                <w:rFonts w:ascii="Times New Roman" w:hAnsi="Times New Roman" w:eastAsia="Times New Roman" w:cs="Times New Roman"/>
                <w:spacing w:val="2"/>
              </w:rPr>
              <w:t>119°45'34.55"</w:t>
            </w:r>
            <w:r>
              <w:rPr>
                <w:spacing w:val="2"/>
              </w:rPr>
              <w:t>东</w:t>
            </w:r>
            <w:r>
              <w:rPr>
                <w:spacing w:val="12"/>
              </w:rPr>
              <w:t xml:space="preserve"> </w:t>
            </w:r>
            <w:r>
              <w:rPr>
                <w:rFonts w:ascii="Times New Roman" w:hAnsi="Times New Roman" w:eastAsia="Times New Roman" w:cs="Times New Roman"/>
                <w:spacing w:val="4"/>
              </w:rPr>
              <w:t>29°50'32.23"</w:t>
            </w:r>
            <w:r>
              <w:rPr>
                <w:spacing w:val="4"/>
              </w:rPr>
              <w:t>北</w:t>
            </w:r>
          </w:p>
        </w:tc>
      </w:tr>
      <w:tr>
        <w:trPr>
          <w:trHeight w:val="549" w:hRule="atLeast"/>
        </w:trPr>
        <w:tc>
          <w:tcPr>
            <w:tcW w:w="682" w:type="dxa"/>
            <w:vAlign w:val="top"/>
            <w:vMerge w:val="restart"/>
            <w:tcBorders>
              <w:bottom w:val="nil"/>
            </w:tcBorders>
          </w:tcPr>
          <w:p>
            <w:pPr>
              <w:spacing w:line="268" w:lineRule="auto"/>
              <w:rPr>
                <w:rFonts w:ascii="Arial"/>
                <w:sz w:val="21"/>
              </w:rPr>
            </w:pPr>
            <w:r/>
          </w:p>
          <w:p>
            <w:pPr>
              <w:spacing w:line="268" w:lineRule="auto"/>
              <w:rPr>
                <w:rFonts w:ascii="Arial"/>
                <w:sz w:val="21"/>
              </w:rPr>
            </w:pPr>
            <w:r/>
          </w:p>
          <w:p>
            <w:pPr>
              <w:pStyle w:val="TableText"/>
              <w:ind w:left="146"/>
              <w:spacing w:before="65" w:line="229" w:lineRule="auto"/>
              <w:rPr/>
            </w:pPr>
            <w:r>
              <w:rPr>
                <w:spacing w:val="-1"/>
              </w:rPr>
              <w:t>单元</w:t>
            </w:r>
          </w:p>
          <w:p>
            <w:pPr>
              <w:ind w:left="266"/>
              <w:spacing w:before="4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H</w:t>
            </w:r>
          </w:p>
        </w:tc>
        <w:tc>
          <w:tcPr>
            <w:tcW w:w="2305" w:type="dxa"/>
            <w:vAlign w:val="top"/>
            <w:vMerge w:val="restart"/>
            <w:tcBorders>
              <w:bottom w:val="nil"/>
            </w:tcBorders>
          </w:tcPr>
          <w:p>
            <w:pPr>
              <w:spacing w:line="327" w:lineRule="auto"/>
              <w:rPr>
                <w:rFonts w:ascii="Arial"/>
                <w:sz w:val="21"/>
              </w:rPr>
            </w:pPr>
            <w:r/>
          </w:p>
          <w:p>
            <w:pPr>
              <w:spacing w:line="328" w:lineRule="auto"/>
              <w:rPr>
                <w:rFonts w:ascii="Arial"/>
                <w:sz w:val="21"/>
              </w:rPr>
            </w:pPr>
            <w:r/>
          </w:p>
          <w:p>
            <w:pPr>
              <w:pStyle w:val="TableText"/>
              <w:ind w:left="324"/>
              <w:spacing w:before="65" w:line="231" w:lineRule="auto"/>
              <w:rPr/>
            </w:pPr>
            <w:r>
              <w:rPr>
                <w:spacing w:val="7"/>
              </w:rPr>
              <w:t>废气、废水治理区</w:t>
            </w:r>
          </w:p>
        </w:tc>
        <w:tc>
          <w:tcPr>
            <w:tcW w:w="1535" w:type="dxa"/>
            <w:vAlign w:val="top"/>
            <w:vMerge w:val="restart"/>
            <w:tcBorders>
              <w:bottom w:val="nil"/>
            </w:tcBorders>
          </w:tcPr>
          <w:p>
            <w:pPr>
              <w:pStyle w:val="TableText"/>
              <w:ind w:left="151"/>
              <w:spacing w:before="44" w:line="232" w:lineRule="auto"/>
              <w:rPr/>
            </w:pPr>
            <w:r>
              <w:rPr>
                <w:spacing w:val="5"/>
              </w:rPr>
              <w:t>逆流烘干炉、</w:t>
            </w:r>
          </w:p>
          <w:p>
            <w:pPr>
              <w:pStyle w:val="TableText"/>
              <w:ind w:left="153"/>
              <w:spacing w:before="20" w:line="233" w:lineRule="auto"/>
              <w:rPr/>
            </w:pPr>
            <w:r>
              <w:rPr>
                <w:spacing w:val="-1"/>
              </w:rPr>
              <w:t>竖炉、</w:t>
            </w:r>
            <w:r>
              <w:rPr>
                <w:spacing w:val="-57"/>
              </w:rPr>
              <w:t xml:space="preserve"> </w:t>
            </w:r>
            <w:r>
              <w:rPr>
                <w:spacing w:val="-1"/>
              </w:rPr>
              <w:t>电弧炉</w:t>
            </w:r>
          </w:p>
          <w:p>
            <w:pPr>
              <w:pStyle w:val="TableText"/>
              <w:ind w:left="163"/>
              <w:spacing w:before="18" w:line="231" w:lineRule="auto"/>
              <w:rPr/>
            </w:pPr>
            <w:r>
              <w:rPr>
                <w:spacing w:val="-4"/>
              </w:rPr>
              <w:t>、</w:t>
            </w:r>
            <w:r>
              <w:rPr>
                <w:spacing w:val="-49"/>
              </w:rPr>
              <w:t xml:space="preserve"> </w:t>
            </w:r>
            <w:r>
              <w:rPr>
                <w:spacing w:val="-4"/>
              </w:rPr>
              <w:t>中频炉废气</w:t>
            </w:r>
          </w:p>
          <w:p>
            <w:pPr>
              <w:pStyle w:val="TableText"/>
              <w:ind w:left="148"/>
              <w:spacing w:before="23" w:line="231" w:lineRule="auto"/>
              <w:rPr/>
            </w:pPr>
            <w:r>
              <w:rPr>
                <w:spacing w:val="7"/>
              </w:rPr>
              <w:t>处理设施和氧</w:t>
            </w:r>
          </w:p>
          <w:p>
            <w:pPr>
              <w:pStyle w:val="TableText"/>
              <w:ind w:left="148"/>
              <w:spacing w:before="21" w:line="231" w:lineRule="auto"/>
              <w:rPr/>
            </w:pPr>
            <w:r>
              <w:rPr>
                <w:spacing w:val="7"/>
              </w:rPr>
              <w:t>化镁脱硫废水</w:t>
            </w:r>
          </w:p>
          <w:p>
            <w:pPr>
              <w:pStyle w:val="TableText"/>
              <w:ind w:left="568"/>
              <w:spacing w:before="23" w:line="228" w:lineRule="auto"/>
              <w:rPr/>
            </w:pPr>
            <w:r>
              <w:rPr>
                <w:spacing w:val="1"/>
              </w:rPr>
              <w:t>处理</w:t>
            </w:r>
          </w:p>
        </w:tc>
        <w:tc>
          <w:tcPr>
            <w:tcW w:w="1511" w:type="dxa"/>
            <w:vAlign w:val="top"/>
            <w:vMerge w:val="restart"/>
            <w:tcBorders>
              <w:bottom w:val="nil"/>
            </w:tcBorders>
          </w:tcPr>
          <w:p>
            <w:pPr>
              <w:spacing w:line="249" w:lineRule="auto"/>
              <w:rPr>
                <w:rFonts w:ascii="Arial"/>
                <w:sz w:val="21"/>
              </w:rPr>
            </w:pPr>
            <w:r/>
          </w:p>
          <w:p>
            <w:pPr>
              <w:pStyle w:val="TableText"/>
              <w:ind w:left="138"/>
              <w:spacing w:before="65" w:line="231" w:lineRule="auto"/>
              <w:rPr/>
            </w:pPr>
            <w:r>
              <w:rPr>
                <w:spacing w:val="5"/>
              </w:rPr>
              <w:t>铜、铅、锌、</w:t>
            </w:r>
          </w:p>
          <w:p>
            <w:pPr>
              <w:pStyle w:val="TableText"/>
              <w:ind w:left="137"/>
              <w:spacing w:before="23" w:line="229" w:lineRule="auto"/>
              <w:rPr/>
            </w:pPr>
            <w:r>
              <w:rPr>
                <w:spacing w:val="5"/>
              </w:rPr>
              <w:t>镉、镍、砷、</w:t>
            </w:r>
          </w:p>
          <w:p>
            <w:pPr>
              <w:pStyle w:val="TableText"/>
              <w:ind w:left="138"/>
              <w:spacing w:before="23" w:line="230" w:lineRule="auto"/>
              <w:rPr/>
            </w:pPr>
            <w:r>
              <w:rPr>
                <w:spacing w:val="5"/>
              </w:rPr>
              <w:t>六价铬、铬、</w:t>
            </w:r>
          </w:p>
          <w:p>
            <w:pPr>
              <w:pStyle w:val="TableText"/>
              <w:ind w:left="457"/>
              <w:spacing w:before="23" w:line="232" w:lineRule="auto"/>
              <w:rPr/>
            </w:pPr>
            <w:r>
              <w:rPr>
                <w:spacing w:val="2"/>
              </w:rPr>
              <w:t>二噁英</w:t>
            </w:r>
          </w:p>
        </w:tc>
        <w:tc>
          <w:tcPr>
            <w:tcW w:w="1511" w:type="dxa"/>
            <w:vAlign w:val="top"/>
            <w:vMerge w:val="restart"/>
            <w:tcBorders>
              <w:bottom w:val="nil"/>
            </w:tcBorders>
          </w:tcPr>
          <w:p>
            <w:pPr>
              <w:pStyle w:val="TableText"/>
              <w:ind w:left="146"/>
              <w:spacing w:before="44" w:line="232" w:lineRule="auto"/>
              <w:rPr/>
            </w:pPr>
            <w:r>
              <w:rPr>
                <w:spacing w:val="6"/>
              </w:rPr>
              <w:t>总石油烃、铜</w:t>
            </w:r>
          </w:p>
          <w:p>
            <w:pPr>
              <w:pStyle w:val="TableText"/>
              <w:ind w:left="153"/>
              <w:spacing w:before="20" w:line="231" w:lineRule="auto"/>
              <w:rPr/>
            </w:pPr>
            <w:r>
              <w:rPr>
                <w:spacing w:val="5"/>
              </w:rPr>
              <w:t>、铅、锌、镉</w:t>
            </w:r>
          </w:p>
          <w:p>
            <w:pPr>
              <w:pStyle w:val="TableText"/>
              <w:ind w:left="153"/>
              <w:spacing w:before="20" w:line="229" w:lineRule="auto"/>
              <w:rPr/>
            </w:pPr>
            <w:r>
              <w:rPr>
                <w:spacing w:val="6"/>
              </w:rPr>
              <w:t>、镍、砷、氟</w:t>
            </w:r>
          </w:p>
          <w:p>
            <w:pPr>
              <w:pStyle w:val="TableText"/>
              <w:ind w:left="153"/>
              <w:spacing w:before="25" w:line="231" w:lineRule="auto"/>
              <w:rPr/>
            </w:pPr>
            <w:r>
              <w:rPr>
                <w:spacing w:val="6"/>
              </w:rPr>
              <w:t>、氯化氢、二</w:t>
            </w:r>
          </w:p>
          <w:p>
            <w:pPr>
              <w:pStyle w:val="TableText"/>
              <w:ind w:left="347" w:right="124" w:hanging="202"/>
              <w:spacing w:before="22"/>
              <w:rPr/>
            </w:pPr>
            <w:r>
              <w:rPr>
                <w:spacing w:val="6"/>
              </w:rPr>
              <w:t>噁英、氨、六</w:t>
            </w:r>
            <w:r>
              <w:rPr/>
              <w:t xml:space="preserve"> </w:t>
            </w:r>
            <w:r>
              <w:rPr>
                <w:spacing w:val="7"/>
              </w:rPr>
              <w:t>价铬、铬</w:t>
            </w:r>
          </w:p>
        </w:tc>
        <w:tc>
          <w:tcPr>
            <w:tcW w:w="1691" w:type="dxa"/>
            <w:vAlign w:val="top"/>
            <w:vMerge w:val="restart"/>
            <w:tcBorders>
              <w:bottom w:val="nil"/>
            </w:tcBorders>
          </w:tcPr>
          <w:p>
            <w:pPr>
              <w:spacing w:line="260" w:lineRule="auto"/>
              <w:rPr>
                <w:rFonts w:ascii="Arial"/>
                <w:sz w:val="21"/>
              </w:rPr>
            </w:pPr>
            <w:r/>
          </w:p>
          <w:p>
            <w:pPr>
              <w:spacing w:line="261" w:lineRule="auto"/>
              <w:rPr>
                <w:rFonts w:ascii="Arial"/>
                <w:sz w:val="21"/>
              </w:rPr>
            </w:pPr>
            <w:r/>
          </w:p>
          <w:p>
            <w:pPr>
              <w:pStyle w:val="TableText"/>
              <w:ind w:left="197" w:right="135" w:hanging="36"/>
              <w:spacing w:before="65" w:line="251" w:lineRule="auto"/>
              <w:rPr/>
            </w:pPr>
            <w:r>
              <w:rPr>
                <w:rFonts w:ascii="Times New Roman" w:hAnsi="Times New Roman" w:eastAsia="Times New Roman" w:cs="Times New Roman"/>
                <w:spacing w:val="2"/>
              </w:rPr>
              <w:t>120°47'55.23"</w:t>
            </w:r>
            <w:r>
              <w:rPr>
                <w:spacing w:val="2"/>
              </w:rPr>
              <w:t>东</w:t>
            </w:r>
            <w:r>
              <w:rPr>
                <w:spacing w:val="12"/>
              </w:rPr>
              <w:t xml:space="preserve"> </w:t>
            </w:r>
            <w:r>
              <w:rPr>
                <w:rFonts w:ascii="Times New Roman" w:hAnsi="Times New Roman" w:eastAsia="Times New Roman" w:cs="Times New Roman"/>
                <w:spacing w:val="2"/>
              </w:rPr>
              <w:t>30°</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18'21.64"</w:t>
            </w:r>
            <w:r>
              <w:rPr>
                <w:spacing w:val="2"/>
              </w:rPr>
              <w:t>北</w:t>
            </w:r>
          </w:p>
        </w:tc>
        <w:tc>
          <w:tcPr>
            <w:tcW w:w="1090" w:type="dxa"/>
            <w:vAlign w:val="top"/>
            <w:vMerge w:val="restart"/>
            <w:tcBorders>
              <w:bottom w:val="nil"/>
            </w:tcBorders>
          </w:tcPr>
          <w:p>
            <w:pPr>
              <w:spacing w:line="385" w:lineRule="auto"/>
              <w:rPr>
                <w:rFonts w:ascii="Arial"/>
                <w:sz w:val="21"/>
              </w:rPr>
            </w:pPr>
            <w:r/>
          </w:p>
          <w:p>
            <w:pPr>
              <w:pStyle w:val="TableText"/>
              <w:ind w:left="138"/>
              <w:spacing w:before="65" w:line="228" w:lineRule="auto"/>
              <w:rPr/>
            </w:pPr>
            <w:r>
              <w:rPr>
                <w:spacing w:val="5"/>
              </w:rPr>
              <w:t>是，存在</w:t>
            </w:r>
          </w:p>
          <w:p>
            <w:pPr>
              <w:pStyle w:val="TableText"/>
              <w:ind w:left="242" w:right="123" w:hanging="104"/>
              <w:spacing w:before="23" w:line="253" w:lineRule="auto"/>
              <w:rPr/>
            </w:pPr>
            <w:r>
              <w:rPr>
                <w:spacing w:val="5"/>
              </w:rPr>
              <w:t>接地储罐</w:t>
            </w:r>
            <w:r>
              <w:rPr>
                <w:spacing w:val="2"/>
              </w:rPr>
              <w:t xml:space="preserve"> </w:t>
            </w:r>
            <w:r>
              <w:rPr>
                <w:spacing w:val="5"/>
              </w:rPr>
              <w:t>和池体</w:t>
            </w:r>
          </w:p>
        </w:tc>
        <w:tc>
          <w:tcPr>
            <w:tcW w:w="806" w:type="dxa"/>
            <w:vAlign w:val="top"/>
            <w:vMerge w:val="restart"/>
            <w:tcBorders>
              <w:bottom w:val="nil"/>
            </w:tcBorders>
          </w:tcPr>
          <w:p>
            <w:pPr>
              <w:spacing w:line="260" w:lineRule="auto"/>
              <w:rPr>
                <w:rFonts w:ascii="Arial"/>
                <w:sz w:val="21"/>
              </w:rPr>
            </w:pPr>
            <w:r/>
          </w:p>
          <w:p>
            <w:pPr>
              <w:spacing w:line="261" w:lineRule="auto"/>
              <w:rPr>
                <w:rFonts w:ascii="Arial"/>
                <w:sz w:val="21"/>
              </w:rPr>
            </w:pPr>
            <w:r/>
          </w:p>
          <w:p>
            <w:pPr>
              <w:pStyle w:val="TableText"/>
              <w:ind w:left="209"/>
              <w:spacing w:before="65" w:line="233" w:lineRule="auto"/>
              <w:rPr/>
            </w:pPr>
            <w:r>
              <w:rPr/>
              <w:t>一类</w:t>
            </w:r>
          </w:p>
          <w:p>
            <w:pPr>
              <w:pStyle w:val="TableText"/>
              <w:ind w:left="210"/>
              <w:spacing w:before="19" w:line="229" w:lineRule="auto"/>
              <w:rPr/>
            </w:pPr>
            <w:r>
              <w:rPr>
                <w:spacing w:val="-1"/>
              </w:rPr>
              <w:t>单元</w:t>
            </w:r>
          </w:p>
        </w:tc>
        <w:tc>
          <w:tcPr>
            <w:tcW w:w="1428" w:type="dxa"/>
            <w:vAlign w:val="top"/>
          </w:tcPr>
          <w:p>
            <w:pPr>
              <w:pStyle w:val="TableText"/>
              <w:ind w:left="327"/>
              <w:spacing w:before="170"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HT</w:t>
            </w:r>
            <w:r>
              <w:rPr>
                <w:rFonts w:ascii="Times New Roman" w:hAnsi="Times New Roman" w:eastAsia="Times New Roman" w:cs="Times New Roman"/>
                <w:spacing w:val="6"/>
              </w:rPr>
              <w:t>1</w:t>
            </w:r>
          </w:p>
        </w:tc>
        <w:tc>
          <w:tcPr>
            <w:tcW w:w="1709" w:type="dxa"/>
            <w:vAlign w:val="top"/>
          </w:tcPr>
          <w:p>
            <w:pPr>
              <w:pStyle w:val="TableText"/>
              <w:ind w:left="194" w:right="140" w:hanging="30"/>
              <w:spacing w:before="36" w:line="232" w:lineRule="auto"/>
              <w:rPr/>
            </w:pPr>
            <w:r>
              <w:rPr>
                <w:rFonts w:ascii="Times New Roman" w:hAnsi="Times New Roman" w:eastAsia="Times New Roman" w:cs="Times New Roman"/>
                <w:spacing w:val="2"/>
              </w:rPr>
              <w:t>119°45′33.48″</w:t>
            </w:r>
            <w:r>
              <w:rPr>
                <w:spacing w:val="2"/>
              </w:rPr>
              <w:t>东</w:t>
            </w:r>
            <w:r>
              <w:rPr>
                <w:spacing w:val="12"/>
              </w:rPr>
              <w:t xml:space="preserve"> </w:t>
            </w:r>
            <w:r>
              <w:rPr>
                <w:rFonts w:ascii="Times New Roman" w:hAnsi="Times New Roman" w:eastAsia="Times New Roman" w:cs="Times New Roman"/>
                <w:spacing w:val="4"/>
              </w:rPr>
              <w:t>29°50′34.37″</w:t>
            </w:r>
            <w:r>
              <w:rPr>
                <w:spacing w:val="4"/>
              </w:rPr>
              <w:t>北</w:t>
            </w:r>
          </w:p>
        </w:tc>
      </w:tr>
      <w:tr>
        <w:trPr>
          <w:trHeight w:val="550" w:hRule="atLeast"/>
        </w:trPr>
        <w:tc>
          <w:tcPr>
            <w:tcW w:w="682" w:type="dxa"/>
            <w:vAlign w:val="top"/>
            <w:vMerge w:val="continue"/>
            <w:tcBorders>
              <w:top w:val="nil"/>
              <w:bottom w:val="nil"/>
            </w:tcBorders>
          </w:tcPr>
          <w:p>
            <w:pPr>
              <w:rPr>
                <w:rFonts w:ascii="Arial"/>
                <w:sz w:val="21"/>
              </w:rPr>
            </w:pPr>
            <w:r/>
          </w:p>
        </w:tc>
        <w:tc>
          <w:tcPr>
            <w:tcW w:w="2305" w:type="dxa"/>
            <w:vAlign w:val="top"/>
            <w:vMerge w:val="continue"/>
            <w:tcBorders>
              <w:top w:val="nil"/>
              <w:bottom w:val="nil"/>
            </w:tcBorders>
          </w:tcPr>
          <w:p>
            <w:pPr>
              <w:rPr>
                <w:rFonts w:ascii="Arial"/>
                <w:sz w:val="21"/>
              </w:rPr>
            </w:pPr>
            <w:r/>
          </w:p>
        </w:tc>
        <w:tc>
          <w:tcPr>
            <w:tcW w:w="1535"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691" w:type="dxa"/>
            <w:vAlign w:val="top"/>
            <w:vMerge w:val="continue"/>
            <w:tcBorders>
              <w:top w:val="nil"/>
              <w:bottom w:val="nil"/>
            </w:tcBorders>
          </w:tcPr>
          <w:p>
            <w:pPr>
              <w:rPr>
                <w:rFonts w:ascii="Arial"/>
                <w:sz w:val="21"/>
              </w:rPr>
            </w:pPr>
            <w:r/>
          </w:p>
        </w:tc>
        <w:tc>
          <w:tcPr>
            <w:tcW w:w="1090" w:type="dxa"/>
            <w:vAlign w:val="top"/>
            <w:vMerge w:val="continue"/>
            <w:tcBorders>
              <w:top w:val="nil"/>
              <w:bottom w:val="nil"/>
            </w:tcBorders>
          </w:tcPr>
          <w:p>
            <w:pPr>
              <w:rPr>
                <w:rFonts w:ascii="Arial"/>
                <w:sz w:val="21"/>
              </w:rPr>
            </w:pPr>
            <w:r/>
          </w:p>
        </w:tc>
        <w:tc>
          <w:tcPr>
            <w:tcW w:w="806" w:type="dxa"/>
            <w:vAlign w:val="top"/>
            <w:vMerge w:val="continue"/>
            <w:tcBorders>
              <w:top w:val="nil"/>
              <w:bottom w:val="nil"/>
            </w:tcBorders>
          </w:tcPr>
          <w:p>
            <w:pPr>
              <w:rPr>
                <w:rFonts w:ascii="Arial"/>
                <w:sz w:val="21"/>
              </w:rPr>
            </w:pPr>
            <w:r/>
          </w:p>
        </w:tc>
        <w:tc>
          <w:tcPr>
            <w:tcW w:w="1428" w:type="dxa"/>
            <w:vAlign w:val="top"/>
          </w:tcPr>
          <w:p>
            <w:pPr>
              <w:pStyle w:val="TableText"/>
              <w:ind w:left="327"/>
              <w:spacing w:before="170"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HT</w:t>
            </w:r>
            <w:r>
              <w:rPr>
                <w:rFonts w:ascii="Times New Roman" w:hAnsi="Times New Roman" w:eastAsia="Times New Roman" w:cs="Times New Roman"/>
                <w:spacing w:val="6"/>
              </w:rPr>
              <w:t>2</w:t>
            </w:r>
          </w:p>
        </w:tc>
        <w:tc>
          <w:tcPr>
            <w:tcW w:w="1709" w:type="dxa"/>
            <w:vAlign w:val="top"/>
          </w:tcPr>
          <w:p>
            <w:pPr>
              <w:pStyle w:val="TableText"/>
              <w:ind w:left="194" w:right="140" w:hanging="30"/>
              <w:spacing w:before="35" w:line="233" w:lineRule="auto"/>
              <w:rPr/>
            </w:pPr>
            <w:r>
              <w:rPr>
                <w:rFonts w:ascii="Times New Roman" w:hAnsi="Times New Roman" w:eastAsia="Times New Roman" w:cs="Times New Roman"/>
                <w:spacing w:val="2"/>
              </w:rPr>
              <w:t>119°45′32.46″</w:t>
            </w:r>
            <w:r>
              <w:rPr>
                <w:spacing w:val="2"/>
              </w:rPr>
              <w:t>东</w:t>
            </w:r>
            <w:r>
              <w:rPr>
                <w:spacing w:val="12"/>
              </w:rPr>
              <w:t xml:space="preserve"> </w:t>
            </w:r>
            <w:r>
              <w:rPr>
                <w:rFonts w:ascii="Times New Roman" w:hAnsi="Times New Roman" w:eastAsia="Times New Roman" w:cs="Times New Roman"/>
                <w:spacing w:val="4"/>
              </w:rPr>
              <w:t>29°50′35.23″</w:t>
            </w:r>
            <w:r>
              <w:rPr>
                <w:spacing w:val="4"/>
              </w:rPr>
              <w:t>北</w:t>
            </w:r>
          </w:p>
        </w:tc>
      </w:tr>
      <w:tr>
        <w:trPr>
          <w:trHeight w:val="554" w:hRule="atLeast"/>
        </w:trPr>
        <w:tc>
          <w:tcPr>
            <w:tcW w:w="682" w:type="dxa"/>
            <w:vAlign w:val="top"/>
            <w:vMerge w:val="continue"/>
            <w:tcBorders>
              <w:top w:val="nil"/>
            </w:tcBorders>
          </w:tcPr>
          <w:p>
            <w:pPr>
              <w:rPr>
                <w:rFonts w:ascii="Arial"/>
                <w:sz w:val="21"/>
              </w:rPr>
            </w:pPr>
            <w:r/>
          </w:p>
        </w:tc>
        <w:tc>
          <w:tcPr>
            <w:tcW w:w="2305" w:type="dxa"/>
            <w:vAlign w:val="top"/>
            <w:vMerge w:val="continue"/>
            <w:tcBorders>
              <w:top w:val="nil"/>
            </w:tcBorders>
          </w:tcPr>
          <w:p>
            <w:pPr>
              <w:rPr>
                <w:rFonts w:ascii="Arial"/>
                <w:sz w:val="21"/>
              </w:rPr>
            </w:pPr>
            <w:r/>
          </w:p>
        </w:tc>
        <w:tc>
          <w:tcPr>
            <w:tcW w:w="1535"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691"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1428" w:type="dxa"/>
            <w:vAlign w:val="top"/>
          </w:tcPr>
          <w:p>
            <w:pPr>
              <w:pStyle w:val="TableText"/>
              <w:ind w:left="227"/>
              <w:spacing w:before="169" w:line="231" w:lineRule="auto"/>
              <w:rPr>
                <w:rFonts w:ascii="Times New Roman" w:hAnsi="Times New Roman" w:eastAsia="Times New Roman" w:cs="Times New Roman"/>
              </w:rPr>
            </w:pPr>
            <w:r>
              <w:rPr>
                <w:spacing w:val="7"/>
              </w:rPr>
              <w:t>地下水</w:t>
            </w:r>
            <w:r>
              <w:rPr>
                <w:rFonts w:ascii="Times New Roman" w:hAnsi="Times New Roman" w:eastAsia="Times New Roman" w:cs="Times New Roman"/>
              </w:rPr>
              <w:t>HS</w:t>
            </w:r>
            <w:r>
              <w:rPr>
                <w:rFonts w:ascii="Times New Roman" w:hAnsi="Times New Roman" w:eastAsia="Times New Roman" w:cs="Times New Roman"/>
                <w:spacing w:val="7"/>
              </w:rPr>
              <w:t>1</w:t>
            </w:r>
          </w:p>
        </w:tc>
        <w:tc>
          <w:tcPr>
            <w:tcW w:w="1709" w:type="dxa"/>
            <w:vAlign w:val="top"/>
          </w:tcPr>
          <w:p>
            <w:pPr>
              <w:pStyle w:val="TableText"/>
              <w:ind w:left="199" w:right="145" w:hanging="30"/>
              <w:spacing w:before="34" w:line="235" w:lineRule="auto"/>
              <w:rPr/>
            </w:pPr>
            <w:r>
              <w:rPr>
                <w:rFonts w:ascii="Times New Roman" w:hAnsi="Times New Roman" w:eastAsia="Times New Roman" w:cs="Times New Roman"/>
                <w:spacing w:val="2"/>
              </w:rPr>
              <w:t>119°45'32.13"</w:t>
            </w:r>
            <w:r>
              <w:rPr>
                <w:spacing w:val="2"/>
              </w:rPr>
              <w:t>东</w:t>
            </w:r>
            <w:r>
              <w:rPr>
                <w:spacing w:val="12"/>
              </w:rPr>
              <w:t xml:space="preserve"> </w:t>
            </w:r>
            <w:r>
              <w:rPr>
                <w:rFonts w:ascii="Times New Roman" w:hAnsi="Times New Roman" w:eastAsia="Times New Roman" w:cs="Times New Roman"/>
                <w:spacing w:val="4"/>
              </w:rPr>
              <w:t>29°50'34.82"</w:t>
            </w:r>
            <w:r>
              <w:rPr>
                <w:spacing w:val="4"/>
              </w:rPr>
              <w:t>北</w:t>
            </w:r>
          </w:p>
        </w:tc>
      </w:tr>
    </w:tbl>
    <w:p>
      <w:pPr>
        <w:rPr>
          <w:rFonts w:ascii="Arial"/>
          <w:sz w:val="21"/>
        </w:rPr>
      </w:pPr>
      <w:r/>
    </w:p>
    <w:p>
      <w:pPr>
        <w:sectPr>
          <w:footerReference w:type="default" r:id="rId106"/>
          <w:pgSz w:w="16839" w:h="11906"/>
          <w:pgMar w:top="1025" w:right="1327" w:bottom="998" w:left="1237" w:header="716" w:footer="835" w:gutter="0"/>
        </w:sectPr>
        <w:rPr>
          <w:rFonts w:ascii="Arial" w:hAnsi="Arial" w:eastAsia="Arial" w:cs="Arial"/>
          <w:sz w:val="21"/>
          <w:szCs w:val="21"/>
        </w:rPr>
      </w:pPr>
    </w:p>
    <w:p>
      <w:pPr>
        <w:spacing w:line="378" w:lineRule="auto"/>
        <w:rPr>
          <w:rFonts w:ascii="Arial"/>
          <w:sz w:val="21"/>
        </w:rPr>
      </w:pPr>
      <w:r/>
    </w:p>
    <w:p>
      <w:pPr>
        <w:pStyle w:val="BodyText"/>
        <w:ind w:left="122"/>
        <w:spacing w:before="91" w:line="222" w:lineRule="auto"/>
        <w:outlineLvl w:val="1"/>
        <w:rPr>
          <w:rFonts w:ascii="FangSong" w:hAnsi="FangSong" w:eastAsia="FangSong" w:cs="FangSong"/>
          <w:sz w:val="28"/>
          <w:szCs w:val="28"/>
        </w:rPr>
      </w:pPr>
      <w:bookmarkStart w:name="bookmark19" w:id="23"/>
      <w:bookmarkEnd w:id="23"/>
      <w:r>
        <w:rPr>
          <w:sz w:val="28"/>
          <w:szCs w:val="28"/>
          <w:b/>
          <w:bCs/>
          <w:spacing w:val="-6"/>
        </w:rPr>
        <w:t>5.3</w:t>
      </w:r>
      <w:r>
        <w:rPr>
          <w:sz w:val="28"/>
          <w:szCs w:val="28"/>
          <w:b/>
          <w:bCs/>
          <w:spacing w:val="13"/>
        </w:rPr>
        <w:t xml:space="preserve">  </w:t>
      </w:r>
      <w:r>
        <w:rPr>
          <w:rFonts w:ascii="FangSong" w:hAnsi="FangSong" w:eastAsia="FangSong" w:cs="FangSong"/>
          <w:sz w:val="28"/>
          <w:szCs w:val="28"/>
          <w:b/>
          <w:bCs/>
          <w:spacing w:val="-6"/>
        </w:rPr>
        <w:t>关注污染物</w:t>
      </w:r>
    </w:p>
    <w:p>
      <w:pPr>
        <w:ind w:left="615"/>
        <w:spacing w:before="229" w:line="221" w:lineRule="auto"/>
        <w:rPr>
          <w:rFonts w:ascii="FangSong" w:hAnsi="FangSong" w:eastAsia="FangSong" w:cs="FangSong"/>
          <w:sz w:val="24"/>
          <w:szCs w:val="24"/>
        </w:rPr>
      </w:pPr>
      <w:r>
        <w:rPr>
          <w:rFonts w:ascii="FangSong" w:hAnsi="FangSong" w:eastAsia="FangSong" w:cs="FangSong"/>
          <w:sz w:val="24"/>
          <w:szCs w:val="24"/>
          <w:spacing w:val="-3"/>
        </w:rPr>
        <w:t>关注污染物一般包括：</w:t>
      </w:r>
    </w:p>
    <w:p>
      <w:pPr>
        <w:pStyle w:val="BodyText"/>
        <w:ind w:left="613"/>
        <w:spacing w:before="181" w:line="222" w:lineRule="auto"/>
        <w:rPr>
          <w:rFonts w:ascii="FangSong" w:hAnsi="FangSong" w:eastAsia="FangSong" w:cs="FangSong"/>
          <w:sz w:val="24"/>
          <w:szCs w:val="24"/>
        </w:rPr>
      </w:pPr>
      <w:r>
        <w:rPr>
          <w:rFonts w:ascii="FangSong" w:hAnsi="FangSong" w:eastAsia="FangSong" w:cs="FangSong"/>
          <w:sz w:val="24"/>
          <w:szCs w:val="24"/>
          <w:spacing w:val="-1"/>
        </w:rPr>
        <w:t>（</w:t>
      </w:r>
      <w:r>
        <w:rPr>
          <w:sz w:val="24"/>
          <w:szCs w:val="24"/>
          <w:spacing w:val="-1"/>
        </w:rPr>
        <w:t>1</w:t>
      </w:r>
      <w:r>
        <w:rPr>
          <w:rFonts w:ascii="FangSong" w:hAnsi="FangSong" w:eastAsia="FangSong" w:cs="FangSong"/>
          <w:sz w:val="24"/>
          <w:szCs w:val="24"/>
          <w:spacing w:val="-1"/>
        </w:rPr>
        <w:t>）企业环境影响评价文件及其批复中确定的土壤和地下水特征因子；</w:t>
      </w:r>
    </w:p>
    <w:p>
      <w:pPr>
        <w:pStyle w:val="BodyText"/>
        <w:ind w:left="129" w:right="114" w:firstLine="484"/>
        <w:spacing w:before="180" w:line="290" w:lineRule="auto"/>
        <w:rPr>
          <w:rFonts w:ascii="FangSong" w:hAnsi="FangSong" w:eastAsia="FangSong" w:cs="FangSong"/>
          <w:sz w:val="24"/>
          <w:szCs w:val="24"/>
        </w:rPr>
      </w:pPr>
      <w:r>
        <w:rPr>
          <w:rFonts w:ascii="FangSong" w:hAnsi="FangSong" w:eastAsia="FangSong" w:cs="FangSong"/>
          <w:sz w:val="24"/>
          <w:szCs w:val="24"/>
        </w:rPr>
        <w:t>（</w:t>
      </w:r>
      <w:r>
        <w:rPr>
          <w:sz w:val="24"/>
          <w:szCs w:val="24"/>
        </w:rPr>
        <w:t>2</w:t>
      </w:r>
      <w:r>
        <w:rPr>
          <w:rFonts w:ascii="FangSong" w:hAnsi="FangSong" w:eastAsia="FangSong" w:cs="FangSong"/>
          <w:sz w:val="24"/>
          <w:szCs w:val="24"/>
        </w:rPr>
        <w:t>）排污许可证等相关管理规定或企业执行的污染物排放（控制）标准中可能对土壤或</w:t>
      </w:r>
      <w:r>
        <w:rPr>
          <w:rFonts w:ascii="FangSong" w:hAnsi="FangSong" w:eastAsia="FangSong" w:cs="FangSong"/>
          <w:sz w:val="24"/>
          <w:szCs w:val="24"/>
          <w:spacing w:val="2"/>
        </w:rPr>
        <w:t xml:space="preserve"> </w:t>
      </w:r>
      <w:r>
        <w:rPr>
          <w:rFonts w:ascii="FangSong" w:hAnsi="FangSong" w:eastAsia="FangSong" w:cs="FangSong"/>
          <w:sz w:val="24"/>
          <w:szCs w:val="24"/>
          <w:spacing w:val="-2"/>
        </w:rPr>
        <w:t>地下水产生影响的污染物指标；</w:t>
      </w:r>
    </w:p>
    <w:p>
      <w:pPr>
        <w:pStyle w:val="BodyText"/>
        <w:ind w:left="131" w:right="114" w:firstLine="482"/>
        <w:spacing w:before="181" w:line="290" w:lineRule="auto"/>
        <w:rPr>
          <w:rFonts w:ascii="FangSong" w:hAnsi="FangSong" w:eastAsia="FangSong" w:cs="FangSong"/>
          <w:sz w:val="24"/>
          <w:szCs w:val="24"/>
        </w:rPr>
      </w:pPr>
      <w:r>
        <w:rPr>
          <w:rFonts w:ascii="FangSong" w:hAnsi="FangSong" w:eastAsia="FangSong" w:cs="FangSong"/>
          <w:sz w:val="24"/>
          <w:szCs w:val="24"/>
        </w:rPr>
        <w:t>（</w:t>
      </w:r>
      <w:r>
        <w:rPr>
          <w:sz w:val="24"/>
          <w:szCs w:val="24"/>
        </w:rPr>
        <w:t>3</w:t>
      </w:r>
      <w:r>
        <w:rPr>
          <w:rFonts w:ascii="FangSong" w:hAnsi="FangSong" w:eastAsia="FangSong" w:cs="FangSong"/>
          <w:sz w:val="24"/>
          <w:szCs w:val="24"/>
        </w:rPr>
        <w:t>）企业生产过程的原辅用料、生产工艺、中间及最终产品中可能对土壤或地下水产生</w:t>
      </w:r>
      <w:r>
        <w:rPr>
          <w:rFonts w:ascii="FangSong" w:hAnsi="FangSong" w:eastAsia="FangSong" w:cs="FangSong"/>
          <w:sz w:val="24"/>
          <w:szCs w:val="24"/>
          <w:spacing w:val="2"/>
        </w:rPr>
        <w:t xml:space="preserve"> </w:t>
      </w:r>
      <w:r>
        <w:rPr>
          <w:rFonts w:ascii="FangSong" w:hAnsi="FangSong" w:eastAsia="FangSong" w:cs="FangSong"/>
          <w:sz w:val="24"/>
          <w:szCs w:val="24"/>
          <w:spacing w:val="-1"/>
        </w:rPr>
        <w:t>影响的，已纳入有毒有害或优先控制污染物名录的污染物指标或其他有毒污染物指标；</w:t>
      </w:r>
    </w:p>
    <w:p>
      <w:pPr>
        <w:pStyle w:val="BodyText"/>
        <w:ind w:left="613"/>
        <w:spacing w:before="180" w:line="219" w:lineRule="auto"/>
        <w:rPr>
          <w:rFonts w:ascii="FangSong" w:hAnsi="FangSong" w:eastAsia="FangSong" w:cs="FangSong"/>
          <w:sz w:val="24"/>
          <w:szCs w:val="24"/>
        </w:rPr>
      </w:pPr>
      <w:r>
        <w:rPr>
          <w:rFonts w:ascii="FangSong" w:hAnsi="FangSong" w:eastAsia="FangSong" w:cs="FangSong"/>
          <w:sz w:val="24"/>
          <w:szCs w:val="24"/>
          <w:spacing w:val="-1"/>
        </w:rPr>
        <w:t>（</w:t>
      </w:r>
      <w:r>
        <w:rPr>
          <w:sz w:val="24"/>
          <w:szCs w:val="24"/>
          <w:spacing w:val="-1"/>
        </w:rPr>
        <w:t>4</w:t>
      </w:r>
      <w:r>
        <w:rPr>
          <w:rFonts w:ascii="FangSong" w:hAnsi="FangSong" w:eastAsia="FangSong" w:cs="FangSong"/>
          <w:sz w:val="24"/>
          <w:szCs w:val="24"/>
          <w:spacing w:val="-1"/>
        </w:rPr>
        <w:t>）上述污染物在土壤或地下水中转化或降解产生的污染物；</w:t>
      </w:r>
    </w:p>
    <w:p>
      <w:pPr>
        <w:pStyle w:val="BodyText"/>
        <w:ind w:left="613"/>
        <w:spacing w:before="184" w:line="221" w:lineRule="auto"/>
        <w:rPr>
          <w:rFonts w:ascii="FangSong" w:hAnsi="FangSong" w:eastAsia="FangSong" w:cs="FangSong"/>
          <w:sz w:val="24"/>
          <w:szCs w:val="24"/>
        </w:rPr>
      </w:pPr>
      <w:r>
        <w:rPr>
          <w:rFonts w:ascii="FangSong" w:hAnsi="FangSong" w:eastAsia="FangSong" w:cs="FangSong"/>
          <w:sz w:val="24"/>
          <w:szCs w:val="24"/>
          <w:spacing w:val="-2"/>
        </w:rPr>
        <w:t>（</w:t>
      </w:r>
      <w:r>
        <w:rPr>
          <w:sz w:val="24"/>
          <w:szCs w:val="24"/>
          <w:spacing w:val="-2"/>
        </w:rPr>
        <w:t>5</w:t>
      </w:r>
      <w:r>
        <w:rPr>
          <w:rFonts w:ascii="FangSong" w:hAnsi="FangSong" w:eastAsia="FangSong" w:cs="FangSong"/>
          <w:sz w:val="24"/>
          <w:szCs w:val="24"/>
          <w:spacing w:val="-2"/>
        </w:rPr>
        <w:t>）涉及</w:t>
      </w:r>
      <w:r>
        <w:rPr>
          <w:sz w:val="24"/>
          <w:szCs w:val="24"/>
          <w:spacing w:val="-2"/>
        </w:rPr>
        <w:t>HJ</w:t>
      </w:r>
      <w:r>
        <w:rPr>
          <w:sz w:val="24"/>
          <w:szCs w:val="24"/>
          <w:spacing w:val="44"/>
          <w:w w:val="101"/>
        </w:rPr>
        <w:t xml:space="preserve"> </w:t>
      </w:r>
      <w:r>
        <w:rPr>
          <w:sz w:val="24"/>
          <w:szCs w:val="24"/>
          <w:spacing w:val="-2"/>
        </w:rPr>
        <w:t>164</w:t>
      </w:r>
      <w:r>
        <w:rPr>
          <w:rFonts w:ascii="FangSong" w:hAnsi="FangSong" w:eastAsia="FangSong" w:cs="FangSong"/>
          <w:sz w:val="24"/>
          <w:szCs w:val="24"/>
          <w:spacing w:val="-2"/>
        </w:rPr>
        <w:t>附录</w:t>
      </w:r>
      <w:r>
        <w:rPr>
          <w:sz w:val="24"/>
          <w:szCs w:val="24"/>
          <w:spacing w:val="-2"/>
        </w:rPr>
        <w:t>F</w:t>
      </w:r>
      <w:r>
        <w:rPr>
          <w:rFonts w:ascii="FangSong" w:hAnsi="FangSong" w:eastAsia="FangSong" w:cs="FangSong"/>
          <w:sz w:val="24"/>
          <w:szCs w:val="24"/>
          <w:spacing w:val="-2"/>
        </w:rPr>
        <w:t>中对应行业的特征项目（仅限地下水监测）。</w:t>
      </w:r>
    </w:p>
    <w:p>
      <w:pPr>
        <w:pStyle w:val="BodyText"/>
        <w:ind w:left="129" w:right="35" w:firstLine="479"/>
        <w:spacing w:before="181" w:line="360" w:lineRule="auto"/>
        <w:jc w:val="both"/>
        <w:rPr>
          <w:rFonts w:ascii="FangSong" w:hAnsi="FangSong" w:eastAsia="FangSong" w:cs="FangSong"/>
          <w:sz w:val="24"/>
          <w:szCs w:val="24"/>
        </w:rPr>
      </w:pPr>
      <w:r>
        <w:rPr>
          <w:rFonts w:ascii="FangSong" w:hAnsi="FangSong" w:eastAsia="FangSong" w:cs="FangSong"/>
          <w:sz w:val="24"/>
          <w:szCs w:val="24"/>
        </w:rPr>
        <w:t>根据生产涉及的原辅料、工艺流程、三废产生情况及</w:t>
      </w:r>
      <w:r>
        <w:rPr>
          <w:sz w:val="24"/>
          <w:szCs w:val="24"/>
        </w:rPr>
        <w:t>HJ</w:t>
      </w:r>
      <w:r>
        <w:rPr>
          <w:sz w:val="24"/>
          <w:szCs w:val="24"/>
          <w:spacing w:val="28"/>
        </w:rPr>
        <w:t xml:space="preserve"> </w:t>
      </w:r>
      <w:r>
        <w:rPr>
          <w:sz w:val="24"/>
          <w:szCs w:val="24"/>
        </w:rPr>
        <w:t>164</w:t>
      </w:r>
      <w:r>
        <w:rPr>
          <w:rFonts w:ascii="FangSong" w:hAnsi="FangSong" w:eastAsia="FangSong" w:cs="FangSong"/>
          <w:sz w:val="24"/>
          <w:szCs w:val="24"/>
        </w:rPr>
        <w:t>附录</w:t>
      </w:r>
      <w:r>
        <w:rPr>
          <w:sz w:val="24"/>
          <w:szCs w:val="24"/>
        </w:rPr>
        <w:t>F</w:t>
      </w:r>
      <w:r>
        <w:rPr>
          <w:rFonts w:ascii="FangSong" w:hAnsi="FangSong" w:eastAsia="FangSong" w:cs="FangSong"/>
          <w:sz w:val="24"/>
          <w:szCs w:val="24"/>
        </w:rPr>
        <w:t>中对应行业的特征，初</w:t>
      </w:r>
      <w:r>
        <w:rPr>
          <w:rFonts w:ascii="FangSong" w:hAnsi="FangSong" w:eastAsia="FangSong" w:cs="FangSong"/>
          <w:sz w:val="24"/>
          <w:szCs w:val="24"/>
        </w:rPr>
        <w:t xml:space="preserve"> </w:t>
      </w:r>
      <w:r>
        <w:rPr>
          <w:rFonts w:ascii="FangSong" w:hAnsi="FangSong" w:eastAsia="FangSong" w:cs="FangSong"/>
          <w:sz w:val="24"/>
          <w:szCs w:val="24"/>
          <w:spacing w:val="-6"/>
        </w:rPr>
        <w:t>步确定企业关注污染物主要有硝酸钾、高氯</w:t>
      </w:r>
      <w:r>
        <w:rPr>
          <w:rFonts w:ascii="FangSong" w:hAnsi="FangSong" w:eastAsia="FangSong" w:cs="FangSong"/>
          <w:sz w:val="24"/>
          <w:szCs w:val="24"/>
          <w:spacing w:val="-7"/>
        </w:rPr>
        <w:t>酸钾、硫磺、铝、总石油烃、苯并芘、铜、铅、锌、</w:t>
      </w:r>
      <w:r>
        <w:rPr>
          <w:rFonts w:ascii="FangSong" w:hAnsi="FangSong" w:eastAsia="FangSong" w:cs="FangSong"/>
          <w:sz w:val="24"/>
          <w:szCs w:val="24"/>
        </w:rPr>
        <w:t xml:space="preserve"> </w:t>
      </w:r>
      <w:r>
        <w:rPr>
          <w:rFonts w:ascii="FangSong" w:hAnsi="FangSong" w:eastAsia="FangSong" w:cs="FangSong"/>
          <w:sz w:val="24"/>
          <w:szCs w:val="24"/>
          <w:spacing w:val="-3"/>
        </w:rPr>
        <w:t>镉、镍、砷、氟化物、氯化氢、二噁英、氨、六价铬、铬等。地块内关注污染物指标筛选依据</w:t>
      </w:r>
      <w:r>
        <w:rPr>
          <w:rFonts w:ascii="FangSong" w:hAnsi="FangSong" w:eastAsia="FangSong" w:cs="FangSong"/>
          <w:sz w:val="24"/>
          <w:szCs w:val="24"/>
          <w:spacing w:val="11"/>
        </w:rPr>
        <w:t xml:space="preserve"> </w:t>
      </w:r>
      <w:r>
        <w:rPr>
          <w:rFonts w:ascii="FangSong" w:hAnsi="FangSong" w:eastAsia="FangSong" w:cs="FangSong"/>
          <w:sz w:val="24"/>
          <w:szCs w:val="24"/>
          <w:spacing w:val="-6"/>
        </w:rPr>
        <w:t>见表。</w:t>
      </w:r>
    </w:p>
    <w:p>
      <w:pPr>
        <w:pStyle w:val="BodyText"/>
        <w:ind w:left="3276"/>
        <w:spacing w:before="1" w:line="220" w:lineRule="auto"/>
        <w:rPr>
          <w:rFonts w:ascii="FangSong" w:hAnsi="FangSong" w:eastAsia="FangSong" w:cs="FangSong"/>
          <w:sz w:val="24"/>
          <w:szCs w:val="24"/>
        </w:rPr>
      </w:pPr>
      <w:r>
        <w:rPr>
          <w:rFonts w:ascii="FangSong" w:hAnsi="FangSong" w:eastAsia="FangSong" w:cs="FangSong"/>
          <w:sz w:val="24"/>
          <w:szCs w:val="24"/>
          <w:b/>
          <w:bCs/>
          <w:spacing w:val="-2"/>
        </w:rPr>
        <w:t>表</w:t>
      </w:r>
      <w:r>
        <w:rPr>
          <w:sz w:val="24"/>
          <w:szCs w:val="24"/>
          <w:b/>
          <w:bCs/>
          <w:spacing w:val="-2"/>
        </w:rPr>
        <w:t>5-2    </w:t>
      </w:r>
      <w:r>
        <w:rPr>
          <w:rFonts w:ascii="FangSong" w:hAnsi="FangSong" w:eastAsia="FangSong" w:cs="FangSong"/>
          <w:sz w:val="24"/>
          <w:szCs w:val="24"/>
          <w:b/>
          <w:bCs/>
          <w:spacing w:val="-2"/>
        </w:rPr>
        <w:t>关注污染物指标筛选依据</w:t>
      </w:r>
    </w:p>
    <w:p>
      <w:pPr>
        <w:spacing w:line="67" w:lineRule="exact"/>
        <w:rPr/>
      </w:pPr>
      <w:r/>
    </w:p>
    <w:tbl>
      <w:tblPr>
        <w:tblStyle w:val="TableNormal"/>
        <w:tblW w:w="99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9"/>
        <w:gridCol w:w="1694"/>
        <w:gridCol w:w="1959"/>
        <w:gridCol w:w="1104"/>
        <w:gridCol w:w="812"/>
        <w:gridCol w:w="766"/>
        <w:gridCol w:w="2952"/>
      </w:tblGrid>
      <w:tr>
        <w:trPr>
          <w:trHeight w:val="554" w:hRule="atLeast"/>
        </w:trPr>
        <w:tc>
          <w:tcPr>
            <w:tcW w:w="679" w:type="dxa"/>
            <w:vAlign w:val="top"/>
          </w:tcPr>
          <w:p>
            <w:pPr>
              <w:pStyle w:val="TableText"/>
              <w:ind w:left="138"/>
              <w:spacing w:before="171" w:line="231" w:lineRule="auto"/>
              <w:rPr/>
            </w:pPr>
            <w:r>
              <w:rPr>
                <w:b/>
                <w:bCs/>
                <w:spacing w:val="1"/>
              </w:rPr>
              <w:t>序号</w:t>
            </w:r>
          </w:p>
        </w:tc>
        <w:tc>
          <w:tcPr>
            <w:tcW w:w="1694" w:type="dxa"/>
            <w:vAlign w:val="top"/>
          </w:tcPr>
          <w:p>
            <w:pPr>
              <w:pStyle w:val="TableText"/>
              <w:ind w:left="647" w:right="109" w:hanging="528"/>
              <w:spacing w:before="37" w:line="234" w:lineRule="auto"/>
              <w:rPr/>
            </w:pPr>
            <w:r>
              <w:rPr>
                <w:b/>
                <w:bCs/>
                <w:spacing w:val="6"/>
              </w:rPr>
              <w:t>信息采集特征污</w:t>
            </w:r>
            <w:r>
              <w:rPr>
                <w:spacing w:val="2"/>
              </w:rPr>
              <w:t xml:space="preserve"> </w:t>
            </w:r>
            <w:r>
              <w:rPr>
                <w:b/>
                <w:bCs/>
                <w:spacing w:val="-1"/>
              </w:rPr>
              <w:t>染物</w:t>
            </w:r>
          </w:p>
        </w:tc>
        <w:tc>
          <w:tcPr>
            <w:tcW w:w="1959" w:type="dxa"/>
            <w:vAlign w:val="top"/>
          </w:tcPr>
          <w:p>
            <w:pPr>
              <w:pStyle w:val="TableText"/>
              <w:ind w:left="676" w:right="136" w:hanging="530"/>
              <w:spacing w:before="37" w:line="234" w:lineRule="auto"/>
              <w:rPr/>
            </w:pPr>
            <w:r>
              <w:rPr>
                <w:b/>
                <w:bCs/>
                <w:spacing w:val="6"/>
              </w:rPr>
              <w:t>调整的特征污染物</w:t>
            </w:r>
            <w:r>
              <w:rPr>
                <w:spacing w:val="5"/>
              </w:rPr>
              <w:t xml:space="preserve"> </w:t>
            </w:r>
            <w:r>
              <w:rPr>
                <w:b/>
                <w:bCs/>
                <w:spacing w:val="2"/>
              </w:rPr>
              <w:t>及理由</w:t>
            </w:r>
          </w:p>
        </w:tc>
        <w:tc>
          <w:tcPr>
            <w:tcW w:w="1104" w:type="dxa"/>
            <w:vAlign w:val="top"/>
          </w:tcPr>
          <w:p>
            <w:pPr>
              <w:pStyle w:val="TableText"/>
              <w:ind w:left="144"/>
              <w:spacing w:before="171" w:line="232" w:lineRule="auto"/>
              <w:rPr/>
            </w:pPr>
            <w:r>
              <w:rPr>
                <w:b/>
                <w:bCs/>
                <w:spacing w:val="3"/>
              </w:rPr>
              <w:t>是否</w:t>
            </w:r>
            <w:r>
              <w:rPr>
                <w:rFonts w:ascii="Times New Roman" w:hAnsi="Times New Roman" w:eastAsia="Times New Roman" w:cs="Times New Roman"/>
                <w:b/>
                <w:bCs/>
                <w:spacing w:val="3"/>
              </w:rPr>
              <w:t>45</w:t>
            </w:r>
            <w:r>
              <w:rPr>
                <w:b/>
                <w:bCs/>
                <w:spacing w:val="3"/>
              </w:rPr>
              <w:t>项</w:t>
            </w:r>
          </w:p>
        </w:tc>
        <w:tc>
          <w:tcPr>
            <w:tcW w:w="812" w:type="dxa"/>
            <w:vAlign w:val="top"/>
          </w:tcPr>
          <w:p>
            <w:pPr>
              <w:pStyle w:val="TableText"/>
              <w:ind w:left="209"/>
              <w:spacing w:before="36" w:line="229" w:lineRule="auto"/>
              <w:rPr/>
            </w:pPr>
            <w:r>
              <w:rPr>
                <w:b/>
                <w:bCs/>
              </w:rPr>
              <w:t>检测</w:t>
            </w:r>
          </w:p>
          <w:p>
            <w:pPr>
              <w:pStyle w:val="TableText"/>
              <w:ind w:left="213"/>
              <w:spacing w:before="23" w:line="217" w:lineRule="auto"/>
              <w:rPr/>
            </w:pPr>
            <w:r>
              <w:rPr>
                <w:b/>
                <w:bCs/>
                <w:spacing w:val="-2"/>
              </w:rPr>
              <w:t>方法</w:t>
            </w:r>
          </w:p>
        </w:tc>
        <w:tc>
          <w:tcPr>
            <w:tcW w:w="766" w:type="dxa"/>
            <w:vAlign w:val="top"/>
          </w:tcPr>
          <w:p>
            <w:pPr>
              <w:pStyle w:val="TableText"/>
              <w:ind w:left="185"/>
              <w:spacing w:before="37" w:line="231" w:lineRule="auto"/>
              <w:rPr/>
            </w:pPr>
            <w:r>
              <w:rPr>
                <w:b/>
                <w:bCs/>
                <w:spacing w:val="1"/>
              </w:rPr>
              <w:t>指标</w:t>
            </w:r>
          </w:p>
          <w:p>
            <w:pPr>
              <w:pStyle w:val="TableText"/>
              <w:ind w:left="188"/>
              <w:spacing w:before="21" w:line="217" w:lineRule="auto"/>
              <w:rPr/>
            </w:pPr>
            <w:r>
              <w:rPr>
                <w:b/>
                <w:bCs/>
                <w:spacing w:val="-1"/>
              </w:rPr>
              <w:t>筛选</w:t>
            </w:r>
          </w:p>
        </w:tc>
        <w:tc>
          <w:tcPr>
            <w:tcW w:w="2952" w:type="dxa"/>
            <w:vAlign w:val="top"/>
          </w:tcPr>
          <w:p>
            <w:pPr>
              <w:pStyle w:val="TableText"/>
              <w:ind w:left="1276"/>
              <w:spacing w:before="171" w:line="233" w:lineRule="auto"/>
              <w:rPr/>
            </w:pPr>
            <w:r>
              <w:rPr>
                <w:b/>
                <w:bCs/>
              </w:rPr>
              <w:t>备注</w:t>
            </w:r>
          </w:p>
        </w:tc>
      </w:tr>
      <w:tr>
        <w:trPr>
          <w:trHeight w:val="344" w:hRule="atLeast"/>
        </w:trPr>
        <w:tc>
          <w:tcPr>
            <w:tcW w:w="679" w:type="dxa"/>
            <w:vAlign w:val="top"/>
          </w:tcPr>
          <w:p>
            <w:pPr>
              <w:ind w:left="309"/>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94" w:type="dxa"/>
            <w:vAlign w:val="top"/>
          </w:tcPr>
          <w:p>
            <w:pPr>
              <w:pStyle w:val="TableText"/>
              <w:ind w:left="541"/>
              <w:spacing w:before="63" w:line="228" w:lineRule="auto"/>
              <w:rPr/>
            </w:pPr>
            <w:r>
              <w:rPr>
                <w:spacing w:val="5"/>
              </w:rPr>
              <w:t>硝酸钾</w:t>
            </w:r>
          </w:p>
        </w:tc>
        <w:tc>
          <w:tcPr>
            <w:tcW w:w="1959" w:type="dxa"/>
            <w:vAlign w:val="top"/>
          </w:tcPr>
          <w:p>
            <w:pPr>
              <w:pStyle w:val="TableText"/>
              <w:ind w:left="786"/>
              <w:spacing w:before="63" w:line="231" w:lineRule="auto"/>
              <w:rPr/>
            </w:pPr>
            <w:r>
              <w:rPr>
                <w:spacing w:val="-2"/>
              </w:rPr>
              <w:t>去掉</w:t>
            </w:r>
          </w:p>
        </w:tc>
        <w:tc>
          <w:tcPr>
            <w:tcW w:w="1104" w:type="dxa"/>
            <w:vAlign w:val="top"/>
          </w:tcPr>
          <w:p>
            <w:pPr>
              <w:pStyle w:val="TableText"/>
              <w:ind w:left="462"/>
              <w:spacing w:before="63" w:line="233" w:lineRule="auto"/>
              <w:rPr/>
            </w:pPr>
            <w:r>
              <w:rPr/>
              <w:t>否</w:t>
            </w:r>
          </w:p>
        </w:tc>
        <w:tc>
          <w:tcPr>
            <w:tcW w:w="812" w:type="dxa"/>
            <w:vAlign w:val="top"/>
          </w:tcPr>
          <w:p>
            <w:pPr>
              <w:pStyle w:val="TableText"/>
              <w:ind w:left="316"/>
              <w:spacing w:before="63" w:line="234" w:lineRule="auto"/>
              <w:rPr/>
            </w:pPr>
            <w:r>
              <w:rPr/>
              <w:t>无</w:t>
            </w:r>
          </w:p>
        </w:tc>
        <w:tc>
          <w:tcPr>
            <w:tcW w:w="766" w:type="dxa"/>
            <w:vAlign w:val="top"/>
          </w:tcPr>
          <w:p>
            <w:pPr>
              <w:pStyle w:val="TableText"/>
              <w:ind w:left="296"/>
              <w:spacing w:before="63" w:line="233" w:lineRule="auto"/>
              <w:rPr/>
            </w:pPr>
            <w:r>
              <w:rPr/>
              <w:t>否</w:t>
            </w:r>
          </w:p>
        </w:tc>
        <w:tc>
          <w:tcPr>
            <w:tcW w:w="2952" w:type="dxa"/>
            <w:vAlign w:val="top"/>
          </w:tcPr>
          <w:p>
            <w:pPr>
              <w:pStyle w:val="TableText"/>
              <w:ind w:left="334"/>
              <w:spacing w:before="63" w:line="229" w:lineRule="auto"/>
              <w:rPr/>
            </w:pPr>
            <w:r>
              <w:rPr>
                <w:spacing w:val="8"/>
              </w:rPr>
              <w:t>无毒性分值，无测试方法</w:t>
            </w:r>
          </w:p>
        </w:tc>
      </w:tr>
      <w:tr>
        <w:trPr>
          <w:trHeight w:val="344" w:hRule="atLeast"/>
        </w:trPr>
        <w:tc>
          <w:tcPr>
            <w:tcW w:w="679" w:type="dxa"/>
            <w:vAlign w:val="top"/>
          </w:tcPr>
          <w:p>
            <w:pPr>
              <w:ind w:left="289"/>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94" w:type="dxa"/>
            <w:vAlign w:val="top"/>
          </w:tcPr>
          <w:p>
            <w:pPr>
              <w:pStyle w:val="TableText"/>
              <w:ind w:left="442"/>
              <w:spacing w:before="65" w:line="231" w:lineRule="auto"/>
              <w:rPr/>
            </w:pPr>
            <w:r>
              <w:rPr>
                <w:spacing w:val="4"/>
              </w:rPr>
              <w:t>高氯酸钾</w:t>
            </w:r>
          </w:p>
        </w:tc>
        <w:tc>
          <w:tcPr>
            <w:tcW w:w="1959" w:type="dxa"/>
            <w:vAlign w:val="top"/>
          </w:tcPr>
          <w:p>
            <w:pPr>
              <w:pStyle w:val="TableText"/>
              <w:ind w:left="786"/>
              <w:spacing w:before="65" w:line="231" w:lineRule="auto"/>
              <w:rPr/>
            </w:pPr>
            <w:r>
              <w:rPr>
                <w:spacing w:val="-2"/>
              </w:rPr>
              <w:t>去掉</w:t>
            </w:r>
          </w:p>
        </w:tc>
        <w:tc>
          <w:tcPr>
            <w:tcW w:w="1104" w:type="dxa"/>
            <w:vAlign w:val="top"/>
          </w:tcPr>
          <w:p>
            <w:pPr>
              <w:pStyle w:val="TableText"/>
              <w:ind w:left="462"/>
              <w:spacing w:before="65" w:line="233" w:lineRule="auto"/>
              <w:rPr/>
            </w:pPr>
            <w:r>
              <w:rPr/>
              <w:t>否</w:t>
            </w:r>
          </w:p>
        </w:tc>
        <w:tc>
          <w:tcPr>
            <w:tcW w:w="812" w:type="dxa"/>
            <w:vAlign w:val="top"/>
          </w:tcPr>
          <w:p>
            <w:pPr>
              <w:pStyle w:val="TableText"/>
              <w:ind w:left="316"/>
              <w:spacing w:before="64" w:line="234" w:lineRule="auto"/>
              <w:rPr/>
            </w:pPr>
            <w:r>
              <w:rPr/>
              <w:t>无</w:t>
            </w:r>
          </w:p>
        </w:tc>
        <w:tc>
          <w:tcPr>
            <w:tcW w:w="766" w:type="dxa"/>
            <w:vAlign w:val="top"/>
          </w:tcPr>
          <w:p>
            <w:pPr>
              <w:pStyle w:val="TableText"/>
              <w:ind w:left="296"/>
              <w:spacing w:before="65" w:line="233" w:lineRule="auto"/>
              <w:rPr/>
            </w:pPr>
            <w:r>
              <w:rPr/>
              <w:t>否</w:t>
            </w:r>
          </w:p>
        </w:tc>
        <w:tc>
          <w:tcPr>
            <w:tcW w:w="2952" w:type="dxa"/>
            <w:vAlign w:val="top"/>
          </w:tcPr>
          <w:p>
            <w:pPr>
              <w:pStyle w:val="TableText"/>
              <w:ind w:left="228"/>
              <w:spacing w:before="64" w:line="229" w:lineRule="auto"/>
              <w:rPr/>
            </w:pPr>
            <w:r>
              <w:rPr>
                <w:spacing w:val="8"/>
              </w:rPr>
              <w:t>毒性分值较高，无测试方法</w:t>
            </w:r>
          </w:p>
        </w:tc>
      </w:tr>
      <w:tr>
        <w:trPr>
          <w:trHeight w:val="344" w:hRule="atLeast"/>
        </w:trPr>
        <w:tc>
          <w:tcPr>
            <w:tcW w:w="679" w:type="dxa"/>
            <w:vAlign w:val="top"/>
          </w:tcPr>
          <w:p>
            <w:pPr>
              <w:ind w:left="293"/>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94" w:type="dxa"/>
            <w:vAlign w:val="top"/>
          </w:tcPr>
          <w:p>
            <w:pPr>
              <w:pStyle w:val="TableText"/>
              <w:ind w:left="646"/>
              <w:spacing w:before="66" w:line="232" w:lineRule="auto"/>
              <w:rPr/>
            </w:pPr>
            <w:r>
              <w:rPr>
                <w:spacing w:val="2"/>
              </w:rPr>
              <w:t>硫磺</w:t>
            </w:r>
          </w:p>
        </w:tc>
        <w:tc>
          <w:tcPr>
            <w:tcW w:w="1959" w:type="dxa"/>
            <w:vAlign w:val="top"/>
          </w:tcPr>
          <w:p>
            <w:pPr>
              <w:pStyle w:val="TableText"/>
              <w:ind w:left="786"/>
              <w:spacing w:before="66" w:line="231" w:lineRule="auto"/>
              <w:rPr/>
            </w:pPr>
            <w:r>
              <w:rPr>
                <w:spacing w:val="-2"/>
              </w:rPr>
              <w:t>去掉</w:t>
            </w:r>
          </w:p>
        </w:tc>
        <w:tc>
          <w:tcPr>
            <w:tcW w:w="1104" w:type="dxa"/>
            <w:vAlign w:val="top"/>
          </w:tcPr>
          <w:p>
            <w:pPr>
              <w:pStyle w:val="TableText"/>
              <w:ind w:left="462"/>
              <w:spacing w:before="66" w:line="233" w:lineRule="auto"/>
              <w:rPr/>
            </w:pPr>
            <w:r>
              <w:rPr/>
              <w:t>否</w:t>
            </w:r>
          </w:p>
        </w:tc>
        <w:tc>
          <w:tcPr>
            <w:tcW w:w="812" w:type="dxa"/>
            <w:vAlign w:val="top"/>
          </w:tcPr>
          <w:p>
            <w:pPr>
              <w:pStyle w:val="TableText"/>
              <w:ind w:left="316"/>
              <w:spacing w:before="66" w:line="234" w:lineRule="auto"/>
              <w:rPr/>
            </w:pPr>
            <w:r>
              <w:rPr/>
              <w:t>无</w:t>
            </w:r>
          </w:p>
        </w:tc>
        <w:tc>
          <w:tcPr>
            <w:tcW w:w="766" w:type="dxa"/>
            <w:vAlign w:val="top"/>
          </w:tcPr>
          <w:p>
            <w:pPr>
              <w:pStyle w:val="TableText"/>
              <w:ind w:left="296"/>
              <w:spacing w:before="66" w:line="233" w:lineRule="auto"/>
              <w:rPr/>
            </w:pPr>
            <w:r>
              <w:rPr/>
              <w:t>否</w:t>
            </w:r>
          </w:p>
        </w:tc>
        <w:tc>
          <w:tcPr>
            <w:tcW w:w="2952" w:type="dxa"/>
            <w:vAlign w:val="top"/>
          </w:tcPr>
          <w:p>
            <w:pPr>
              <w:pStyle w:val="TableText"/>
              <w:ind w:left="334"/>
              <w:spacing w:before="66" w:line="229" w:lineRule="auto"/>
              <w:rPr/>
            </w:pPr>
            <w:r>
              <w:rPr>
                <w:spacing w:val="8"/>
              </w:rPr>
              <w:t>无毒性分值，无测试方法</w:t>
            </w:r>
          </w:p>
        </w:tc>
      </w:tr>
      <w:tr>
        <w:trPr>
          <w:trHeight w:val="344" w:hRule="atLeast"/>
        </w:trPr>
        <w:tc>
          <w:tcPr>
            <w:tcW w:w="679" w:type="dxa"/>
            <w:vAlign w:val="top"/>
          </w:tcPr>
          <w:p>
            <w:pPr>
              <w:ind w:left="288"/>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694" w:type="dxa"/>
            <w:vAlign w:val="top"/>
          </w:tcPr>
          <w:p>
            <w:pPr>
              <w:pStyle w:val="TableText"/>
              <w:ind w:left="751"/>
              <w:spacing w:before="68" w:line="233" w:lineRule="auto"/>
              <w:rPr/>
            </w:pPr>
            <w:r>
              <w:rPr/>
              <w:t>铝</w:t>
            </w:r>
          </w:p>
        </w:tc>
        <w:tc>
          <w:tcPr>
            <w:tcW w:w="1959" w:type="dxa"/>
            <w:vAlign w:val="top"/>
          </w:tcPr>
          <w:p>
            <w:pPr>
              <w:pStyle w:val="TableText"/>
              <w:ind w:left="786"/>
              <w:spacing w:before="67" w:line="231" w:lineRule="auto"/>
              <w:rPr/>
            </w:pPr>
            <w:r>
              <w:rPr>
                <w:spacing w:val="-2"/>
              </w:rPr>
              <w:t>去掉</w:t>
            </w:r>
          </w:p>
        </w:tc>
        <w:tc>
          <w:tcPr>
            <w:tcW w:w="1104" w:type="dxa"/>
            <w:vAlign w:val="top"/>
          </w:tcPr>
          <w:p>
            <w:pPr>
              <w:pStyle w:val="TableText"/>
              <w:ind w:left="462"/>
              <w:spacing w:before="68" w:line="233" w:lineRule="auto"/>
              <w:rPr/>
            </w:pPr>
            <w:r>
              <w:rPr/>
              <w:t>否</w:t>
            </w:r>
          </w:p>
        </w:tc>
        <w:tc>
          <w:tcPr>
            <w:tcW w:w="812" w:type="dxa"/>
            <w:vAlign w:val="top"/>
          </w:tcPr>
          <w:p>
            <w:pPr>
              <w:pStyle w:val="TableText"/>
              <w:ind w:left="311"/>
              <w:spacing w:before="67" w:line="231" w:lineRule="auto"/>
              <w:rPr/>
            </w:pPr>
            <w:r>
              <w:rPr/>
              <w:t>有</w:t>
            </w:r>
          </w:p>
        </w:tc>
        <w:tc>
          <w:tcPr>
            <w:tcW w:w="766" w:type="dxa"/>
            <w:vAlign w:val="top"/>
          </w:tcPr>
          <w:p>
            <w:pPr>
              <w:pStyle w:val="TableText"/>
              <w:ind w:left="296"/>
              <w:spacing w:before="68" w:line="233" w:lineRule="auto"/>
              <w:rPr/>
            </w:pPr>
            <w:r>
              <w:rPr/>
              <w:t>否</w:t>
            </w:r>
          </w:p>
        </w:tc>
        <w:tc>
          <w:tcPr>
            <w:tcW w:w="2952" w:type="dxa"/>
            <w:vAlign w:val="top"/>
          </w:tcPr>
          <w:p>
            <w:pPr>
              <w:pStyle w:val="TableText"/>
              <w:ind w:left="859"/>
              <w:spacing w:before="67" w:line="229" w:lineRule="auto"/>
              <w:rPr/>
            </w:pPr>
            <w:r>
              <w:rPr>
                <w:spacing w:val="6"/>
              </w:rPr>
              <w:t>毒性分值较低</w:t>
            </w:r>
          </w:p>
        </w:tc>
      </w:tr>
      <w:tr>
        <w:trPr>
          <w:trHeight w:val="345" w:hRule="atLeast"/>
        </w:trPr>
        <w:tc>
          <w:tcPr>
            <w:tcW w:w="679" w:type="dxa"/>
            <w:vAlign w:val="top"/>
          </w:tcPr>
          <w:p>
            <w:pPr>
              <w:ind w:left="295"/>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94" w:type="dxa"/>
            <w:vAlign w:val="top"/>
          </w:tcPr>
          <w:p>
            <w:pPr>
              <w:pStyle w:val="TableText"/>
              <w:ind w:left="445"/>
              <w:spacing w:before="69" w:line="233" w:lineRule="auto"/>
              <w:rPr/>
            </w:pPr>
            <w:r>
              <w:rPr>
                <w:spacing w:val="3"/>
              </w:rPr>
              <w:t>总石油烃</w:t>
            </w:r>
          </w:p>
        </w:tc>
        <w:tc>
          <w:tcPr>
            <w:tcW w:w="1959" w:type="dxa"/>
            <w:vAlign w:val="top"/>
          </w:tcPr>
          <w:p>
            <w:pPr>
              <w:pStyle w:val="TableText"/>
              <w:ind w:left="681"/>
              <w:spacing w:before="69" w:line="232" w:lineRule="auto"/>
              <w:rPr/>
            </w:pPr>
            <w:r>
              <w:rPr>
                <w:spacing w:val="3"/>
              </w:rPr>
              <w:t>不调整</w:t>
            </w:r>
          </w:p>
        </w:tc>
        <w:tc>
          <w:tcPr>
            <w:tcW w:w="1104" w:type="dxa"/>
            <w:vAlign w:val="top"/>
          </w:tcPr>
          <w:p>
            <w:pPr>
              <w:pStyle w:val="TableText"/>
              <w:ind w:left="462"/>
              <w:spacing w:before="69" w:line="233" w:lineRule="auto"/>
              <w:rPr/>
            </w:pPr>
            <w:r>
              <w:rPr/>
              <w:t>否</w:t>
            </w:r>
          </w:p>
        </w:tc>
        <w:tc>
          <w:tcPr>
            <w:tcW w:w="812" w:type="dxa"/>
            <w:vAlign w:val="top"/>
          </w:tcPr>
          <w:p>
            <w:pPr>
              <w:pStyle w:val="TableText"/>
              <w:ind w:left="311"/>
              <w:spacing w:before="69" w:line="231" w:lineRule="auto"/>
              <w:rPr/>
            </w:pPr>
            <w:r>
              <w:rPr/>
              <w:t>有</w:t>
            </w:r>
          </w:p>
        </w:tc>
        <w:tc>
          <w:tcPr>
            <w:tcW w:w="766" w:type="dxa"/>
            <w:vAlign w:val="top"/>
          </w:tcPr>
          <w:p>
            <w:pPr>
              <w:pStyle w:val="TableText"/>
              <w:ind w:left="292"/>
              <w:spacing w:before="69" w:line="233" w:lineRule="auto"/>
              <w:rPr/>
            </w:pPr>
            <w:r>
              <w:rPr/>
              <w:t>是</w:t>
            </w:r>
          </w:p>
        </w:tc>
        <w:tc>
          <w:tcPr>
            <w:tcW w:w="2952" w:type="dxa"/>
            <w:vAlign w:val="top"/>
          </w:tcPr>
          <w:p>
            <w:pPr>
              <w:pStyle w:val="TableText"/>
              <w:ind w:left="756"/>
              <w:spacing w:before="68" w:line="232" w:lineRule="auto"/>
              <w:rPr>
                <w:rFonts w:ascii="Times New Roman" w:hAnsi="Times New Roman" w:eastAsia="Times New Roman" w:cs="Times New Roman"/>
                <w:sz w:val="13"/>
                <w:szCs w:val="13"/>
              </w:rPr>
            </w:pPr>
            <w:r>
              <w:rPr>
                <w:spacing w:val="5"/>
              </w:rPr>
              <w:t>测石油烃</w:t>
            </w:r>
            <w:r>
              <w:rPr>
                <w:rFonts w:ascii="Times New Roman" w:hAnsi="Times New Roman" w:eastAsia="Times New Roman" w:cs="Times New Roman"/>
                <w:spacing w:val="5"/>
              </w:rPr>
              <w:t>C</w:t>
            </w:r>
            <w:r>
              <w:rPr>
                <w:rFonts w:ascii="Times New Roman" w:hAnsi="Times New Roman" w:eastAsia="Times New Roman" w:cs="Times New Roman"/>
                <w:sz w:val="13"/>
                <w:szCs w:val="13"/>
                <w:spacing w:val="5"/>
              </w:rPr>
              <w:t>10</w:t>
            </w:r>
            <w:r>
              <w:rPr>
                <w:rFonts w:ascii="Times New Roman" w:hAnsi="Times New Roman" w:eastAsia="Times New Roman" w:cs="Times New Roman"/>
                <w:spacing w:val="5"/>
              </w:rPr>
              <w:t>-C</w:t>
            </w:r>
            <w:r>
              <w:rPr>
                <w:rFonts w:ascii="Times New Roman" w:hAnsi="Times New Roman" w:eastAsia="Times New Roman" w:cs="Times New Roman"/>
                <w:sz w:val="13"/>
                <w:szCs w:val="13"/>
                <w:spacing w:val="5"/>
                <w:position w:val="-1"/>
              </w:rPr>
              <w:t>40</w:t>
            </w:r>
          </w:p>
        </w:tc>
      </w:tr>
      <w:tr>
        <w:trPr>
          <w:trHeight w:val="345" w:hRule="atLeast"/>
        </w:trPr>
        <w:tc>
          <w:tcPr>
            <w:tcW w:w="679" w:type="dxa"/>
            <w:vAlign w:val="top"/>
          </w:tcPr>
          <w:p>
            <w:pPr>
              <w:ind w:left="294"/>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694" w:type="dxa"/>
            <w:vAlign w:val="top"/>
          </w:tcPr>
          <w:p>
            <w:pPr>
              <w:pStyle w:val="TableText"/>
              <w:ind w:left="544"/>
              <w:spacing w:before="67" w:line="226" w:lineRule="auto"/>
              <w:rPr/>
            </w:pPr>
            <w:r>
              <w:rPr>
                <w:spacing w:val="4"/>
              </w:rPr>
              <w:t>苯并芘</w:t>
            </w:r>
          </w:p>
        </w:tc>
        <w:tc>
          <w:tcPr>
            <w:tcW w:w="1959" w:type="dxa"/>
            <w:vAlign w:val="top"/>
          </w:tcPr>
          <w:p>
            <w:pPr>
              <w:pStyle w:val="TableText"/>
              <w:ind w:left="681"/>
              <w:spacing w:before="67" w:line="232" w:lineRule="auto"/>
              <w:rPr/>
            </w:pPr>
            <w:r>
              <w:rPr>
                <w:spacing w:val="3"/>
              </w:rPr>
              <w:t>不调整</w:t>
            </w:r>
          </w:p>
        </w:tc>
        <w:tc>
          <w:tcPr>
            <w:tcW w:w="1104" w:type="dxa"/>
            <w:vAlign w:val="top"/>
          </w:tcPr>
          <w:p>
            <w:pPr>
              <w:pStyle w:val="TableText"/>
              <w:ind w:left="458"/>
              <w:spacing w:before="67" w:line="233" w:lineRule="auto"/>
              <w:rPr/>
            </w:pPr>
            <w:r>
              <w:rPr/>
              <w:t>是</w:t>
            </w:r>
          </w:p>
        </w:tc>
        <w:tc>
          <w:tcPr>
            <w:tcW w:w="812" w:type="dxa"/>
            <w:vAlign w:val="top"/>
          </w:tcPr>
          <w:p>
            <w:pPr>
              <w:pStyle w:val="TableText"/>
              <w:ind w:left="311"/>
              <w:spacing w:before="67" w:line="231" w:lineRule="auto"/>
              <w:rPr/>
            </w:pPr>
            <w:r>
              <w:rPr/>
              <w:t>有</w:t>
            </w:r>
          </w:p>
        </w:tc>
        <w:tc>
          <w:tcPr>
            <w:tcW w:w="766" w:type="dxa"/>
            <w:vAlign w:val="top"/>
          </w:tcPr>
          <w:p>
            <w:pPr>
              <w:pStyle w:val="TableText"/>
              <w:ind w:left="292"/>
              <w:spacing w:before="67" w:line="233" w:lineRule="auto"/>
              <w:rPr/>
            </w:pPr>
            <w:r>
              <w:rPr/>
              <w:t>是</w:t>
            </w:r>
          </w:p>
        </w:tc>
        <w:tc>
          <w:tcPr>
            <w:tcW w:w="2952" w:type="dxa"/>
            <w:vAlign w:val="top"/>
          </w:tcPr>
          <w:p>
            <w:pPr>
              <w:pStyle w:val="TableText"/>
              <w:ind w:left="950"/>
              <w:spacing w:before="67" w:line="221" w:lineRule="auto"/>
              <w:rPr/>
            </w:pPr>
            <w:r>
              <w:rPr>
                <w:spacing w:val="4"/>
              </w:rPr>
              <w:t>测苯并</w:t>
            </w:r>
            <w:r>
              <w:rPr>
                <w:rFonts w:ascii="Times New Roman" w:hAnsi="Times New Roman" w:eastAsia="Times New Roman" w:cs="Times New Roman"/>
                <w:spacing w:val="4"/>
              </w:rPr>
              <w:t>[a]</w:t>
            </w:r>
            <w:r>
              <w:rPr>
                <w:spacing w:val="4"/>
              </w:rPr>
              <w:t>芘</w:t>
            </w:r>
          </w:p>
        </w:tc>
      </w:tr>
      <w:tr>
        <w:trPr>
          <w:trHeight w:val="345" w:hRule="atLeast"/>
        </w:trPr>
        <w:tc>
          <w:tcPr>
            <w:tcW w:w="679" w:type="dxa"/>
            <w:vAlign w:val="top"/>
          </w:tcPr>
          <w:p>
            <w:pPr>
              <w:ind w:left="293"/>
              <w:spacing w:before="10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694" w:type="dxa"/>
            <w:vAlign w:val="top"/>
          </w:tcPr>
          <w:p>
            <w:pPr>
              <w:pStyle w:val="TableText"/>
              <w:ind w:left="752"/>
              <w:spacing w:before="67" w:line="232" w:lineRule="auto"/>
              <w:rPr/>
            </w:pPr>
            <w:r>
              <w:rPr/>
              <w:t>铜</w:t>
            </w:r>
          </w:p>
        </w:tc>
        <w:tc>
          <w:tcPr>
            <w:tcW w:w="1959" w:type="dxa"/>
            <w:vAlign w:val="top"/>
          </w:tcPr>
          <w:p>
            <w:pPr>
              <w:pStyle w:val="TableText"/>
              <w:ind w:left="681"/>
              <w:spacing w:before="68" w:line="232" w:lineRule="auto"/>
              <w:rPr/>
            </w:pPr>
            <w:r>
              <w:rPr>
                <w:spacing w:val="3"/>
              </w:rPr>
              <w:t>不调整</w:t>
            </w:r>
          </w:p>
        </w:tc>
        <w:tc>
          <w:tcPr>
            <w:tcW w:w="1104" w:type="dxa"/>
            <w:vAlign w:val="top"/>
          </w:tcPr>
          <w:p>
            <w:pPr>
              <w:pStyle w:val="TableText"/>
              <w:ind w:left="458"/>
              <w:spacing w:before="67" w:line="233" w:lineRule="auto"/>
              <w:rPr/>
            </w:pPr>
            <w:r>
              <w:rPr/>
              <w:t>是</w:t>
            </w:r>
          </w:p>
        </w:tc>
        <w:tc>
          <w:tcPr>
            <w:tcW w:w="812" w:type="dxa"/>
            <w:vAlign w:val="top"/>
          </w:tcPr>
          <w:p>
            <w:pPr>
              <w:pStyle w:val="TableText"/>
              <w:ind w:left="311"/>
              <w:spacing w:before="67" w:line="231" w:lineRule="auto"/>
              <w:rPr/>
            </w:pPr>
            <w:r>
              <w:rPr/>
              <w:t>有</w:t>
            </w:r>
          </w:p>
        </w:tc>
        <w:tc>
          <w:tcPr>
            <w:tcW w:w="766" w:type="dxa"/>
            <w:vAlign w:val="top"/>
          </w:tcPr>
          <w:p>
            <w:pPr>
              <w:pStyle w:val="TableText"/>
              <w:ind w:left="292"/>
              <w:spacing w:before="67" w:line="233" w:lineRule="auto"/>
              <w:rPr/>
            </w:pPr>
            <w:r>
              <w:rPr/>
              <w:t>是</w:t>
            </w:r>
          </w:p>
        </w:tc>
        <w:tc>
          <w:tcPr>
            <w:tcW w:w="2952" w:type="dxa"/>
            <w:vAlign w:val="top"/>
          </w:tcPr>
          <w:p>
            <w:pPr>
              <w:ind w:left="1443"/>
              <w:spacing w:before="10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679" w:type="dxa"/>
            <w:vAlign w:val="top"/>
          </w:tcPr>
          <w:p>
            <w:pPr>
              <w:ind w:left="298"/>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694" w:type="dxa"/>
            <w:vAlign w:val="top"/>
          </w:tcPr>
          <w:p>
            <w:pPr>
              <w:pStyle w:val="TableText"/>
              <w:ind w:left="750"/>
              <w:spacing w:before="68" w:line="231" w:lineRule="auto"/>
              <w:rPr/>
            </w:pPr>
            <w:r>
              <w:rPr/>
              <w:t>锌</w:t>
            </w:r>
          </w:p>
        </w:tc>
        <w:tc>
          <w:tcPr>
            <w:tcW w:w="1959" w:type="dxa"/>
            <w:vAlign w:val="top"/>
          </w:tcPr>
          <w:p>
            <w:pPr>
              <w:pStyle w:val="TableText"/>
              <w:ind w:left="681"/>
              <w:spacing w:before="68" w:line="232" w:lineRule="auto"/>
              <w:rPr/>
            </w:pPr>
            <w:r>
              <w:rPr>
                <w:spacing w:val="3"/>
              </w:rPr>
              <w:t>不调整</w:t>
            </w:r>
          </w:p>
        </w:tc>
        <w:tc>
          <w:tcPr>
            <w:tcW w:w="1104" w:type="dxa"/>
            <w:vAlign w:val="top"/>
          </w:tcPr>
          <w:p>
            <w:pPr>
              <w:pStyle w:val="TableText"/>
              <w:ind w:left="462"/>
              <w:spacing w:before="68" w:line="233" w:lineRule="auto"/>
              <w:rPr/>
            </w:pPr>
            <w:r>
              <w:rPr/>
              <w:t>否</w:t>
            </w:r>
          </w:p>
        </w:tc>
        <w:tc>
          <w:tcPr>
            <w:tcW w:w="812" w:type="dxa"/>
            <w:vAlign w:val="top"/>
          </w:tcPr>
          <w:p>
            <w:pPr>
              <w:pStyle w:val="TableText"/>
              <w:ind w:left="311"/>
              <w:spacing w:before="68" w:line="231" w:lineRule="auto"/>
              <w:rPr/>
            </w:pPr>
            <w:r>
              <w:rPr/>
              <w:t>有</w:t>
            </w:r>
          </w:p>
        </w:tc>
        <w:tc>
          <w:tcPr>
            <w:tcW w:w="766" w:type="dxa"/>
            <w:vAlign w:val="top"/>
          </w:tcPr>
          <w:p>
            <w:pPr>
              <w:pStyle w:val="TableText"/>
              <w:ind w:left="292"/>
              <w:spacing w:before="68" w:line="233" w:lineRule="auto"/>
              <w:rPr/>
            </w:pPr>
            <w:r>
              <w:rPr/>
              <w:t>是</w:t>
            </w:r>
          </w:p>
        </w:tc>
        <w:tc>
          <w:tcPr>
            <w:tcW w:w="2952" w:type="dxa"/>
            <w:vAlign w:val="top"/>
          </w:tcPr>
          <w:p>
            <w:pPr>
              <w:ind w:left="1443"/>
              <w:spacing w:before="10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679" w:type="dxa"/>
            <w:vAlign w:val="top"/>
          </w:tcPr>
          <w:p>
            <w:pPr>
              <w:ind w:left="293"/>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694" w:type="dxa"/>
            <w:vAlign w:val="top"/>
          </w:tcPr>
          <w:p>
            <w:pPr>
              <w:pStyle w:val="TableText"/>
              <w:ind w:left="749"/>
              <w:spacing w:before="68" w:line="231" w:lineRule="auto"/>
              <w:rPr/>
            </w:pPr>
            <w:r>
              <w:rPr/>
              <w:t>铅</w:t>
            </w:r>
          </w:p>
        </w:tc>
        <w:tc>
          <w:tcPr>
            <w:tcW w:w="1959" w:type="dxa"/>
            <w:vAlign w:val="top"/>
          </w:tcPr>
          <w:p>
            <w:pPr>
              <w:pStyle w:val="TableText"/>
              <w:ind w:left="681"/>
              <w:spacing w:before="68" w:line="232" w:lineRule="auto"/>
              <w:rPr/>
            </w:pPr>
            <w:r>
              <w:rPr>
                <w:spacing w:val="3"/>
              </w:rPr>
              <w:t>不调整</w:t>
            </w:r>
          </w:p>
        </w:tc>
        <w:tc>
          <w:tcPr>
            <w:tcW w:w="1104" w:type="dxa"/>
            <w:vAlign w:val="top"/>
          </w:tcPr>
          <w:p>
            <w:pPr>
              <w:pStyle w:val="TableText"/>
              <w:ind w:left="458"/>
              <w:spacing w:before="68" w:line="233" w:lineRule="auto"/>
              <w:rPr/>
            </w:pPr>
            <w:r>
              <w:rPr/>
              <w:t>是</w:t>
            </w:r>
          </w:p>
        </w:tc>
        <w:tc>
          <w:tcPr>
            <w:tcW w:w="812" w:type="dxa"/>
            <w:vAlign w:val="top"/>
          </w:tcPr>
          <w:p>
            <w:pPr>
              <w:pStyle w:val="TableText"/>
              <w:ind w:left="311"/>
              <w:spacing w:before="68" w:line="231" w:lineRule="auto"/>
              <w:rPr/>
            </w:pPr>
            <w:r>
              <w:rPr/>
              <w:t>有</w:t>
            </w:r>
          </w:p>
        </w:tc>
        <w:tc>
          <w:tcPr>
            <w:tcW w:w="766" w:type="dxa"/>
            <w:vAlign w:val="top"/>
          </w:tcPr>
          <w:p>
            <w:pPr>
              <w:pStyle w:val="TableText"/>
              <w:ind w:left="292"/>
              <w:spacing w:before="68" w:line="233" w:lineRule="auto"/>
              <w:rPr/>
            </w:pPr>
            <w:r>
              <w:rPr/>
              <w:t>是</w:t>
            </w:r>
          </w:p>
        </w:tc>
        <w:tc>
          <w:tcPr>
            <w:tcW w:w="2952" w:type="dxa"/>
            <w:vAlign w:val="top"/>
          </w:tcPr>
          <w:p>
            <w:pPr>
              <w:ind w:left="1443"/>
              <w:spacing w:before="10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679" w:type="dxa"/>
            <w:vAlign w:val="top"/>
          </w:tcPr>
          <w:p>
            <w:pPr>
              <w:ind w:left="257"/>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1694" w:type="dxa"/>
            <w:vAlign w:val="top"/>
          </w:tcPr>
          <w:p>
            <w:pPr>
              <w:pStyle w:val="TableText"/>
              <w:ind w:left="751"/>
              <w:spacing w:before="69" w:line="232" w:lineRule="auto"/>
              <w:rPr/>
            </w:pPr>
            <w:r>
              <w:rPr/>
              <w:t>镉</w:t>
            </w:r>
          </w:p>
        </w:tc>
        <w:tc>
          <w:tcPr>
            <w:tcW w:w="1959" w:type="dxa"/>
            <w:vAlign w:val="top"/>
          </w:tcPr>
          <w:p>
            <w:pPr>
              <w:pStyle w:val="TableText"/>
              <w:ind w:left="681"/>
              <w:spacing w:before="69" w:line="232" w:lineRule="auto"/>
              <w:rPr/>
            </w:pPr>
            <w:r>
              <w:rPr>
                <w:spacing w:val="3"/>
              </w:rPr>
              <w:t>不调整</w:t>
            </w:r>
          </w:p>
        </w:tc>
        <w:tc>
          <w:tcPr>
            <w:tcW w:w="1104" w:type="dxa"/>
            <w:vAlign w:val="top"/>
          </w:tcPr>
          <w:p>
            <w:pPr>
              <w:pStyle w:val="TableText"/>
              <w:ind w:left="458"/>
              <w:spacing w:before="69" w:line="233" w:lineRule="auto"/>
              <w:rPr/>
            </w:pPr>
            <w:r>
              <w:rPr/>
              <w:t>是</w:t>
            </w:r>
          </w:p>
        </w:tc>
        <w:tc>
          <w:tcPr>
            <w:tcW w:w="812" w:type="dxa"/>
            <w:vAlign w:val="top"/>
          </w:tcPr>
          <w:p>
            <w:pPr>
              <w:pStyle w:val="TableText"/>
              <w:ind w:left="311"/>
              <w:spacing w:before="68" w:line="231" w:lineRule="auto"/>
              <w:rPr/>
            </w:pPr>
            <w:r>
              <w:rPr/>
              <w:t>有</w:t>
            </w:r>
          </w:p>
        </w:tc>
        <w:tc>
          <w:tcPr>
            <w:tcW w:w="766" w:type="dxa"/>
            <w:vAlign w:val="top"/>
          </w:tcPr>
          <w:p>
            <w:pPr>
              <w:pStyle w:val="TableText"/>
              <w:ind w:left="292"/>
              <w:spacing w:before="69" w:line="233" w:lineRule="auto"/>
              <w:rPr/>
            </w:pPr>
            <w:r>
              <w:rPr/>
              <w:t>是</w:t>
            </w:r>
          </w:p>
        </w:tc>
        <w:tc>
          <w:tcPr>
            <w:tcW w:w="2952" w:type="dxa"/>
            <w:vAlign w:val="top"/>
          </w:tcPr>
          <w:p>
            <w:pPr>
              <w:ind w:left="1443"/>
              <w:spacing w:before="1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679" w:type="dxa"/>
            <w:vAlign w:val="top"/>
          </w:tcPr>
          <w:p>
            <w:pPr>
              <w:ind w:left="257"/>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11</w:t>
            </w:r>
          </w:p>
        </w:tc>
        <w:tc>
          <w:tcPr>
            <w:tcW w:w="1694" w:type="dxa"/>
            <w:vAlign w:val="top"/>
          </w:tcPr>
          <w:p>
            <w:pPr>
              <w:pStyle w:val="TableText"/>
              <w:ind w:left="752"/>
              <w:spacing w:before="69" w:line="231" w:lineRule="auto"/>
              <w:rPr/>
            </w:pPr>
            <w:r>
              <w:rPr/>
              <w:t>镍</w:t>
            </w:r>
          </w:p>
        </w:tc>
        <w:tc>
          <w:tcPr>
            <w:tcW w:w="1959" w:type="dxa"/>
            <w:vAlign w:val="top"/>
          </w:tcPr>
          <w:p>
            <w:pPr>
              <w:pStyle w:val="TableText"/>
              <w:ind w:left="681"/>
              <w:spacing w:before="69" w:line="232" w:lineRule="auto"/>
              <w:rPr/>
            </w:pPr>
            <w:r>
              <w:rPr>
                <w:spacing w:val="3"/>
              </w:rPr>
              <w:t>不调整</w:t>
            </w:r>
          </w:p>
        </w:tc>
        <w:tc>
          <w:tcPr>
            <w:tcW w:w="1104" w:type="dxa"/>
            <w:vAlign w:val="top"/>
          </w:tcPr>
          <w:p>
            <w:pPr>
              <w:pStyle w:val="TableText"/>
              <w:ind w:left="458"/>
              <w:spacing w:before="69" w:line="233" w:lineRule="auto"/>
              <w:rPr/>
            </w:pPr>
            <w:r>
              <w:rPr/>
              <w:t>是</w:t>
            </w:r>
          </w:p>
        </w:tc>
        <w:tc>
          <w:tcPr>
            <w:tcW w:w="812" w:type="dxa"/>
            <w:vAlign w:val="top"/>
          </w:tcPr>
          <w:p>
            <w:pPr>
              <w:pStyle w:val="TableText"/>
              <w:ind w:left="311"/>
              <w:spacing w:before="69" w:line="231" w:lineRule="auto"/>
              <w:rPr/>
            </w:pPr>
            <w:r>
              <w:rPr/>
              <w:t>有</w:t>
            </w:r>
          </w:p>
        </w:tc>
        <w:tc>
          <w:tcPr>
            <w:tcW w:w="766" w:type="dxa"/>
            <w:vAlign w:val="top"/>
          </w:tcPr>
          <w:p>
            <w:pPr>
              <w:pStyle w:val="TableText"/>
              <w:ind w:left="292"/>
              <w:spacing w:before="69" w:line="233" w:lineRule="auto"/>
              <w:rPr/>
            </w:pPr>
            <w:r>
              <w:rPr/>
              <w:t>是</w:t>
            </w:r>
          </w:p>
        </w:tc>
        <w:tc>
          <w:tcPr>
            <w:tcW w:w="2952" w:type="dxa"/>
            <w:vAlign w:val="top"/>
          </w:tcPr>
          <w:p>
            <w:pPr>
              <w:ind w:left="1443"/>
              <w:spacing w:before="1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679" w:type="dxa"/>
            <w:vAlign w:val="top"/>
          </w:tcPr>
          <w:p>
            <w:pPr>
              <w:ind w:left="257"/>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1694" w:type="dxa"/>
            <w:vAlign w:val="top"/>
          </w:tcPr>
          <w:p>
            <w:pPr>
              <w:pStyle w:val="TableText"/>
              <w:ind w:left="750"/>
              <w:spacing w:before="67" w:line="229" w:lineRule="auto"/>
              <w:rPr/>
            </w:pPr>
            <w:r>
              <w:rPr/>
              <w:t>砷</w:t>
            </w:r>
          </w:p>
        </w:tc>
        <w:tc>
          <w:tcPr>
            <w:tcW w:w="1959" w:type="dxa"/>
            <w:vAlign w:val="top"/>
          </w:tcPr>
          <w:p>
            <w:pPr>
              <w:pStyle w:val="TableText"/>
              <w:ind w:left="681"/>
              <w:spacing w:before="67" w:line="232" w:lineRule="auto"/>
              <w:rPr/>
            </w:pPr>
            <w:r>
              <w:rPr>
                <w:spacing w:val="3"/>
              </w:rPr>
              <w:t>不调整</w:t>
            </w:r>
          </w:p>
        </w:tc>
        <w:tc>
          <w:tcPr>
            <w:tcW w:w="1104" w:type="dxa"/>
            <w:vAlign w:val="top"/>
          </w:tcPr>
          <w:p>
            <w:pPr>
              <w:pStyle w:val="TableText"/>
              <w:ind w:left="458"/>
              <w:spacing w:before="67" w:line="233" w:lineRule="auto"/>
              <w:rPr/>
            </w:pPr>
            <w:r>
              <w:rPr/>
              <w:t>是</w:t>
            </w:r>
          </w:p>
        </w:tc>
        <w:tc>
          <w:tcPr>
            <w:tcW w:w="812" w:type="dxa"/>
            <w:vAlign w:val="top"/>
          </w:tcPr>
          <w:p>
            <w:pPr>
              <w:pStyle w:val="TableText"/>
              <w:ind w:left="311"/>
              <w:spacing w:before="67" w:line="231" w:lineRule="auto"/>
              <w:rPr/>
            </w:pPr>
            <w:r>
              <w:rPr/>
              <w:t>有</w:t>
            </w:r>
          </w:p>
        </w:tc>
        <w:tc>
          <w:tcPr>
            <w:tcW w:w="766" w:type="dxa"/>
            <w:vAlign w:val="top"/>
          </w:tcPr>
          <w:p>
            <w:pPr>
              <w:pStyle w:val="TableText"/>
              <w:ind w:left="292"/>
              <w:spacing w:before="67" w:line="233" w:lineRule="auto"/>
              <w:rPr/>
            </w:pPr>
            <w:r>
              <w:rPr/>
              <w:t>是</w:t>
            </w:r>
          </w:p>
        </w:tc>
        <w:tc>
          <w:tcPr>
            <w:tcW w:w="2952" w:type="dxa"/>
            <w:vAlign w:val="top"/>
          </w:tcPr>
          <w:p>
            <w:pPr>
              <w:ind w:left="1443"/>
              <w:spacing w:before="1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679" w:type="dxa"/>
            <w:vAlign w:val="top"/>
          </w:tcPr>
          <w:p>
            <w:pPr>
              <w:ind w:left="257"/>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c>
          <w:tcPr>
            <w:tcW w:w="1694" w:type="dxa"/>
            <w:vAlign w:val="top"/>
          </w:tcPr>
          <w:p>
            <w:pPr>
              <w:pStyle w:val="TableText"/>
              <w:ind w:left="756"/>
              <w:spacing w:before="67" w:line="231" w:lineRule="auto"/>
              <w:rPr/>
            </w:pPr>
            <w:r>
              <w:rPr/>
              <w:t>氟</w:t>
            </w:r>
          </w:p>
        </w:tc>
        <w:tc>
          <w:tcPr>
            <w:tcW w:w="1959" w:type="dxa"/>
            <w:vAlign w:val="top"/>
          </w:tcPr>
          <w:p>
            <w:pPr>
              <w:pStyle w:val="TableText"/>
              <w:ind w:left="681"/>
              <w:spacing w:before="68" w:line="232" w:lineRule="auto"/>
              <w:rPr/>
            </w:pPr>
            <w:r>
              <w:rPr>
                <w:spacing w:val="3"/>
              </w:rPr>
              <w:t>不调整</w:t>
            </w:r>
          </w:p>
        </w:tc>
        <w:tc>
          <w:tcPr>
            <w:tcW w:w="1104" w:type="dxa"/>
            <w:vAlign w:val="top"/>
          </w:tcPr>
          <w:p>
            <w:pPr>
              <w:pStyle w:val="TableText"/>
              <w:ind w:left="462"/>
              <w:spacing w:before="67" w:line="233" w:lineRule="auto"/>
              <w:rPr/>
            </w:pPr>
            <w:r>
              <w:rPr/>
              <w:t>否</w:t>
            </w:r>
          </w:p>
        </w:tc>
        <w:tc>
          <w:tcPr>
            <w:tcW w:w="812" w:type="dxa"/>
            <w:vAlign w:val="top"/>
          </w:tcPr>
          <w:p>
            <w:pPr>
              <w:pStyle w:val="TableText"/>
              <w:ind w:left="311"/>
              <w:spacing w:before="67" w:line="231" w:lineRule="auto"/>
              <w:rPr/>
            </w:pPr>
            <w:r>
              <w:rPr/>
              <w:t>有</w:t>
            </w:r>
          </w:p>
        </w:tc>
        <w:tc>
          <w:tcPr>
            <w:tcW w:w="766" w:type="dxa"/>
            <w:vAlign w:val="top"/>
          </w:tcPr>
          <w:p>
            <w:pPr>
              <w:pStyle w:val="TableText"/>
              <w:ind w:left="292"/>
              <w:spacing w:before="67" w:line="233" w:lineRule="auto"/>
              <w:rPr/>
            </w:pPr>
            <w:r>
              <w:rPr/>
              <w:t>是</w:t>
            </w:r>
          </w:p>
        </w:tc>
        <w:tc>
          <w:tcPr>
            <w:tcW w:w="2952" w:type="dxa"/>
            <w:vAlign w:val="top"/>
          </w:tcPr>
          <w:p>
            <w:pPr>
              <w:pStyle w:val="TableText"/>
              <w:ind w:left="1065"/>
              <w:spacing w:before="68" w:line="229" w:lineRule="auto"/>
              <w:rPr/>
            </w:pPr>
            <w:r>
              <w:rPr>
                <w:spacing w:val="5"/>
              </w:rPr>
              <w:t>测氟化物</w:t>
            </w:r>
          </w:p>
        </w:tc>
      </w:tr>
      <w:tr>
        <w:trPr>
          <w:trHeight w:val="345" w:hRule="atLeast"/>
        </w:trPr>
        <w:tc>
          <w:tcPr>
            <w:tcW w:w="679" w:type="dxa"/>
            <w:vAlign w:val="top"/>
          </w:tcPr>
          <w:p>
            <w:pPr>
              <w:ind w:left="257"/>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14</w:t>
            </w:r>
          </w:p>
        </w:tc>
        <w:tc>
          <w:tcPr>
            <w:tcW w:w="1694" w:type="dxa"/>
            <w:vAlign w:val="top"/>
          </w:tcPr>
          <w:p>
            <w:pPr>
              <w:pStyle w:val="TableText"/>
              <w:ind w:left="545"/>
              <w:spacing w:before="68" w:line="231" w:lineRule="auto"/>
              <w:rPr/>
            </w:pPr>
            <w:r>
              <w:rPr>
                <w:spacing w:val="3"/>
              </w:rPr>
              <w:t>氯化氢</w:t>
            </w:r>
          </w:p>
        </w:tc>
        <w:tc>
          <w:tcPr>
            <w:tcW w:w="1959" w:type="dxa"/>
            <w:vAlign w:val="top"/>
          </w:tcPr>
          <w:p>
            <w:pPr>
              <w:pStyle w:val="TableText"/>
              <w:ind w:left="681"/>
              <w:spacing w:before="68" w:line="232" w:lineRule="auto"/>
              <w:rPr/>
            </w:pPr>
            <w:r>
              <w:rPr>
                <w:spacing w:val="3"/>
              </w:rPr>
              <w:t>不调整</w:t>
            </w:r>
          </w:p>
        </w:tc>
        <w:tc>
          <w:tcPr>
            <w:tcW w:w="1104" w:type="dxa"/>
            <w:vAlign w:val="top"/>
          </w:tcPr>
          <w:p>
            <w:pPr>
              <w:pStyle w:val="TableText"/>
              <w:ind w:left="462"/>
              <w:spacing w:before="68" w:line="233" w:lineRule="auto"/>
              <w:rPr/>
            </w:pPr>
            <w:r>
              <w:rPr/>
              <w:t>否</w:t>
            </w:r>
          </w:p>
        </w:tc>
        <w:tc>
          <w:tcPr>
            <w:tcW w:w="812" w:type="dxa"/>
            <w:vAlign w:val="top"/>
          </w:tcPr>
          <w:p>
            <w:pPr>
              <w:pStyle w:val="TableText"/>
              <w:ind w:left="316"/>
              <w:spacing w:before="67" w:line="234" w:lineRule="auto"/>
              <w:rPr/>
            </w:pPr>
            <w:r>
              <w:rPr/>
              <w:t>无</w:t>
            </w:r>
          </w:p>
        </w:tc>
        <w:tc>
          <w:tcPr>
            <w:tcW w:w="766" w:type="dxa"/>
            <w:vAlign w:val="top"/>
          </w:tcPr>
          <w:p>
            <w:pPr>
              <w:pStyle w:val="TableText"/>
              <w:ind w:left="296"/>
              <w:spacing w:before="68" w:line="233" w:lineRule="auto"/>
              <w:rPr/>
            </w:pPr>
            <w:r>
              <w:rPr/>
              <w:t>否</w:t>
            </w:r>
          </w:p>
        </w:tc>
        <w:tc>
          <w:tcPr>
            <w:tcW w:w="2952" w:type="dxa"/>
            <w:vAlign w:val="top"/>
          </w:tcPr>
          <w:p>
            <w:pPr>
              <w:pStyle w:val="TableText"/>
              <w:ind w:left="1253"/>
              <w:spacing w:before="68" w:line="221" w:lineRule="auto"/>
              <w:rPr>
                <w:rFonts w:ascii="Times New Roman" w:hAnsi="Times New Roman" w:eastAsia="Times New Roman" w:cs="Times New Roman"/>
              </w:rPr>
            </w:pPr>
            <w:r>
              <w:rPr>
                <w:spacing w:val="9"/>
              </w:rPr>
              <w:t>测</w:t>
            </w:r>
            <w:r>
              <w:rPr>
                <w:rFonts w:ascii="Times New Roman" w:hAnsi="Times New Roman" w:eastAsia="Times New Roman" w:cs="Times New Roman"/>
              </w:rPr>
              <w:t>pH</w:t>
            </w:r>
          </w:p>
        </w:tc>
      </w:tr>
      <w:tr>
        <w:trPr>
          <w:trHeight w:val="345" w:hRule="atLeast"/>
        </w:trPr>
        <w:tc>
          <w:tcPr>
            <w:tcW w:w="679" w:type="dxa"/>
            <w:vAlign w:val="top"/>
          </w:tcPr>
          <w:p>
            <w:pPr>
              <w:ind w:left="257"/>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1694" w:type="dxa"/>
            <w:vAlign w:val="top"/>
          </w:tcPr>
          <w:p>
            <w:pPr>
              <w:pStyle w:val="TableText"/>
              <w:ind w:left="543"/>
              <w:spacing w:before="68" w:line="230" w:lineRule="auto"/>
              <w:rPr/>
            </w:pPr>
            <w:r>
              <w:rPr>
                <w:spacing w:val="4"/>
              </w:rPr>
              <w:t>六价铬</w:t>
            </w:r>
          </w:p>
        </w:tc>
        <w:tc>
          <w:tcPr>
            <w:tcW w:w="1959" w:type="dxa"/>
            <w:vAlign w:val="top"/>
          </w:tcPr>
          <w:p>
            <w:pPr>
              <w:pStyle w:val="TableText"/>
              <w:ind w:left="681"/>
              <w:spacing w:before="68" w:line="232" w:lineRule="auto"/>
              <w:rPr/>
            </w:pPr>
            <w:r>
              <w:rPr>
                <w:spacing w:val="3"/>
              </w:rPr>
              <w:t>不调整</w:t>
            </w:r>
          </w:p>
        </w:tc>
        <w:tc>
          <w:tcPr>
            <w:tcW w:w="1104" w:type="dxa"/>
            <w:vAlign w:val="top"/>
          </w:tcPr>
          <w:p>
            <w:pPr>
              <w:pStyle w:val="TableText"/>
              <w:ind w:left="458"/>
              <w:spacing w:before="68" w:line="233" w:lineRule="auto"/>
              <w:rPr/>
            </w:pPr>
            <w:r>
              <w:rPr/>
              <w:t>是</w:t>
            </w:r>
          </w:p>
        </w:tc>
        <w:tc>
          <w:tcPr>
            <w:tcW w:w="812" w:type="dxa"/>
            <w:vAlign w:val="top"/>
          </w:tcPr>
          <w:p>
            <w:pPr>
              <w:pStyle w:val="TableText"/>
              <w:ind w:left="311"/>
              <w:spacing w:before="68" w:line="231" w:lineRule="auto"/>
              <w:rPr/>
            </w:pPr>
            <w:r>
              <w:rPr/>
              <w:t>有</w:t>
            </w:r>
          </w:p>
        </w:tc>
        <w:tc>
          <w:tcPr>
            <w:tcW w:w="766" w:type="dxa"/>
            <w:vAlign w:val="top"/>
          </w:tcPr>
          <w:p>
            <w:pPr>
              <w:pStyle w:val="TableText"/>
              <w:ind w:left="292"/>
              <w:spacing w:before="68" w:line="233" w:lineRule="auto"/>
              <w:rPr/>
            </w:pPr>
            <w:r>
              <w:rPr/>
              <w:t>是</w:t>
            </w:r>
          </w:p>
        </w:tc>
        <w:tc>
          <w:tcPr>
            <w:tcW w:w="2952" w:type="dxa"/>
            <w:vAlign w:val="top"/>
          </w:tcPr>
          <w:p>
            <w:pPr>
              <w:ind w:left="1443"/>
              <w:spacing w:before="10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679" w:type="dxa"/>
            <w:vAlign w:val="top"/>
          </w:tcPr>
          <w:p>
            <w:pPr>
              <w:ind w:left="257"/>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16</w:t>
            </w:r>
          </w:p>
        </w:tc>
        <w:tc>
          <w:tcPr>
            <w:tcW w:w="1694" w:type="dxa"/>
            <w:vAlign w:val="top"/>
          </w:tcPr>
          <w:p>
            <w:pPr>
              <w:pStyle w:val="TableText"/>
              <w:ind w:left="751"/>
              <w:spacing w:before="69" w:line="230" w:lineRule="auto"/>
              <w:rPr/>
            </w:pPr>
            <w:r>
              <w:rPr/>
              <w:t>铬</w:t>
            </w:r>
          </w:p>
        </w:tc>
        <w:tc>
          <w:tcPr>
            <w:tcW w:w="1959" w:type="dxa"/>
            <w:vAlign w:val="top"/>
          </w:tcPr>
          <w:p>
            <w:pPr>
              <w:pStyle w:val="TableText"/>
              <w:ind w:left="681"/>
              <w:spacing w:before="69" w:line="232" w:lineRule="auto"/>
              <w:rPr/>
            </w:pPr>
            <w:r>
              <w:rPr>
                <w:spacing w:val="3"/>
              </w:rPr>
              <w:t>不调整</w:t>
            </w:r>
          </w:p>
        </w:tc>
        <w:tc>
          <w:tcPr>
            <w:tcW w:w="1104" w:type="dxa"/>
            <w:vAlign w:val="top"/>
          </w:tcPr>
          <w:p>
            <w:pPr>
              <w:pStyle w:val="TableText"/>
              <w:ind w:left="462"/>
              <w:spacing w:before="69" w:line="233" w:lineRule="auto"/>
              <w:rPr/>
            </w:pPr>
            <w:r>
              <w:rPr/>
              <w:t>否</w:t>
            </w:r>
          </w:p>
        </w:tc>
        <w:tc>
          <w:tcPr>
            <w:tcW w:w="812" w:type="dxa"/>
            <w:vAlign w:val="top"/>
          </w:tcPr>
          <w:p>
            <w:pPr>
              <w:pStyle w:val="TableText"/>
              <w:ind w:left="311"/>
              <w:spacing w:before="68" w:line="231" w:lineRule="auto"/>
              <w:rPr/>
            </w:pPr>
            <w:r>
              <w:rPr/>
              <w:t>有</w:t>
            </w:r>
          </w:p>
        </w:tc>
        <w:tc>
          <w:tcPr>
            <w:tcW w:w="766" w:type="dxa"/>
            <w:vAlign w:val="top"/>
          </w:tcPr>
          <w:p>
            <w:pPr>
              <w:pStyle w:val="TableText"/>
              <w:ind w:left="292"/>
              <w:spacing w:before="69" w:line="233" w:lineRule="auto"/>
              <w:rPr/>
            </w:pPr>
            <w:r>
              <w:rPr/>
              <w:t>是</w:t>
            </w:r>
          </w:p>
        </w:tc>
        <w:tc>
          <w:tcPr>
            <w:tcW w:w="2952" w:type="dxa"/>
            <w:vAlign w:val="top"/>
          </w:tcPr>
          <w:p>
            <w:pPr>
              <w:ind w:left="1443"/>
              <w:spacing w:before="1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679" w:type="dxa"/>
            <w:vAlign w:val="top"/>
          </w:tcPr>
          <w:p>
            <w:pPr>
              <w:ind w:left="257"/>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17</w:t>
            </w:r>
          </w:p>
        </w:tc>
        <w:tc>
          <w:tcPr>
            <w:tcW w:w="1694" w:type="dxa"/>
            <w:vAlign w:val="top"/>
          </w:tcPr>
          <w:p>
            <w:pPr>
              <w:pStyle w:val="TableText"/>
              <w:ind w:left="548"/>
              <w:spacing w:before="68" w:line="232" w:lineRule="auto"/>
              <w:rPr/>
            </w:pPr>
            <w:r>
              <w:rPr>
                <w:spacing w:val="2"/>
              </w:rPr>
              <w:t>二噁英</w:t>
            </w:r>
          </w:p>
        </w:tc>
        <w:tc>
          <w:tcPr>
            <w:tcW w:w="1959" w:type="dxa"/>
            <w:vAlign w:val="top"/>
          </w:tcPr>
          <w:p>
            <w:pPr>
              <w:pStyle w:val="TableText"/>
              <w:ind w:left="681"/>
              <w:spacing w:before="69" w:line="232" w:lineRule="auto"/>
              <w:rPr/>
            </w:pPr>
            <w:r>
              <w:rPr>
                <w:spacing w:val="3"/>
              </w:rPr>
              <w:t>不调整</w:t>
            </w:r>
          </w:p>
        </w:tc>
        <w:tc>
          <w:tcPr>
            <w:tcW w:w="1104" w:type="dxa"/>
            <w:vAlign w:val="top"/>
          </w:tcPr>
          <w:p>
            <w:pPr>
              <w:pStyle w:val="TableText"/>
              <w:ind w:left="462"/>
              <w:spacing w:before="69" w:line="233" w:lineRule="auto"/>
              <w:rPr/>
            </w:pPr>
            <w:r>
              <w:rPr/>
              <w:t>否</w:t>
            </w:r>
          </w:p>
        </w:tc>
        <w:tc>
          <w:tcPr>
            <w:tcW w:w="812" w:type="dxa"/>
            <w:vAlign w:val="top"/>
          </w:tcPr>
          <w:p>
            <w:pPr>
              <w:pStyle w:val="TableText"/>
              <w:ind w:left="311"/>
              <w:spacing w:before="69" w:line="231" w:lineRule="auto"/>
              <w:rPr/>
            </w:pPr>
            <w:r>
              <w:rPr/>
              <w:t>有</w:t>
            </w:r>
          </w:p>
        </w:tc>
        <w:tc>
          <w:tcPr>
            <w:tcW w:w="766" w:type="dxa"/>
            <w:vAlign w:val="top"/>
          </w:tcPr>
          <w:p>
            <w:pPr>
              <w:pStyle w:val="TableText"/>
              <w:ind w:left="292"/>
              <w:spacing w:before="69" w:line="233" w:lineRule="auto"/>
              <w:rPr/>
            </w:pPr>
            <w:r>
              <w:rPr/>
              <w:t>是</w:t>
            </w:r>
          </w:p>
        </w:tc>
        <w:tc>
          <w:tcPr>
            <w:tcW w:w="2952" w:type="dxa"/>
            <w:vAlign w:val="top"/>
          </w:tcPr>
          <w:p>
            <w:pPr>
              <w:ind w:left="1443"/>
              <w:spacing w:before="1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9" w:hRule="atLeast"/>
        </w:trPr>
        <w:tc>
          <w:tcPr>
            <w:tcW w:w="679" w:type="dxa"/>
            <w:vAlign w:val="top"/>
          </w:tcPr>
          <w:p>
            <w:pPr>
              <w:ind w:left="257"/>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18</w:t>
            </w:r>
          </w:p>
        </w:tc>
        <w:tc>
          <w:tcPr>
            <w:tcW w:w="1694" w:type="dxa"/>
            <w:vAlign w:val="top"/>
          </w:tcPr>
          <w:p>
            <w:pPr>
              <w:pStyle w:val="TableText"/>
              <w:ind w:left="758"/>
              <w:spacing w:before="67" w:line="234" w:lineRule="auto"/>
              <w:rPr/>
            </w:pPr>
            <w:r>
              <w:rPr/>
              <w:t>氨</w:t>
            </w:r>
          </w:p>
        </w:tc>
        <w:tc>
          <w:tcPr>
            <w:tcW w:w="1959" w:type="dxa"/>
            <w:vAlign w:val="top"/>
          </w:tcPr>
          <w:p>
            <w:pPr>
              <w:pStyle w:val="TableText"/>
              <w:ind w:left="786"/>
              <w:spacing w:before="67" w:line="231" w:lineRule="auto"/>
              <w:rPr/>
            </w:pPr>
            <w:r>
              <w:rPr>
                <w:spacing w:val="-2"/>
              </w:rPr>
              <w:t>去掉</w:t>
            </w:r>
          </w:p>
        </w:tc>
        <w:tc>
          <w:tcPr>
            <w:tcW w:w="1104" w:type="dxa"/>
            <w:vAlign w:val="top"/>
          </w:tcPr>
          <w:p>
            <w:pPr>
              <w:pStyle w:val="TableText"/>
              <w:ind w:left="462"/>
              <w:spacing w:before="67" w:line="233" w:lineRule="auto"/>
              <w:rPr/>
            </w:pPr>
            <w:r>
              <w:rPr/>
              <w:t>否</w:t>
            </w:r>
          </w:p>
        </w:tc>
        <w:tc>
          <w:tcPr>
            <w:tcW w:w="812" w:type="dxa"/>
            <w:vAlign w:val="top"/>
          </w:tcPr>
          <w:p>
            <w:pPr>
              <w:pStyle w:val="TableText"/>
              <w:ind w:left="316"/>
              <w:spacing w:before="67" w:line="234" w:lineRule="auto"/>
              <w:rPr/>
            </w:pPr>
            <w:r>
              <w:rPr/>
              <w:t>无</w:t>
            </w:r>
          </w:p>
        </w:tc>
        <w:tc>
          <w:tcPr>
            <w:tcW w:w="766" w:type="dxa"/>
            <w:vAlign w:val="top"/>
          </w:tcPr>
          <w:p>
            <w:pPr>
              <w:pStyle w:val="TableText"/>
              <w:ind w:left="296"/>
              <w:spacing w:before="67" w:line="233" w:lineRule="auto"/>
              <w:rPr/>
            </w:pPr>
            <w:r>
              <w:rPr/>
              <w:t>否</w:t>
            </w:r>
          </w:p>
        </w:tc>
        <w:tc>
          <w:tcPr>
            <w:tcW w:w="2952" w:type="dxa"/>
            <w:vAlign w:val="top"/>
          </w:tcPr>
          <w:p>
            <w:pPr>
              <w:pStyle w:val="TableText"/>
              <w:ind w:left="228"/>
              <w:spacing w:before="67" w:line="229" w:lineRule="auto"/>
              <w:rPr/>
            </w:pPr>
            <w:r>
              <w:rPr>
                <w:spacing w:val="8"/>
              </w:rPr>
              <w:t>毒性分值较低，无测试方法</w:t>
            </w:r>
          </w:p>
        </w:tc>
      </w:tr>
    </w:tbl>
    <w:p>
      <w:pPr>
        <w:rPr>
          <w:rFonts w:ascii="Arial"/>
          <w:sz w:val="21"/>
        </w:rPr>
      </w:pPr>
      <w:r/>
    </w:p>
    <w:p>
      <w:pPr>
        <w:sectPr>
          <w:headerReference w:type="default" r:id="rId42"/>
          <w:footerReference w:type="default" r:id="rId107"/>
          <w:pgSz w:w="11906" w:h="16839"/>
          <w:pgMar w:top="1139" w:right="967" w:bottom="1252" w:left="967" w:header="831" w:footer="1090" w:gutter="0"/>
        </w:sectPr>
        <w:rPr>
          <w:rFonts w:ascii="Arial" w:hAnsi="Arial" w:eastAsia="Arial" w:cs="Arial"/>
          <w:sz w:val="21"/>
          <w:szCs w:val="21"/>
        </w:rPr>
      </w:pPr>
    </w:p>
    <w:p>
      <w:pPr>
        <w:spacing w:line="378" w:lineRule="auto"/>
        <w:rPr>
          <w:rFonts w:ascii="Arial"/>
          <w:sz w:val="21"/>
        </w:rPr>
      </w:pPr>
      <w:r/>
    </w:p>
    <w:p>
      <w:pPr>
        <w:pStyle w:val="BodyText"/>
        <w:ind w:left="10"/>
        <w:spacing w:before="91" w:line="221" w:lineRule="auto"/>
        <w:outlineLvl w:val="0"/>
        <w:rPr>
          <w:rFonts w:ascii="FangSong" w:hAnsi="FangSong" w:eastAsia="FangSong" w:cs="FangSong"/>
          <w:sz w:val="28"/>
          <w:szCs w:val="28"/>
        </w:rPr>
      </w:pPr>
      <w:bookmarkStart w:name="bookmark20" w:id="24"/>
      <w:bookmarkEnd w:id="24"/>
      <w:r>
        <w:rPr>
          <w:sz w:val="28"/>
          <w:szCs w:val="28"/>
          <w:b/>
          <w:bCs/>
          <w:spacing w:val="-6"/>
        </w:rPr>
        <w:t>6</w:t>
      </w:r>
      <w:r>
        <w:rPr>
          <w:sz w:val="28"/>
          <w:szCs w:val="28"/>
          <w:b/>
          <w:bCs/>
          <w:spacing w:val="14"/>
        </w:rPr>
        <w:t xml:space="preserve">  </w:t>
      </w:r>
      <w:r>
        <w:rPr>
          <w:rFonts w:ascii="FangSong" w:hAnsi="FangSong" w:eastAsia="FangSong" w:cs="FangSong"/>
          <w:sz w:val="28"/>
          <w:szCs w:val="28"/>
          <w:b/>
          <w:bCs/>
          <w:spacing w:val="-6"/>
        </w:rPr>
        <w:t>监测点位布设方案</w:t>
      </w:r>
    </w:p>
    <w:p>
      <w:pPr>
        <w:pStyle w:val="BodyText"/>
        <w:ind w:left="15" w:right="83" w:firstLine="480"/>
        <w:spacing w:before="229" w:line="360" w:lineRule="auto"/>
        <w:jc w:val="both"/>
        <w:rPr>
          <w:rFonts w:ascii="FangSong" w:hAnsi="FangSong" w:eastAsia="FangSong" w:cs="FangSong"/>
          <w:sz w:val="24"/>
          <w:szCs w:val="24"/>
        </w:rPr>
      </w:pPr>
      <w:r>
        <w:rPr>
          <w:rFonts w:ascii="FangSong" w:hAnsi="FangSong" w:eastAsia="FangSong" w:cs="FangSong"/>
          <w:sz w:val="24"/>
          <w:szCs w:val="24"/>
          <w:spacing w:val="-1"/>
        </w:rPr>
        <w:t>根据《工业企业土壤和地下水自行监测技术指南（试行</w:t>
      </w:r>
      <w:r>
        <w:rPr>
          <w:rFonts w:ascii="FangSong" w:hAnsi="FangSong" w:eastAsia="FangSong" w:cs="FangSong"/>
          <w:sz w:val="24"/>
          <w:szCs w:val="24"/>
          <w:spacing w:val="-13"/>
        </w:rPr>
        <w:t>）（</w:t>
      </w:r>
      <w:r>
        <w:rPr>
          <w:sz w:val="24"/>
          <w:szCs w:val="24"/>
          <w:spacing w:val="-1"/>
        </w:rPr>
        <w:t>HJ</w:t>
      </w:r>
      <w:r>
        <w:rPr>
          <w:sz w:val="24"/>
          <w:szCs w:val="24"/>
          <w:spacing w:val="29"/>
          <w:w w:val="101"/>
        </w:rPr>
        <w:t xml:space="preserve"> </w:t>
      </w:r>
      <w:r>
        <w:rPr>
          <w:sz w:val="24"/>
          <w:szCs w:val="24"/>
          <w:spacing w:val="-1"/>
        </w:rPr>
        <w:t>1209-2021</w:t>
      </w:r>
      <w:r>
        <w:rPr>
          <w:rFonts w:ascii="FangSong" w:hAnsi="FangSong" w:eastAsia="FangSong" w:cs="FangSong"/>
          <w:sz w:val="24"/>
          <w:szCs w:val="24"/>
          <w:spacing w:val="-1"/>
        </w:rPr>
        <w:t>）》的要求，监</w:t>
      </w:r>
      <w:r>
        <w:rPr>
          <w:rFonts w:ascii="FangSong" w:hAnsi="FangSong" w:eastAsia="FangSong" w:cs="FangSong"/>
          <w:sz w:val="24"/>
          <w:szCs w:val="24"/>
        </w:rPr>
        <w:t xml:space="preserve"> </w:t>
      </w:r>
      <w:r>
        <w:rPr>
          <w:rFonts w:ascii="FangSong" w:hAnsi="FangSong" w:eastAsia="FangSong" w:cs="FangSong"/>
          <w:sz w:val="24"/>
          <w:szCs w:val="24"/>
          <w:spacing w:val="-3"/>
        </w:rPr>
        <w:t>测点位的布设应遵循不影响企业正常生产且不造成安全隐患与二次污染的原则；点位应尽量接</w:t>
      </w:r>
      <w:r>
        <w:rPr>
          <w:rFonts w:ascii="FangSong" w:hAnsi="FangSong" w:eastAsia="FangSong" w:cs="FangSong"/>
          <w:sz w:val="24"/>
          <w:szCs w:val="24"/>
          <w:spacing w:val="12"/>
        </w:rPr>
        <w:t xml:space="preserve"> </w:t>
      </w:r>
      <w:r>
        <w:rPr>
          <w:rFonts w:ascii="FangSong" w:hAnsi="FangSong" w:eastAsia="FangSong" w:cs="FangSong"/>
          <w:sz w:val="24"/>
          <w:szCs w:val="24"/>
          <w:spacing w:val="-3"/>
        </w:rPr>
        <w:t>近重点单元内存在土壤污染隐患的重点场所或重点设施设备，重点场所或重点设施设备占地面</w:t>
      </w:r>
      <w:r>
        <w:rPr>
          <w:rFonts w:ascii="FangSong" w:hAnsi="FangSong" w:eastAsia="FangSong" w:cs="FangSong"/>
          <w:sz w:val="24"/>
          <w:szCs w:val="24"/>
          <w:spacing w:val="12"/>
        </w:rPr>
        <w:t xml:space="preserve"> </w:t>
      </w:r>
      <w:r>
        <w:rPr>
          <w:rFonts w:ascii="FangSong" w:hAnsi="FangSong" w:eastAsia="FangSong" w:cs="FangSong"/>
          <w:sz w:val="24"/>
          <w:szCs w:val="24"/>
          <w:spacing w:val="-3"/>
        </w:rPr>
        <w:t>积较大时，应尽量接近该场所或设施设备内最有可能受到污染物渗漏、流失、扬散等途径影响</w:t>
      </w:r>
      <w:r>
        <w:rPr>
          <w:rFonts w:ascii="FangSong" w:hAnsi="FangSong" w:eastAsia="FangSong" w:cs="FangSong"/>
          <w:sz w:val="24"/>
          <w:szCs w:val="24"/>
          <w:spacing w:val="12"/>
        </w:rPr>
        <w:t xml:space="preserve"> </w:t>
      </w:r>
      <w:r>
        <w:rPr>
          <w:rFonts w:ascii="FangSong" w:hAnsi="FangSong" w:eastAsia="FangSong" w:cs="FangSong"/>
          <w:sz w:val="24"/>
          <w:szCs w:val="24"/>
          <w:spacing w:val="-3"/>
        </w:rPr>
        <w:t>的隐患点；根据地勘资料，目标采样层无土壤可采或地下水埋藏条件不适宜采样的区域，可不</w:t>
      </w:r>
      <w:r>
        <w:rPr>
          <w:rFonts w:ascii="FangSong" w:hAnsi="FangSong" w:eastAsia="FangSong" w:cs="FangSong"/>
          <w:sz w:val="24"/>
          <w:szCs w:val="24"/>
          <w:spacing w:val="12"/>
        </w:rPr>
        <w:t xml:space="preserve"> </w:t>
      </w:r>
      <w:r>
        <w:rPr>
          <w:rFonts w:ascii="FangSong" w:hAnsi="FangSong" w:eastAsia="FangSong" w:cs="FangSong"/>
          <w:sz w:val="24"/>
          <w:szCs w:val="24"/>
          <w:spacing w:val="-1"/>
        </w:rPr>
        <w:t>进行相应监测，但应在监测报告中提供地勘资料并予以说明。</w:t>
      </w:r>
    </w:p>
    <w:p>
      <w:pPr>
        <w:pStyle w:val="BodyText"/>
        <w:ind w:left="10"/>
        <w:spacing w:before="59" w:line="221" w:lineRule="auto"/>
        <w:outlineLvl w:val="1"/>
        <w:rPr>
          <w:rFonts w:ascii="FangSong" w:hAnsi="FangSong" w:eastAsia="FangSong" w:cs="FangSong"/>
          <w:sz w:val="28"/>
          <w:szCs w:val="28"/>
        </w:rPr>
      </w:pPr>
      <w:bookmarkStart w:name="bookmark21" w:id="25"/>
      <w:bookmarkEnd w:id="25"/>
      <w:r>
        <w:rPr>
          <w:sz w:val="28"/>
          <w:szCs w:val="28"/>
          <w:b/>
          <w:bCs/>
          <w:spacing w:val="-3"/>
        </w:rPr>
        <w:t>6.1  </w:t>
      </w:r>
      <w:r>
        <w:rPr>
          <w:rFonts w:ascii="FangSong" w:hAnsi="FangSong" w:eastAsia="FangSong" w:cs="FangSong"/>
          <w:sz w:val="28"/>
          <w:szCs w:val="28"/>
          <w:b/>
          <w:bCs/>
          <w:spacing w:val="-3"/>
        </w:rPr>
        <w:t>重点单元监测点、监测井布设</w:t>
      </w:r>
    </w:p>
    <w:p>
      <w:pPr>
        <w:pStyle w:val="BodyText"/>
        <w:ind w:left="8"/>
        <w:spacing w:before="230" w:line="220" w:lineRule="auto"/>
        <w:outlineLvl w:val="2"/>
        <w:rPr>
          <w:rFonts w:ascii="FangSong" w:hAnsi="FangSong" w:eastAsia="FangSong" w:cs="FangSong"/>
          <w:sz w:val="24"/>
          <w:szCs w:val="24"/>
        </w:rPr>
      </w:pPr>
      <w:r>
        <w:rPr>
          <w:sz w:val="24"/>
          <w:szCs w:val="24"/>
          <w:b/>
          <w:bCs/>
          <w:spacing w:val="-2"/>
        </w:rPr>
        <w:t>6.1.1  </w:t>
      </w:r>
      <w:r>
        <w:rPr>
          <w:rFonts w:ascii="FangSong" w:hAnsi="FangSong" w:eastAsia="FangSong" w:cs="FangSong"/>
          <w:sz w:val="24"/>
          <w:szCs w:val="24"/>
          <w:b/>
          <w:bCs/>
          <w:spacing w:val="-2"/>
        </w:rPr>
        <w:t>土壤监测点位布设</w:t>
      </w:r>
    </w:p>
    <w:p>
      <w:pPr>
        <w:pStyle w:val="BodyText"/>
        <w:ind w:left="20" w:right="140" w:firstLine="479"/>
        <w:spacing w:before="182" w:line="360" w:lineRule="auto"/>
        <w:rPr>
          <w:rFonts w:ascii="FangSong" w:hAnsi="FangSong" w:eastAsia="FangSong" w:cs="FangSong"/>
          <w:sz w:val="24"/>
          <w:szCs w:val="24"/>
        </w:rPr>
      </w:pPr>
      <w:r>
        <w:rPr>
          <w:rFonts w:ascii="FangSong" w:hAnsi="FangSong" w:eastAsia="FangSong" w:cs="FangSong"/>
          <w:sz w:val="24"/>
          <w:szCs w:val="24"/>
          <w:spacing w:val="-1"/>
        </w:rPr>
        <w:t>一类单元涉及的每个隐蔽性重点设施设备周边原则上均应布</w:t>
      </w:r>
      <w:r>
        <w:rPr>
          <w:rFonts w:ascii="FangSong" w:hAnsi="FangSong" w:eastAsia="FangSong" w:cs="FangSong"/>
          <w:sz w:val="24"/>
          <w:szCs w:val="24"/>
          <w:spacing w:val="-2"/>
        </w:rPr>
        <w:t>设至少</w:t>
      </w:r>
      <w:r>
        <w:rPr>
          <w:sz w:val="24"/>
          <w:szCs w:val="24"/>
          <w:spacing w:val="-2"/>
        </w:rPr>
        <w:t>1</w:t>
      </w:r>
      <w:r>
        <w:rPr>
          <w:rFonts w:ascii="FangSong" w:hAnsi="FangSong" w:eastAsia="FangSong" w:cs="FangSong"/>
          <w:sz w:val="24"/>
          <w:szCs w:val="24"/>
          <w:spacing w:val="-2"/>
        </w:rPr>
        <w:t>个深层土壤监测点，</w:t>
      </w:r>
      <w:r>
        <w:rPr>
          <w:rFonts w:ascii="FangSong" w:hAnsi="FangSong" w:eastAsia="FangSong" w:cs="FangSong"/>
          <w:sz w:val="24"/>
          <w:szCs w:val="24"/>
        </w:rPr>
        <w:t xml:space="preserve"> </w:t>
      </w:r>
      <w:r>
        <w:rPr>
          <w:rFonts w:ascii="FangSong" w:hAnsi="FangSong" w:eastAsia="FangSong" w:cs="FangSong"/>
          <w:sz w:val="24"/>
          <w:szCs w:val="24"/>
          <w:spacing w:val="-1"/>
        </w:rPr>
        <w:t>单元内部或周边还应布设至少</w:t>
      </w:r>
      <w:r>
        <w:rPr>
          <w:sz w:val="24"/>
          <w:szCs w:val="24"/>
          <w:spacing w:val="-1"/>
        </w:rPr>
        <w:t>1</w:t>
      </w:r>
      <w:r>
        <w:rPr>
          <w:rFonts w:ascii="FangSong" w:hAnsi="FangSong" w:eastAsia="FangSong" w:cs="FangSong"/>
          <w:sz w:val="24"/>
          <w:szCs w:val="24"/>
          <w:spacing w:val="-1"/>
        </w:rPr>
        <w:t>个表层土壤监测点。</w:t>
      </w:r>
    </w:p>
    <w:p>
      <w:pPr>
        <w:pStyle w:val="BodyText"/>
        <w:ind w:left="17" w:right="83" w:firstLine="485"/>
        <w:spacing w:line="360" w:lineRule="auto"/>
        <w:jc w:val="both"/>
        <w:rPr>
          <w:rFonts w:ascii="FangSong" w:hAnsi="FangSong" w:eastAsia="FangSong" w:cs="FangSong"/>
          <w:sz w:val="24"/>
          <w:szCs w:val="24"/>
        </w:rPr>
      </w:pPr>
      <w:r>
        <w:rPr>
          <w:rFonts w:ascii="FangSong" w:hAnsi="FangSong" w:eastAsia="FangSong" w:cs="FangSong"/>
          <w:sz w:val="24"/>
          <w:szCs w:val="24"/>
        </w:rPr>
        <w:t>二类单元内部或周边原则上均应布设至少</w:t>
      </w:r>
      <w:r>
        <w:rPr>
          <w:sz w:val="24"/>
          <w:szCs w:val="24"/>
        </w:rPr>
        <w:t>1</w:t>
      </w:r>
      <w:r>
        <w:rPr>
          <w:rFonts w:ascii="FangSong" w:hAnsi="FangSong" w:eastAsia="FangSong" w:cs="FangSong"/>
          <w:sz w:val="24"/>
          <w:szCs w:val="24"/>
        </w:rPr>
        <w:t>个表层土壤监测点，具体位置及数量可根据单</w:t>
      </w:r>
      <w:r>
        <w:rPr>
          <w:rFonts w:ascii="FangSong" w:hAnsi="FangSong" w:eastAsia="FangSong" w:cs="FangSong"/>
          <w:sz w:val="24"/>
          <w:szCs w:val="24"/>
        </w:rPr>
        <w:t xml:space="preserve"> </w:t>
      </w:r>
      <w:r>
        <w:rPr>
          <w:rFonts w:ascii="FangSong" w:hAnsi="FangSong" w:eastAsia="FangSong" w:cs="FangSong"/>
          <w:sz w:val="24"/>
          <w:szCs w:val="24"/>
          <w:spacing w:val="-3"/>
        </w:rPr>
        <w:t>元大小或单元内重点场所或重点设施设备的数量及分布等实际情况适当调整。监测点原则上应</w:t>
      </w:r>
      <w:r>
        <w:rPr>
          <w:rFonts w:ascii="FangSong" w:hAnsi="FangSong" w:eastAsia="FangSong" w:cs="FangSong"/>
          <w:sz w:val="24"/>
          <w:szCs w:val="24"/>
          <w:spacing w:val="10"/>
        </w:rPr>
        <w:t xml:space="preserve"> </w:t>
      </w:r>
      <w:r>
        <w:rPr>
          <w:rFonts w:ascii="FangSong" w:hAnsi="FangSong" w:eastAsia="FangSong" w:cs="FangSong"/>
          <w:sz w:val="24"/>
          <w:szCs w:val="24"/>
          <w:spacing w:val="-3"/>
        </w:rPr>
        <w:t>布设在土壤裸露处，并兼顾考虑设置在雨水易于汇流和积聚的区域，污染途径包含扬散的单元</w:t>
      </w:r>
      <w:r>
        <w:rPr>
          <w:rFonts w:ascii="FangSong" w:hAnsi="FangSong" w:eastAsia="FangSong" w:cs="FangSong"/>
          <w:sz w:val="24"/>
          <w:szCs w:val="24"/>
          <w:spacing w:val="10"/>
        </w:rPr>
        <w:t xml:space="preserve"> </w:t>
      </w:r>
      <w:r>
        <w:rPr>
          <w:rFonts w:ascii="FangSong" w:hAnsi="FangSong" w:eastAsia="FangSong" w:cs="FangSong"/>
          <w:sz w:val="24"/>
          <w:szCs w:val="24"/>
          <w:spacing w:val="-1"/>
        </w:rPr>
        <w:t>还应结合污染物主要沉降位置确定点位。</w:t>
      </w:r>
    </w:p>
    <w:p>
      <w:pPr>
        <w:pStyle w:val="BodyText"/>
        <w:ind w:left="8"/>
        <w:spacing w:line="220" w:lineRule="auto"/>
        <w:outlineLvl w:val="2"/>
        <w:rPr>
          <w:rFonts w:ascii="FangSong" w:hAnsi="FangSong" w:eastAsia="FangSong" w:cs="FangSong"/>
          <w:sz w:val="24"/>
          <w:szCs w:val="24"/>
        </w:rPr>
      </w:pPr>
      <w:r>
        <w:rPr>
          <w:sz w:val="24"/>
          <w:szCs w:val="24"/>
          <w:b/>
          <w:bCs/>
          <w:spacing w:val="-2"/>
        </w:rPr>
        <w:t>6.1.2  </w:t>
      </w:r>
      <w:r>
        <w:rPr>
          <w:rFonts w:ascii="FangSong" w:hAnsi="FangSong" w:eastAsia="FangSong" w:cs="FangSong"/>
          <w:sz w:val="24"/>
          <w:szCs w:val="24"/>
          <w:b/>
          <w:bCs/>
          <w:spacing w:val="-2"/>
        </w:rPr>
        <w:t>地下水监测点位布设</w:t>
      </w:r>
    </w:p>
    <w:p>
      <w:pPr>
        <w:pStyle w:val="BodyText"/>
        <w:ind w:left="20" w:right="32" w:firstLine="476"/>
        <w:spacing w:before="182" w:line="360" w:lineRule="auto"/>
        <w:jc w:val="both"/>
        <w:rPr>
          <w:rFonts w:ascii="FangSong" w:hAnsi="FangSong" w:eastAsia="FangSong" w:cs="FangSong"/>
          <w:sz w:val="24"/>
          <w:szCs w:val="24"/>
        </w:rPr>
      </w:pPr>
      <w:r>
        <w:rPr>
          <w:rFonts w:ascii="FangSong" w:hAnsi="FangSong" w:eastAsia="FangSong" w:cs="FangSong"/>
          <w:sz w:val="24"/>
          <w:szCs w:val="24"/>
        </w:rPr>
        <w:t>企业原则上应布设至少</w:t>
      </w:r>
      <w:r>
        <w:rPr>
          <w:sz w:val="24"/>
          <w:szCs w:val="24"/>
        </w:rPr>
        <w:t>1</w:t>
      </w:r>
      <w:r>
        <w:rPr>
          <w:rFonts w:ascii="FangSong" w:hAnsi="FangSong" w:eastAsia="FangSong" w:cs="FangSong"/>
          <w:sz w:val="24"/>
          <w:szCs w:val="24"/>
        </w:rPr>
        <w:t>个地下水对照点。对照点布设在企业用地地下水流向上游处，与</w:t>
      </w:r>
      <w:r>
        <w:rPr>
          <w:rFonts w:ascii="FangSong" w:hAnsi="FangSong" w:eastAsia="FangSong" w:cs="FangSong"/>
          <w:sz w:val="24"/>
          <w:szCs w:val="24"/>
          <w:spacing w:val="8"/>
        </w:rPr>
        <w:t xml:space="preserve"> </w:t>
      </w:r>
      <w:r>
        <w:rPr>
          <w:rFonts w:ascii="FangSong" w:hAnsi="FangSong" w:eastAsia="FangSong" w:cs="FangSong"/>
          <w:sz w:val="24"/>
          <w:szCs w:val="24"/>
          <w:spacing w:val="-2"/>
        </w:rPr>
        <w:t>污染物监测井设置在同一含水层，并应尽量保证不受自行监测企业生产过程影响。临近河流、</w:t>
      </w:r>
      <w:r>
        <w:rPr>
          <w:rFonts w:ascii="FangSong" w:hAnsi="FangSong" w:eastAsia="FangSong" w:cs="FangSong"/>
          <w:sz w:val="24"/>
          <w:szCs w:val="24"/>
          <w:spacing w:val="16"/>
        </w:rPr>
        <w:t xml:space="preserve"> </w:t>
      </w:r>
      <w:r>
        <w:rPr>
          <w:rFonts w:ascii="FangSong" w:hAnsi="FangSong" w:eastAsia="FangSong" w:cs="FangSong"/>
          <w:sz w:val="24"/>
          <w:szCs w:val="24"/>
          <w:spacing w:val="-1"/>
        </w:rPr>
        <w:t>湖泊和海洋等地下水流向可能发生季节性变化的区域可根据流向变化适当增加对照点数量。</w:t>
      </w:r>
    </w:p>
    <w:p>
      <w:pPr>
        <w:pStyle w:val="BodyText"/>
        <w:ind w:left="15" w:firstLine="489"/>
        <w:spacing w:line="360" w:lineRule="auto"/>
        <w:jc w:val="both"/>
        <w:rPr>
          <w:rFonts w:ascii="FangSong" w:hAnsi="FangSong" w:eastAsia="FangSong" w:cs="FangSong"/>
          <w:sz w:val="24"/>
          <w:szCs w:val="24"/>
        </w:rPr>
      </w:pPr>
      <w:r>
        <w:rPr>
          <w:rFonts w:ascii="FangSong" w:hAnsi="FangSong" w:eastAsia="FangSong" w:cs="FangSong"/>
          <w:sz w:val="24"/>
          <w:szCs w:val="24"/>
        </w:rPr>
        <w:t>每个重点单元对应的地下水监测井不应少于</w:t>
      </w:r>
      <w:r>
        <w:rPr>
          <w:sz w:val="24"/>
          <w:szCs w:val="24"/>
        </w:rPr>
        <w:t>1</w:t>
      </w:r>
      <w:r>
        <w:rPr>
          <w:rFonts w:ascii="FangSong" w:hAnsi="FangSong" w:eastAsia="FangSong" w:cs="FangSong"/>
          <w:sz w:val="24"/>
          <w:szCs w:val="24"/>
        </w:rPr>
        <w:t>个。每个企业地下水监测井（含对照点</w:t>
      </w:r>
      <w:r>
        <w:rPr>
          <w:rFonts w:ascii="FangSong" w:hAnsi="FangSong" w:eastAsia="FangSong" w:cs="FangSong"/>
          <w:sz w:val="24"/>
          <w:szCs w:val="24"/>
          <w:spacing w:val="-1"/>
        </w:rPr>
        <w:t>）总</w:t>
      </w:r>
      <w:r>
        <w:rPr>
          <w:rFonts w:ascii="FangSong" w:hAnsi="FangSong" w:eastAsia="FangSong" w:cs="FangSong"/>
          <w:sz w:val="24"/>
          <w:szCs w:val="24"/>
        </w:rPr>
        <w:t xml:space="preserve"> </w:t>
      </w:r>
      <w:r>
        <w:rPr>
          <w:rFonts w:ascii="FangSong" w:hAnsi="FangSong" w:eastAsia="FangSong" w:cs="FangSong"/>
          <w:sz w:val="24"/>
          <w:szCs w:val="24"/>
        </w:rPr>
        <w:t>数原则上不应少于</w:t>
      </w:r>
      <w:r>
        <w:rPr>
          <w:sz w:val="24"/>
          <w:szCs w:val="24"/>
        </w:rPr>
        <w:t>3</w:t>
      </w:r>
      <w:r>
        <w:rPr>
          <w:rFonts w:ascii="FangSong" w:hAnsi="FangSong" w:eastAsia="FangSong" w:cs="FangSong"/>
          <w:sz w:val="24"/>
          <w:szCs w:val="24"/>
        </w:rPr>
        <w:t>个，且尽量避免在同一直线上。应根据重点单元内重点场所或重点设施设</w:t>
      </w:r>
      <w:r>
        <w:rPr>
          <w:rFonts w:ascii="FangSong" w:hAnsi="FangSong" w:eastAsia="FangSong" w:cs="FangSong"/>
          <w:sz w:val="24"/>
          <w:szCs w:val="24"/>
          <w:spacing w:val="7"/>
        </w:rPr>
        <w:t xml:space="preserve"> </w:t>
      </w:r>
      <w:r>
        <w:rPr>
          <w:rFonts w:ascii="FangSong" w:hAnsi="FangSong" w:eastAsia="FangSong" w:cs="FangSong"/>
          <w:sz w:val="24"/>
          <w:szCs w:val="24"/>
          <w:spacing w:val="-3"/>
        </w:rPr>
        <w:t>备的数量及分布确定该单元对应地下水监测井的位置和数量，监测井应布设在污染物运移路径</w:t>
      </w:r>
      <w:r>
        <w:rPr>
          <w:rFonts w:ascii="FangSong" w:hAnsi="FangSong" w:eastAsia="FangSong" w:cs="FangSong"/>
          <w:sz w:val="24"/>
          <w:szCs w:val="24"/>
          <w:spacing w:val="13"/>
        </w:rPr>
        <w:t xml:space="preserve"> </w:t>
      </w:r>
      <w:r>
        <w:rPr>
          <w:rFonts w:ascii="FangSong" w:hAnsi="FangSong" w:eastAsia="FangSong" w:cs="FangSong"/>
          <w:sz w:val="24"/>
          <w:szCs w:val="24"/>
          <w:spacing w:val="-3"/>
        </w:rPr>
        <w:t>的下游方向，原则上井的位置和数量应能捕捉到该单元内所有重点场所或重点设施设备可能产</w:t>
      </w:r>
      <w:r>
        <w:rPr>
          <w:rFonts w:ascii="FangSong" w:hAnsi="FangSong" w:eastAsia="FangSong" w:cs="FangSong"/>
          <w:sz w:val="24"/>
          <w:szCs w:val="24"/>
          <w:spacing w:val="13"/>
        </w:rPr>
        <w:t xml:space="preserve"> </w:t>
      </w:r>
      <w:r>
        <w:rPr>
          <w:rFonts w:ascii="FangSong" w:hAnsi="FangSong" w:eastAsia="FangSong" w:cs="FangSong"/>
          <w:sz w:val="24"/>
          <w:szCs w:val="24"/>
          <w:spacing w:val="-1"/>
        </w:rPr>
        <w:t>生的地下水污染。地面已采取了符合</w:t>
      </w:r>
      <w:r>
        <w:rPr>
          <w:sz w:val="24"/>
          <w:szCs w:val="24"/>
          <w:spacing w:val="-1"/>
        </w:rPr>
        <w:t>HJ 610</w:t>
      </w:r>
      <w:r>
        <w:rPr>
          <w:rFonts w:ascii="FangSong" w:hAnsi="FangSong" w:eastAsia="FangSong" w:cs="FangSong"/>
          <w:sz w:val="24"/>
          <w:szCs w:val="24"/>
          <w:spacing w:val="-1"/>
        </w:rPr>
        <w:t>和</w:t>
      </w:r>
      <w:r>
        <w:rPr>
          <w:sz w:val="24"/>
          <w:szCs w:val="24"/>
          <w:spacing w:val="-1"/>
        </w:rPr>
        <w:t>HJ 964</w:t>
      </w:r>
      <w:r>
        <w:rPr>
          <w:rFonts w:ascii="FangSong" w:hAnsi="FangSong" w:eastAsia="FangSong" w:cs="FangSong"/>
          <w:sz w:val="24"/>
          <w:szCs w:val="24"/>
          <w:spacing w:val="-1"/>
        </w:rPr>
        <w:t>相关防渗技术要求的重点场所或重点设施</w:t>
      </w:r>
      <w:r>
        <w:rPr>
          <w:rFonts w:ascii="FangSong" w:hAnsi="FangSong" w:eastAsia="FangSong" w:cs="FangSong"/>
          <w:sz w:val="24"/>
          <w:szCs w:val="24"/>
          <w:spacing w:val="3"/>
        </w:rPr>
        <w:t xml:space="preserve"> </w:t>
      </w:r>
      <w:r>
        <w:rPr>
          <w:rFonts w:ascii="FangSong" w:hAnsi="FangSong" w:eastAsia="FangSong" w:cs="FangSong"/>
          <w:sz w:val="24"/>
          <w:szCs w:val="24"/>
        </w:rPr>
        <w:t>设备可适当减少其所在单元内监测井数量，但不得少于</w:t>
      </w:r>
      <w:r>
        <w:rPr>
          <w:sz w:val="24"/>
          <w:szCs w:val="24"/>
        </w:rPr>
        <w:t>1</w:t>
      </w:r>
      <w:r>
        <w:rPr>
          <w:rFonts w:ascii="FangSong" w:hAnsi="FangSong" w:eastAsia="FangSong" w:cs="FangSong"/>
          <w:sz w:val="24"/>
          <w:szCs w:val="24"/>
        </w:rPr>
        <w:t>个监测井。企业或邻近区域内现有的</w:t>
      </w:r>
      <w:r>
        <w:rPr>
          <w:rFonts w:ascii="FangSong" w:hAnsi="FangSong" w:eastAsia="FangSong" w:cs="FangSong"/>
          <w:sz w:val="24"/>
          <w:szCs w:val="24"/>
          <w:spacing w:val="10"/>
        </w:rPr>
        <w:t xml:space="preserve"> </w:t>
      </w:r>
      <w:r>
        <w:rPr>
          <w:rFonts w:ascii="FangSong" w:hAnsi="FangSong" w:eastAsia="FangSong" w:cs="FangSong"/>
          <w:sz w:val="24"/>
          <w:szCs w:val="24"/>
          <w:spacing w:val="-6"/>
        </w:rPr>
        <w:t>地下水监测井，如果符合本标准及</w:t>
      </w:r>
      <w:r>
        <w:rPr>
          <w:sz w:val="24"/>
          <w:szCs w:val="24"/>
          <w:spacing w:val="-6"/>
        </w:rPr>
        <w:t>HJ</w:t>
      </w:r>
      <w:r>
        <w:rPr>
          <w:sz w:val="24"/>
          <w:szCs w:val="24"/>
          <w:spacing w:val="30"/>
          <w:w w:val="101"/>
        </w:rPr>
        <w:t xml:space="preserve"> </w:t>
      </w:r>
      <w:r>
        <w:rPr>
          <w:sz w:val="24"/>
          <w:szCs w:val="24"/>
          <w:spacing w:val="-6"/>
        </w:rPr>
        <w:t>164</w:t>
      </w:r>
      <w:r>
        <w:rPr>
          <w:rFonts w:ascii="FangSong" w:hAnsi="FangSong" w:eastAsia="FangSong" w:cs="FangSong"/>
          <w:sz w:val="24"/>
          <w:szCs w:val="24"/>
          <w:spacing w:val="-6"/>
        </w:rPr>
        <w:t>的筛选要求，可以作为地下水对照点或污染物监测井。</w:t>
      </w:r>
    </w:p>
    <w:p>
      <w:pPr>
        <w:ind w:left="502"/>
        <w:spacing w:line="220" w:lineRule="auto"/>
        <w:rPr>
          <w:rFonts w:ascii="FangSong" w:hAnsi="FangSong" w:eastAsia="FangSong" w:cs="FangSong"/>
          <w:sz w:val="24"/>
          <w:szCs w:val="24"/>
        </w:rPr>
      </w:pPr>
      <w:r>
        <w:rPr>
          <w:rFonts w:ascii="FangSong" w:hAnsi="FangSong" w:eastAsia="FangSong" w:cs="FangSong"/>
          <w:sz w:val="24"/>
          <w:szCs w:val="24"/>
          <w:spacing w:val="-1"/>
        </w:rPr>
        <w:t>监测井不宜变动，尽量保证地下水监测数据的连续性。</w:t>
      </w:r>
    </w:p>
    <w:p>
      <w:pPr>
        <w:ind w:left="498"/>
        <w:spacing w:before="182" w:line="220" w:lineRule="auto"/>
        <w:rPr>
          <w:rFonts w:ascii="FangSong" w:hAnsi="FangSong" w:eastAsia="FangSong" w:cs="FangSong"/>
          <w:sz w:val="24"/>
          <w:szCs w:val="24"/>
        </w:rPr>
      </w:pPr>
      <w:r>
        <w:rPr>
          <w:rFonts w:ascii="FangSong" w:hAnsi="FangSong" w:eastAsia="FangSong" w:cs="FangSong"/>
          <w:sz w:val="24"/>
          <w:szCs w:val="24"/>
          <w:spacing w:val="-2"/>
        </w:rPr>
        <w:t>综上，监测点布置如下图所示：</w:t>
      </w:r>
    </w:p>
    <w:p>
      <w:pPr>
        <w:spacing w:line="220" w:lineRule="auto"/>
        <w:sectPr>
          <w:headerReference w:type="default" r:id="rId38"/>
          <w:footerReference w:type="default" r:id="rId108"/>
          <w:pgSz w:w="11906" w:h="16839"/>
          <w:pgMar w:top="1139" w:right="996" w:bottom="1252" w:left="1080" w:header="831" w:footer="1090" w:gutter="0"/>
        </w:sectPr>
        <w:rPr>
          <w:rFonts w:ascii="FangSong" w:hAnsi="FangSong" w:eastAsia="FangSong" w:cs="FangSong"/>
          <w:sz w:val="24"/>
          <w:szCs w:val="24"/>
        </w:rPr>
      </w:pPr>
    </w:p>
    <w:p>
      <w:pPr>
        <w:spacing w:line="415" w:lineRule="auto"/>
        <w:rPr>
          <w:rFonts w:ascii="Arial"/>
          <w:sz w:val="21"/>
        </w:rPr>
      </w:pPr>
      <w:r/>
    </w:p>
    <w:p>
      <w:pPr>
        <w:spacing w:line="11292" w:lineRule="exact"/>
        <w:rPr/>
      </w:pPr>
      <w:r>
        <w:rPr>
          <w:position w:val="-225"/>
        </w:rPr>
        <w:drawing>
          <wp:inline distT="0" distB="0" distL="0" distR="0">
            <wp:extent cx="6187440" cy="7170419"/>
            <wp:effectExtent l="0" t="0" r="0" b="0"/>
            <wp:docPr id="84" name="IM 84"/>
            <wp:cNvGraphicFramePr/>
            <a:graphic>
              <a:graphicData uri="http://schemas.openxmlformats.org/drawingml/2006/picture">
                <pic:pic>
                  <pic:nvPicPr>
                    <pic:cNvPr id="84" name="IM 84"/>
                    <pic:cNvPicPr/>
                  </pic:nvPicPr>
                  <pic:blipFill>
                    <a:blip r:embed="rId31"/>
                    <a:stretch>
                      <a:fillRect/>
                    </a:stretch>
                  </pic:blipFill>
                  <pic:spPr>
                    <a:xfrm rot="0">
                      <a:off x="0" y="0"/>
                      <a:ext cx="6187440" cy="7170419"/>
                    </a:xfrm>
                    <a:prstGeom prst="rect">
                      <a:avLst/>
                    </a:prstGeom>
                  </pic:spPr>
                </pic:pic>
              </a:graphicData>
            </a:graphic>
          </wp:inline>
        </w:drawing>
      </w:r>
    </w:p>
    <w:p>
      <w:pPr>
        <w:pStyle w:val="BodyText"/>
        <w:ind w:left="3728"/>
        <w:spacing w:before="248" w:line="220" w:lineRule="auto"/>
        <w:rPr>
          <w:rFonts w:ascii="FangSong" w:hAnsi="FangSong" w:eastAsia="FangSong" w:cs="FangSong"/>
          <w:sz w:val="24"/>
          <w:szCs w:val="24"/>
        </w:rPr>
      </w:pPr>
      <w:r>
        <w:rPr>
          <w:rFonts w:ascii="FangSong" w:hAnsi="FangSong" w:eastAsia="FangSong" w:cs="FangSong"/>
          <w:sz w:val="24"/>
          <w:szCs w:val="24"/>
          <w:b/>
          <w:bCs/>
          <w:spacing w:val="-7"/>
        </w:rPr>
        <w:t>图</w:t>
      </w:r>
      <w:r>
        <w:rPr>
          <w:sz w:val="24"/>
          <w:szCs w:val="24"/>
          <w:b/>
          <w:bCs/>
          <w:spacing w:val="-7"/>
        </w:rPr>
        <w:t>6-1</w:t>
      </w:r>
      <w:r>
        <w:rPr>
          <w:sz w:val="24"/>
          <w:szCs w:val="24"/>
          <w:b/>
          <w:bCs/>
          <w:spacing w:val="11"/>
        </w:rPr>
        <w:t xml:space="preserve">  </w:t>
      </w:r>
      <w:r>
        <w:rPr>
          <w:rFonts w:ascii="FangSong" w:hAnsi="FangSong" w:eastAsia="FangSong" w:cs="FangSong"/>
          <w:sz w:val="24"/>
          <w:szCs w:val="24"/>
          <w:b/>
          <w:bCs/>
          <w:spacing w:val="-7"/>
        </w:rPr>
        <w:t>监测点位布设图</w:t>
      </w:r>
    </w:p>
    <w:p>
      <w:pPr>
        <w:pStyle w:val="BodyText"/>
        <w:ind w:left="10"/>
        <w:spacing w:before="239" w:line="221" w:lineRule="auto"/>
        <w:outlineLvl w:val="1"/>
        <w:rPr>
          <w:rFonts w:ascii="FangSong" w:hAnsi="FangSong" w:eastAsia="FangSong" w:cs="FangSong"/>
          <w:sz w:val="28"/>
          <w:szCs w:val="28"/>
        </w:rPr>
      </w:pPr>
      <w:bookmarkStart w:name="bookmark22" w:id="26"/>
      <w:bookmarkEnd w:id="26"/>
      <w:r>
        <w:rPr>
          <w:sz w:val="28"/>
          <w:szCs w:val="28"/>
          <w:b/>
          <w:bCs/>
          <w:spacing w:val="-2"/>
        </w:rPr>
        <w:t>6.2  </w:t>
      </w:r>
      <w:r>
        <w:rPr>
          <w:rFonts w:ascii="FangSong" w:hAnsi="FangSong" w:eastAsia="FangSong" w:cs="FangSong"/>
          <w:sz w:val="28"/>
          <w:szCs w:val="28"/>
          <w:b/>
          <w:bCs/>
          <w:spacing w:val="-2"/>
        </w:rPr>
        <w:t>各点位布设原因</w:t>
      </w:r>
    </w:p>
    <w:p>
      <w:pPr>
        <w:pStyle w:val="BodyText"/>
        <w:ind w:left="16" w:firstLine="479"/>
        <w:spacing w:before="230" w:line="360" w:lineRule="auto"/>
        <w:rPr>
          <w:rFonts w:ascii="FangSong" w:hAnsi="FangSong" w:eastAsia="FangSong" w:cs="FangSong"/>
          <w:sz w:val="24"/>
          <w:szCs w:val="24"/>
        </w:rPr>
      </w:pPr>
      <w:r>
        <w:rPr>
          <w:rFonts w:ascii="FangSong" w:hAnsi="FangSong" w:eastAsia="FangSong" w:cs="FangSong"/>
          <w:sz w:val="24"/>
          <w:szCs w:val="24"/>
          <w:spacing w:val="-1"/>
        </w:rPr>
        <w:t>根据《工业企业土壤和地下水自行监测技术指南（试行</w:t>
      </w:r>
      <w:r>
        <w:rPr>
          <w:rFonts w:ascii="FangSong" w:hAnsi="FangSong" w:eastAsia="FangSong" w:cs="FangSong"/>
          <w:sz w:val="24"/>
          <w:szCs w:val="24"/>
          <w:spacing w:val="-13"/>
        </w:rPr>
        <w:t>）（</w:t>
      </w:r>
      <w:r>
        <w:rPr>
          <w:sz w:val="24"/>
          <w:szCs w:val="24"/>
          <w:spacing w:val="-1"/>
        </w:rPr>
        <w:t>HJ</w:t>
      </w:r>
      <w:r>
        <w:rPr>
          <w:sz w:val="24"/>
          <w:szCs w:val="24"/>
          <w:spacing w:val="29"/>
          <w:w w:val="101"/>
        </w:rPr>
        <w:t xml:space="preserve"> </w:t>
      </w:r>
      <w:r>
        <w:rPr>
          <w:sz w:val="24"/>
          <w:szCs w:val="24"/>
          <w:spacing w:val="-1"/>
        </w:rPr>
        <w:t>1209-2021</w:t>
      </w:r>
      <w:r>
        <w:rPr>
          <w:rFonts w:ascii="FangSong" w:hAnsi="FangSong" w:eastAsia="FangSong" w:cs="FangSong"/>
          <w:sz w:val="24"/>
          <w:szCs w:val="24"/>
          <w:spacing w:val="-1"/>
        </w:rPr>
        <w:t>）》的要求和现</w:t>
      </w:r>
      <w:r>
        <w:rPr>
          <w:rFonts w:ascii="FangSong" w:hAnsi="FangSong" w:eastAsia="FangSong" w:cs="FangSong"/>
          <w:sz w:val="24"/>
          <w:szCs w:val="24"/>
        </w:rPr>
        <w:t xml:space="preserve"> </w:t>
      </w:r>
      <w:r>
        <w:rPr>
          <w:rFonts w:ascii="FangSong" w:hAnsi="FangSong" w:eastAsia="FangSong" w:cs="FangSong"/>
          <w:sz w:val="24"/>
          <w:szCs w:val="24"/>
          <w:spacing w:val="-1"/>
        </w:rPr>
        <w:t>场调查，本地块布点数量和位置确定如下：</w:t>
      </w:r>
    </w:p>
    <w:p>
      <w:pPr>
        <w:spacing w:line="360" w:lineRule="auto"/>
        <w:sectPr>
          <w:headerReference w:type="default" r:id="rId7"/>
          <w:footerReference w:type="default" r:id="rId109"/>
          <w:pgSz w:w="11906" w:h="16839"/>
          <w:pgMar w:top="1139" w:right="1079" w:bottom="1252" w:left="1080" w:header="831" w:footer="1090" w:gutter="0"/>
        </w:sectPr>
        <w:rPr>
          <w:rFonts w:ascii="FangSong" w:hAnsi="FangSong" w:eastAsia="FangSong" w:cs="FangSong"/>
          <w:sz w:val="24"/>
          <w:szCs w:val="24"/>
        </w:rPr>
      </w:pPr>
    </w:p>
    <w:p>
      <w:pPr>
        <w:spacing w:line="334" w:lineRule="auto"/>
        <w:rPr>
          <w:rFonts w:ascii="Arial"/>
          <w:sz w:val="21"/>
        </w:rPr>
      </w:pPr>
      <w:r/>
    </w:p>
    <w:p>
      <w:pPr>
        <w:pStyle w:val="BodyText"/>
        <w:ind w:left="3629"/>
        <w:spacing w:before="78" w:line="219" w:lineRule="auto"/>
        <w:rPr>
          <w:rFonts w:ascii="FangSong" w:hAnsi="FangSong" w:eastAsia="FangSong" w:cs="FangSong"/>
          <w:sz w:val="24"/>
          <w:szCs w:val="24"/>
        </w:rPr>
      </w:pPr>
      <w:r>
        <w:rPr>
          <w:rFonts w:ascii="FangSong" w:hAnsi="FangSong" w:eastAsia="FangSong" w:cs="FangSong"/>
          <w:sz w:val="24"/>
          <w:szCs w:val="24"/>
          <w:b/>
          <w:bCs/>
          <w:spacing w:val="-3"/>
        </w:rPr>
        <w:t>表</w:t>
      </w:r>
      <w:r>
        <w:rPr>
          <w:sz w:val="24"/>
          <w:szCs w:val="24"/>
          <w:b/>
          <w:bCs/>
          <w:spacing w:val="-3"/>
        </w:rPr>
        <w:t>6-1    </w:t>
      </w:r>
      <w:r>
        <w:rPr>
          <w:rFonts w:ascii="FangSong" w:hAnsi="FangSong" w:eastAsia="FangSong" w:cs="FangSong"/>
          <w:sz w:val="24"/>
          <w:szCs w:val="24"/>
          <w:b/>
          <w:bCs/>
          <w:spacing w:val="-3"/>
        </w:rPr>
        <w:t>采样点布置一览表</w:t>
      </w:r>
    </w:p>
    <w:p>
      <w:pPr>
        <w:spacing w:line="68" w:lineRule="exact"/>
        <w:rPr/>
      </w:pPr>
      <w:r/>
    </w:p>
    <w:tbl>
      <w:tblPr>
        <w:tblStyle w:val="TableNormal"/>
        <w:tblW w:w="994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26"/>
        <w:gridCol w:w="1475"/>
        <w:gridCol w:w="2172"/>
        <w:gridCol w:w="1865"/>
        <w:gridCol w:w="3208"/>
      </w:tblGrid>
      <w:tr>
        <w:trPr>
          <w:trHeight w:val="349" w:hRule="atLeast"/>
        </w:trPr>
        <w:tc>
          <w:tcPr>
            <w:tcW w:w="1226" w:type="dxa"/>
            <w:vAlign w:val="top"/>
          </w:tcPr>
          <w:p>
            <w:pPr>
              <w:pStyle w:val="TableText"/>
              <w:ind w:left="209"/>
              <w:spacing w:before="71" w:line="229" w:lineRule="auto"/>
              <w:rPr/>
            </w:pPr>
            <w:r>
              <w:rPr>
                <w:b/>
                <w:bCs/>
                <w:spacing w:val="3"/>
              </w:rPr>
              <w:t>重点单元</w:t>
            </w:r>
          </w:p>
        </w:tc>
        <w:tc>
          <w:tcPr>
            <w:tcW w:w="1475" w:type="dxa"/>
            <w:vAlign w:val="top"/>
          </w:tcPr>
          <w:p>
            <w:pPr>
              <w:pStyle w:val="TableText"/>
              <w:ind w:left="327"/>
              <w:spacing w:before="70" w:line="229" w:lineRule="auto"/>
              <w:rPr/>
            </w:pPr>
            <w:r>
              <w:rPr>
                <w:b/>
                <w:bCs/>
                <w:spacing w:val="4"/>
              </w:rPr>
              <w:t>布点编号</w:t>
            </w:r>
          </w:p>
        </w:tc>
        <w:tc>
          <w:tcPr>
            <w:tcW w:w="2172" w:type="dxa"/>
            <w:vAlign w:val="top"/>
          </w:tcPr>
          <w:p>
            <w:pPr>
              <w:pStyle w:val="TableText"/>
              <w:ind w:left="676"/>
              <w:spacing w:before="70" w:line="229" w:lineRule="auto"/>
              <w:rPr/>
            </w:pPr>
            <w:r>
              <w:rPr>
                <w:b/>
                <w:bCs/>
                <w:spacing w:val="4"/>
              </w:rPr>
              <w:t>布点位置</w:t>
            </w:r>
          </w:p>
        </w:tc>
        <w:tc>
          <w:tcPr>
            <w:tcW w:w="1865" w:type="dxa"/>
            <w:vAlign w:val="top"/>
          </w:tcPr>
          <w:p>
            <w:pPr>
              <w:pStyle w:val="TableText"/>
              <w:ind w:left="534"/>
              <w:spacing w:before="70" w:line="230" w:lineRule="auto"/>
              <w:rPr/>
            </w:pPr>
            <w:r>
              <w:rPr>
                <w:b/>
                <w:bCs/>
                <w:spacing w:val="2"/>
              </w:rPr>
              <w:t>点位类型</w:t>
            </w:r>
          </w:p>
        </w:tc>
        <w:tc>
          <w:tcPr>
            <w:tcW w:w="3208" w:type="dxa"/>
            <w:vAlign w:val="top"/>
          </w:tcPr>
          <w:p>
            <w:pPr>
              <w:pStyle w:val="TableText"/>
              <w:ind w:left="1193"/>
              <w:spacing w:before="70" w:line="233" w:lineRule="auto"/>
              <w:rPr/>
            </w:pPr>
            <w:r>
              <w:rPr>
                <w:b/>
                <w:bCs/>
                <w:spacing w:val="4"/>
              </w:rPr>
              <w:t>确定理由</w:t>
            </w:r>
          </w:p>
        </w:tc>
      </w:tr>
      <w:tr>
        <w:trPr>
          <w:trHeight w:val="344" w:hRule="atLeast"/>
        </w:trPr>
        <w:tc>
          <w:tcPr>
            <w:tcW w:w="1226" w:type="dxa"/>
            <w:vAlign w:val="top"/>
            <w:vMerge w:val="restart"/>
            <w:tcBorders>
              <w:bottom w:val="nil"/>
            </w:tcBorders>
          </w:tcPr>
          <w:p>
            <w:pPr>
              <w:pStyle w:val="TableText"/>
              <w:ind w:left="217"/>
              <w:spacing w:before="31" w:line="231" w:lineRule="auto"/>
              <w:rPr/>
            </w:pPr>
            <w:r>
              <w:rPr>
                <w:spacing w:val="2"/>
              </w:rPr>
              <w:t>阳极炉生</w:t>
            </w:r>
          </w:p>
          <w:p>
            <w:pPr>
              <w:pStyle w:val="TableText"/>
              <w:ind w:left="122"/>
              <w:spacing w:before="23" w:line="231" w:lineRule="auto"/>
              <w:rPr/>
            </w:pPr>
            <w:r>
              <w:rPr>
                <w:spacing w:val="-3"/>
              </w:rPr>
              <w:t>产区（阳极</w:t>
            </w:r>
          </w:p>
          <w:p>
            <w:pPr>
              <w:pStyle w:val="TableText"/>
              <w:ind w:left="146"/>
              <w:spacing w:before="21" w:line="228" w:lineRule="auto"/>
              <w:rPr/>
            </w:pPr>
            <w:r>
              <w:rPr>
                <w:spacing w:val="5"/>
              </w:rPr>
              <w:t>炉车间</w:t>
            </w:r>
            <w:r>
              <w:rPr>
                <w:rFonts w:ascii="Times New Roman" w:hAnsi="Times New Roman" w:eastAsia="Times New Roman" w:cs="Times New Roman"/>
                <w:spacing w:val="5"/>
              </w:rPr>
              <w:t>+</w:t>
            </w:r>
            <w:r>
              <w:rPr>
                <w:spacing w:val="5"/>
              </w:rPr>
              <w:t>烟</w:t>
            </w:r>
          </w:p>
          <w:p>
            <w:pPr>
              <w:pStyle w:val="TableText"/>
              <w:ind w:left="129"/>
              <w:spacing w:before="27" w:line="214" w:lineRule="auto"/>
              <w:rPr/>
            </w:pPr>
            <w:r>
              <w:rPr>
                <w:spacing w:val="3"/>
              </w:rPr>
              <w:t>气治理区）</w:t>
            </w:r>
          </w:p>
        </w:tc>
        <w:tc>
          <w:tcPr>
            <w:tcW w:w="1475" w:type="dxa"/>
            <w:vAlign w:val="top"/>
          </w:tcPr>
          <w:p>
            <w:pPr>
              <w:pStyle w:val="TableText"/>
              <w:ind w:left="347"/>
              <w:spacing w:before="65"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AT</w:t>
            </w:r>
            <w:r>
              <w:rPr>
                <w:rFonts w:ascii="Times New Roman" w:hAnsi="Times New Roman" w:eastAsia="Times New Roman" w:cs="Times New Roman"/>
                <w:spacing w:val="6"/>
              </w:rPr>
              <w:t>1</w:t>
            </w:r>
          </w:p>
        </w:tc>
        <w:tc>
          <w:tcPr>
            <w:tcW w:w="2172" w:type="dxa"/>
            <w:vAlign w:val="top"/>
          </w:tcPr>
          <w:p>
            <w:pPr>
              <w:pStyle w:val="TableText"/>
              <w:ind w:left="583"/>
              <w:spacing w:before="67" w:line="232" w:lineRule="auto"/>
              <w:rPr/>
            </w:pPr>
            <w:r>
              <w:rPr>
                <w:spacing w:val="4"/>
              </w:rPr>
              <w:t>生产区东侧</w:t>
            </w:r>
          </w:p>
        </w:tc>
        <w:tc>
          <w:tcPr>
            <w:tcW w:w="1865" w:type="dxa"/>
            <w:vAlign w:val="top"/>
          </w:tcPr>
          <w:p>
            <w:pPr>
              <w:pStyle w:val="TableText"/>
              <w:ind w:left="210"/>
              <w:spacing w:before="66" w:line="232" w:lineRule="auto"/>
              <w:rPr/>
            </w:pPr>
            <w:r>
              <w:rPr>
                <w:spacing w:val="7"/>
              </w:rPr>
              <w:t>表层土壤监测点</w:t>
            </w:r>
          </w:p>
        </w:tc>
        <w:tc>
          <w:tcPr>
            <w:tcW w:w="3208" w:type="dxa"/>
            <w:vAlign w:val="top"/>
            <w:vMerge w:val="restart"/>
            <w:tcBorders>
              <w:bottom w:val="nil"/>
            </w:tcBorders>
          </w:tcPr>
          <w:p>
            <w:pPr>
              <w:pStyle w:val="TableText"/>
              <w:ind w:left="261"/>
              <w:spacing w:before="127" w:line="231" w:lineRule="auto"/>
              <w:rPr/>
            </w:pPr>
            <w:r>
              <w:rPr>
                <w:spacing w:val="7"/>
              </w:rPr>
              <w:t>阳极炉生产区域及烟气治理区</w:t>
            </w:r>
          </w:p>
          <w:p>
            <w:pPr>
              <w:pStyle w:val="TableText"/>
              <w:ind w:left="143"/>
              <w:spacing w:before="61" w:line="228" w:lineRule="auto"/>
              <w:rPr/>
            </w:pPr>
            <w:r>
              <w:rPr>
                <w:spacing w:val="9"/>
              </w:rPr>
              <w:t>域，可能存在泄露污染土壤、地</w:t>
            </w:r>
          </w:p>
          <w:p>
            <w:pPr>
              <w:pStyle w:val="TableText"/>
              <w:ind w:left="1408"/>
              <w:spacing w:before="64" w:line="231" w:lineRule="auto"/>
              <w:rPr/>
            </w:pPr>
            <w:r>
              <w:rPr>
                <w:spacing w:val="-1"/>
              </w:rPr>
              <w:t>下水</w:t>
            </w:r>
          </w:p>
        </w:tc>
      </w:tr>
      <w:tr>
        <w:trPr>
          <w:trHeight w:val="345" w:hRule="atLeast"/>
        </w:trPr>
        <w:tc>
          <w:tcPr>
            <w:tcW w:w="1226" w:type="dxa"/>
            <w:vAlign w:val="top"/>
            <w:vMerge w:val="continue"/>
            <w:tcBorders>
              <w:top w:val="nil"/>
              <w:bottom w:val="nil"/>
            </w:tcBorders>
          </w:tcPr>
          <w:p>
            <w:pPr>
              <w:rPr>
                <w:rFonts w:ascii="Arial"/>
                <w:sz w:val="21"/>
              </w:rPr>
            </w:pPr>
            <w:r/>
          </w:p>
        </w:tc>
        <w:tc>
          <w:tcPr>
            <w:tcW w:w="1475" w:type="dxa"/>
            <w:vAlign w:val="top"/>
          </w:tcPr>
          <w:p>
            <w:pPr>
              <w:pStyle w:val="TableText"/>
              <w:ind w:left="347"/>
              <w:spacing w:before="66"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AT</w:t>
            </w:r>
            <w:r>
              <w:rPr>
                <w:rFonts w:ascii="Times New Roman" w:hAnsi="Times New Roman" w:eastAsia="Times New Roman" w:cs="Times New Roman"/>
                <w:spacing w:val="6"/>
              </w:rPr>
              <w:t>2</w:t>
            </w:r>
          </w:p>
        </w:tc>
        <w:tc>
          <w:tcPr>
            <w:tcW w:w="2172" w:type="dxa"/>
            <w:vAlign w:val="top"/>
          </w:tcPr>
          <w:p>
            <w:pPr>
              <w:pStyle w:val="TableText"/>
              <w:ind w:left="583"/>
              <w:spacing w:before="66" w:line="231" w:lineRule="auto"/>
              <w:rPr/>
            </w:pPr>
            <w:r>
              <w:rPr>
                <w:spacing w:val="4"/>
              </w:rPr>
              <w:t>生产区内部</w:t>
            </w:r>
          </w:p>
        </w:tc>
        <w:tc>
          <w:tcPr>
            <w:tcW w:w="1865" w:type="dxa"/>
            <w:vAlign w:val="top"/>
          </w:tcPr>
          <w:p>
            <w:pPr>
              <w:pStyle w:val="TableText"/>
              <w:ind w:left="210"/>
              <w:spacing w:before="65" w:line="232" w:lineRule="auto"/>
              <w:rPr/>
            </w:pPr>
            <w:r>
              <w:rPr>
                <w:spacing w:val="7"/>
              </w:rPr>
              <w:t>表层土壤监测点</w:t>
            </w:r>
          </w:p>
        </w:tc>
        <w:tc>
          <w:tcPr>
            <w:tcW w:w="3208" w:type="dxa"/>
            <w:vAlign w:val="top"/>
            <w:vMerge w:val="continue"/>
            <w:tcBorders>
              <w:top w:val="nil"/>
              <w:bottom w:val="nil"/>
            </w:tcBorders>
          </w:tcPr>
          <w:p>
            <w:pPr>
              <w:rPr>
                <w:rFonts w:ascii="Arial"/>
                <w:sz w:val="21"/>
              </w:rPr>
            </w:pPr>
            <w:r/>
          </w:p>
        </w:tc>
      </w:tr>
      <w:tr>
        <w:trPr>
          <w:trHeight w:val="393" w:hRule="atLeast"/>
        </w:trPr>
        <w:tc>
          <w:tcPr>
            <w:tcW w:w="1226" w:type="dxa"/>
            <w:vAlign w:val="top"/>
            <w:vMerge w:val="continue"/>
            <w:tcBorders>
              <w:top w:val="nil"/>
            </w:tcBorders>
          </w:tcPr>
          <w:p>
            <w:pPr>
              <w:rPr>
                <w:rFonts w:ascii="Arial"/>
                <w:sz w:val="21"/>
              </w:rPr>
            </w:pPr>
            <w:r/>
          </w:p>
        </w:tc>
        <w:tc>
          <w:tcPr>
            <w:tcW w:w="1475" w:type="dxa"/>
            <w:vAlign w:val="top"/>
          </w:tcPr>
          <w:p>
            <w:pPr>
              <w:pStyle w:val="TableText"/>
              <w:ind w:left="247"/>
              <w:spacing w:before="90" w:line="231" w:lineRule="auto"/>
              <w:rPr>
                <w:rFonts w:ascii="Times New Roman" w:hAnsi="Times New Roman" w:eastAsia="Times New Roman" w:cs="Times New Roman"/>
              </w:rPr>
            </w:pPr>
            <w:r>
              <w:rPr>
                <w:spacing w:val="7"/>
              </w:rPr>
              <w:t>地下水</w:t>
            </w:r>
            <w:r>
              <w:rPr>
                <w:rFonts w:ascii="Times New Roman" w:hAnsi="Times New Roman" w:eastAsia="Times New Roman" w:cs="Times New Roman"/>
              </w:rPr>
              <w:t>AS</w:t>
            </w:r>
            <w:r>
              <w:rPr>
                <w:rFonts w:ascii="Times New Roman" w:hAnsi="Times New Roman" w:eastAsia="Times New Roman" w:cs="Times New Roman"/>
                <w:spacing w:val="7"/>
              </w:rPr>
              <w:t>1</w:t>
            </w:r>
          </w:p>
        </w:tc>
        <w:tc>
          <w:tcPr>
            <w:tcW w:w="2172" w:type="dxa"/>
            <w:vAlign w:val="top"/>
          </w:tcPr>
          <w:p>
            <w:pPr>
              <w:pStyle w:val="TableText"/>
              <w:ind w:left="583"/>
              <w:spacing w:before="90" w:line="231" w:lineRule="auto"/>
              <w:rPr/>
            </w:pPr>
            <w:r>
              <w:rPr>
                <w:spacing w:val="4"/>
              </w:rPr>
              <w:t>生产区北侧</w:t>
            </w:r>
          </w:p>
        </w:tc>
        <w:tc>
          <w:tcPr>
            <w:tcW w:w="1865" w:type="dxa"/>
            <w:vAlign w:val="top"/>
          </w:tcPr>
          <w:p>
            <w:pPr>
              <w:pStyle w:val="TableText"/>
              <w:ind w:left="315"/>
              <w:spacing w:before="90" w:line="231" w:lineRule="auto"/>
              <w:rPr/>
            </w:pPr>
            <w:r>
              <w:rPr>
                <w:spacing w:val="7"/>
              </w:rPr>
              <w:t>地下水监测点</w:t>
            </w:r>
          </w:p>
        </w:tc>
        <w:tc>
          <w:tcPr>
            <w:tcW w:w="3208" w:type="dxa"/>
            <w:vAlign w:val="top"/>
            <w:vMerge w:val="continue"/>
            <w:tcBorders>
              <w:top w:val="nil"/>
            </w:tcBorders>
          </w:tcPr>
          <w:p>
            <w:pPr>
              <w:rPr>
                <w:rFonts w:ascii="Arial"/>
                <w:sz w:val="21"/>
              </w:rPr>
            </w:pPr>
            <w:r/>
          </w:p>
        </w:tc>
      </w:tr>
      <w:tr>
        <w:trPr>
          <w:trHeight w:val="345" w:hRule="atLeast"/>
        </w:trPr>
        <w:tc>
          <w:tcPr>
            <w:tcW w:w="1226" w:type="dxa"/>
            <w:vAlign w:val="top"/>
            <w:vMerge w:val="restart"/>
            <w:tcBorders>
              <w:bottom w:val="nil"/>
            </w:tcBorders>
          </w:tcPr>
          <w:p>
            <w:pPr>
              <w:pStyle w:val="TableText"/>
              <w:ind w:left="205"/>
              <w:spacing w:before="145" w:line="232" w:lineRule="auto"/>
              <w:rPr/>
            </w:pPr>
            <w:r>
              <w:rPr>
                <w:spacing w:val="5"/>
              </w:rPr>
              <w:t>事故池和</w:t>
            </w:r>
          </w:p>
          <w:p>
            <w:pPr>
              <w:pStyle w:val="TableText"/>
              <w:ind w:left="417" w:right="191" w:hanging="212"/>
              <w:spacing w:before="20" w:line="256" w:lineRule="auto"/>
              <w:rPr/>
            </w:pPr>
            <w:r>
              <w:rPr>
                <w:spacing w:val="5"/>
              </w:rPr>
              <w:t>初期雨水</w:t>
            </w:r>
            <w:r>
              <w:rPr>
                <w:spacing w:val="2"/>
              </w:rPr>
              <w:t xml:space="preserve"> </w:t>
            </w:r>
            <w:r>
              <w:rPr>
                <w:spacing w:val="-1"/>
              </w:rPr>
              <w:t>池区</w:t>
            </w:r>
          </w:p>
        </w:tc>
        <w:tc>
          <w:tcPr>
            <w:tcW w:w="1475" w:type="dxa"/>
            <w:vAlign w:val="top"/>
          </w:tcPr>
          <w:p>
            <w:pPr>
              <w:pStyle w:val="TableText"/>
              <w:ind w:left="352"/>
              <w:spacing w:before="67" w:line="232" w:lineRule="auto"/>
              <w:rPr>
                <w:rFonts w:ascii="Times New Roman" w:hAnsi="Times New Roman" w:eastAsia="Times New Roman" w:cs="Times New Roman"/>
              </w:rPr>
            </w:pPr>
            <w:r>
              <w:rPr>
                <w:spacing w:val="7"/>
              </w:rPr>
              <w:t>土壤</w:t>
            </w:r>
            <w:r>
              <w:rPr>
                <w:rFonts w:ascii="Times New Roman" w:hAnsi="Times New Roman" w:eastAsia="Times New Roman" w:cs="Times New Roman"/>
              </w:rPr>
              <w:t>BT</w:t>
            </w:r>
            <w:r>
              <w:rPr>
                <w:rFonts w:ascii="Times New Roman" w:hAnsi="Times New Roman" w:eastAsia="Times New Roman" w:cs="Times New Roman"/>
                <w:spacing w:val="7"/>
              </w:rPr>
              <w:t>1</w:t>
            </w:r>
          </w:p>
        </w:tc>
        <w:tc>
          <w:tcPr>
            <w:tcW w:w="2172" w:type="dxa"/>
            <w:vAlign w:val="top"/>
          </w:tcPr>
          <w:p>
            <w:pPr>
              <w:pStyle w:val="TableText"/>
              <w:ind w:left="374"/>
              <w:spacing w:before="69" w:line="230" w:lineRule="auto"/>
              <w:rPr/>
            </w:pPr>
            <w:r>
              <w:rPr>
                <w:spacing w:val="6"/>
              </w:rPr>
              <w:t>收集池交接西侧</w:t>
            </w:r>
          </w:p>
        </w:tc>
        <w:tc>
          <w:tcPr>
            <w:tcW w:w="1865" w:type="dxa"/>
            <w:vAlign w:val="top"/>
          </w:tcPr>
          <w:p>
            <w:pPr>
              <w:pStyle w:val="TableText"/>
              <w:ind w:left="208"/>
              <w:spacing w:before="69" w:line="231" w:lineRule="auto"/>
              <w:rPr/>
            </w:pPr>
            <w:r>
              <w:rPr>
                <w:b/>
                <w:bCs/>
                <w:spacing w:val="5"/>
              </w:rPr>
              <w:t>深层土壤监测点</w:t>
            </w:r>
          </w:p>
        </w:tc>
        <w:tc>
          <w:tcPr>
            <w:tcW w:w="3208" w:type="dxa"/>
            <w:vAlign w:val="top"/>
            <w:vMerge w:val="restart"/>
            <w:tcBorders>
              <w:bottom w:val="nil"/>
            </w:tcBorders>
          </w:tcPr>
          <w:p>
            <w:pPr>
              <w:pStyle w:val="TableText"/>
              <w:ind w:left="146" w:right="135" w:hanging="3"/>
              <w:spacing w:before="261" w:line="287" w:lineRule="auto"/>
              <w:rPr/>
            </w:pPr>
            <w:r>
              <w:rPr>
                <w:spacing w:val="8"/>
              </w:rPr>
              <w:t>事故废水和初期雨水收集区域，</w:t>
            </w:r>
            <w:r>
              <w:rPr>
                <w:spacing w:val="10"/>
              </w:rPr>
              <w:t xml:space="preserve"> </w:t>
            </w:r>
            <w:r>
              <w:rPr>
                <w:spacing w:val="8"/>
              </w:rPr>
              <w:t>可能存在泄露污染土壤、地下水</w:t>
            </w:r>
          </w:p>
        </w:tc>
      </w:tr>
      <w:tr>
        <w:trPr>
          <w:trHeight w:val="345" w:hRule="atLeast"/>
        </w:trPr>
        <w:tc>
          <w:tcPr>
            <w:tcW w:w="1226" w:type="dxa"/>
            <w:vAlign w:val="top"/>
            <w:vMerge w:val="continue"/>
            <w:tcBorders>
              <w:top w:val="nil"/>
              <w:bottom w:val="nil"/>
            </w:tcBorders>
          </w:tcPr>
          <w:p>
            <w:pPr>
              <w:rPr>
                <w:rFonts w:ascii="Arial"/>
                <w:sz w:val="21"/>
              </w:rPr>
            </w:pPr>
            <w:r/>
          </w:p>
        </w:tc>
        <w:tc>
          <w:tcPr>
            <w:tcW w:w="1475" w:type="dxa"/>
            <w:vAlign w:val="top"/>
          </w:tcPr>
          <w:p>
            <w:pPr>
              <w:pStyle w:val="TableText"/>
              <w:ind w:left="352"/>
              <w:spacing w:before="67" w:line="232" w:lineRule="auto"/>
              <w:rPr>
                <w:rFonts w:ascii="Times New Roman" w:hAnsi="Times New Roman" w:eastAsia="Times New Roman" w:cs="Times New Roman"/>
              </w:rPr>
            </w:pPr>
            <w:r>
              <w:rPr>
                <w:spacing w:val="7"/>
              </w:rPr>
              <w:t>土壤</w:t>
            </w:r>
            <w:r>
              <w:rPr>
                <w:rFonts w:ascii="Times New Roman" w:hAnsi="Times New Roman" w:eastAsia="Times New Roman" w:cs="Times New Roman"/>
              </w:rPr>
              <w:t>BT</w:t>
            </w:r>
            <w:r>
              <w:rPr>
                <w:rFonts w:ascii="Times New Roman" w:hAnsi="Times New Roman" w:eastAsia="Times New Roman" w:cs="Times New Roman"/>
                <w:spacing w:val="7"/>
              </w:rPr>
              <w:t>2</w:t>
            </w:r>
          </w:p>
        </w:tc>
        <w:tc>
          <w:tcPr>
            <w:tcW w:w="2172" w:type="dxa"/>
            <w:vAlign w:val="top"/>
          </w:tcPr>
          <w:p>
            <w:pPr>
              <w:pStyle w:val="TableText"/>
              <w:ind w:left="582"/>
              <w:spacing w:before="67" w:line="230" w:lineRule="auto"/>
              <w:rPr/>
            </w:pPr>
            <w:r>
              <w:rPr>
                <w:spacing w:val="4"/>
              </w:rPr>
              <w:t>收集池北侧</w:t>
            </w:r>
          </w:p>
        </w:tc>
        <w:tc>
          <w:tcPr>
            <w:tcW w:w="1865" w:type="dxa"/>
            <w:vAlign w:val="top"/>
          </w:tcPr>
          <w:p>
            <w:pPr>
              <w:pStyle w:val="TableText"/>
              <w:ind w:left="210"/>
              <w:spacing w:before="66" w:line="232" w:lineRule="auto"/>
              <w:rPr/>
            </w:pPr>
            <w:r>
              <w:rPr>
                <w:spacing w:val="7"/>
              </w:rPr>
              <w:t>表层土壤监测点</w:t>
            </w:r>
          </w:p>
        </w:tc>
        <w:tc>
          <w:tcPr>
            <w:tcW w:w="3208" w:type="dxa"/>
            <w:vAlign w:val="top"/>
            <w:vMerge w:val="continue"/>
            <w:tcBorders>
              <w:top w:val="nil"/>
              <w:bottom w:val="nil"/>
            </w:tcBorders>
          </w:tcPr>
          <w:p>
            <w:pPr>
              <w:rPr>
                <w:rFonts w:ascii="Arial"/>
                <w:sz w:val="21"/>
              </w:rPr>
            </w:pPr>
            <w:r/>
          </w:p>
        </w:tc>
      </w:tr>
      <w:tr>
        <w:trPr>
          <w:trHeight w:val="345" w:hRule="atLeast"/>
        </w:trPr>
        <w:tc>
          <w:tcPr>
            <w:tcW w:w="1226" w:type="dxa"/>
            <w:vAlign w:val="top"/>
            <w:vMerge w:val="continue"/>
            <w:tcBorders>
              <w:top w:val="nil"/>
            </w:tcBorders>
          </w:tcPr>
          <w:p>
            <w:pPr>
              <w:rPr>
                <w:rFonts w:ascii="Arial"/>
                <w:sz w:val="21"/>
              </w:rPr>
            </w:pPr>
            <w:r/>
          </w:p>
        </w:tc>
        <w:tc>
          <w:tcPr>
            <w:tcW w:w="1475" w:type="dxa"/>
            <w:vAlign w:val="top"/>
          </w:tcPr>
          <w:p>
            <w:pPr>
              <w:pStyle w:val="TableText"/>
              <w:ind w:left="252"/>
              <w:spacing w:before="67" w:line="231" w:lineRule="auto"/>
              <w:rPr>
                <w:rFonts w:ascii="Times New Roman" w:hAnsi="Times New Roman" w:eastAsia="Times New Roman" w:cs="Times New Roman"/>
              </w:rPr>
            </w:pPr>
            <w:r>
              <w:rPr>
                <w:spacing w:val="7"/>
              </w:rPr>
              <w:t>地下水</w:t>
            </w:r>
            <w:r>
              <w:rPr>
                <w:rFonts w:ascii="Times New Roman" w:hAnsi="Times New Roman" w:eastAsia="Times New Roman" w:cs="Times New Roman"/>
              </w:rPr>
              <w:t>BS</w:t>
            </w:r>
            <w:r>
              <w:rPr>
                <w:rFonts w:ascii="Times New Roman" w:hAnsi="Times New Roman" w:eastAsia="Times New Roman" w:cs="Times New Roman"/>
                <w:spacing w:val="7"/>
              </w:rPr>
              <w:t>1</w:t>
            </w:r>
          </w:p>
        </w:tc>
        <w:tc>
          <w:tcPr>
            <w:tcW w:w="2172" w:type="dxa"/>
            <w:vAlign w:val="top"/>
          </w:tcPr>
          <w:p>
            <w:pPr>
              <w:pStyle w:val="TableText"/>
              <w:ind w:left="582"/>
              <w:spacing w:before="67" w:line="230" w:lineRule="auto"/>
              <w:rPr/>
            </w:pPr>
            <w:r>
              <w:rPr>
                <w:spacing w:val="4"/>
              </w:rPr>
              <w:t>收集池北侧</w:t>
            </w:r>
          </w:p>
        </w:tc>
        <w:tc>
          <w:tcPr>
            <w:tcW w:w="1865" w:type="dxa"/>
            <w:vAlign w:val="top"/>
          </w:tcPr>
          <w:p>
            <w:pPr>
              <w:pStyle w:val="TableText"/>
              <w:ind w:left="315"/>
              <w:spacing w:before="67" w:line="231" w:lineRule="auto"/>
              <w:rPr/>
            </w:pPr>
            <w:r>
              <w:rPr>
                <w:spacing w:val="7"/>
              </w:rPr>
              <w:t>地下水监测点</w:t>
            </w:r>
          </w:p>
        </w:tc>
        <w:tc>
          <w:tcPr>
            <w:tcW w:w="3208" w:type="dxa"/>
            <w:vAlign w:val="top"/>
            <w:vMerge w:val="continue"/>
            <w:tcBorders>
              <w:top w:val="nil"/>
            </w:tcBorders>
          </w:tcPr>
          <w:p>
            <w:pPr>
              <w:rPr>
                <w:rFonts w:ascii="Arial"/>
                <w:sz w:val="21"/>
              </w:rPr>
            </w:pPr>
            <w:r/>
          </w:p>
        </w:tc>
      </w:tr>
      <w:tr>
        <w:trPr>
          <w:trHeight w:val="345" w:hRule="atLeast"/>
        </w:trPr>
        <w:tc>
          <w:tcPr>
            <w:tcW w:w="1226" w:type="dxa"/>
            <w:vAlign w:val="top"/>
            <w:vMerge w:val="restart"/>
            <w:tcBorders>
              <w:bottom w:val="nil"/>
            </w:tcBorders>
          </w:tcPr>
          <w:p>
            <w:pPr>
              <w:pStyle w:val="TableText"/>
              <w:ind w:left="209"/>
              <w:spacing w:before="144" w:line="229" w:lineRule="auto"/>
              <w:rPr/>
            </w:pPr>
            <w:r>
              <w:rPr>
                <w:spacing w:val="4"/>
              </w:rPr>
              <w:t>原料仓库</w:t>
            </w:r>
          </w:p>
          <w:p>
            <w:pPr>
              <w:pStyle w:val="TableText"/>
              <w:ind w:left="418" w:right="191" w:hanging="211"/>
              <w:spacing w:before="24" w:line="251" w:lineRule="auto"/>
              <w:rPr/>
            </w:pPr>
            <w:r>
              <w:rPr>
                <w:spacing w:val="5"/>
              </w:rPr>
              <w:t>及原制球</w:t>
            </w:r>
            <w:r>
              <w:rPr/>
              <w:t xml:space="preserve"> </w:t>
            </w:r>
            <w:r>
              <w:rPr>
                <w:spacing w:val="-1"/>
              </w:rPr>
              <w:t>车间</w:t>
            </w:r>
          </w:p>
        </w:tc>
        <w:tc>
          <w:tcPr>
            <w:tcW w:w="1475" w:type="dxa"/>
            <w:vAlign w:val="top"/>
          </w:tcPr>
          <w:p>
            <w:pPr>
              <w:pStyle w:val="TableText"/>
              <w:ind w:left="352"/>
              <w:spacing w:before="68"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CT</w:t>
            </w:r>
            <w:r>
              <w:rPr>
                <w:rFonts w:ascii="Times New Roman" w:hAnsi="Times New Roman" w:eastAsia="Times New Roman" w:cs="Times New Roman"/>
                <w:spacing w:val="6"/>
              </w:rPr>
              <w:t>1</w:t>
            </w:r>
          </w:p>
        </w:tc>
        <w:tc>
          <w:tcPr>
            <w:tcW w:w="2172" w:type="dxa"/>
            <w:vAlign w:val="top"/>
          </w:tcPr>
          <w:p>
            <w:pPr>
              <w:pStyle w:val="TableText"/>
              <w:ind w:left="681"/>
              <w:spacing w:before="68" w:line="231" w:lineRule="auto"/>
              <w:rPr/>
            </w:pPr>
            <w:r>
              <w:rPr>
                <w:spacing w:val="4"/>
              </w:rPr>
              <w:t>仓库北侧</w:t>
            </w:r>
          </w:p>
        </w:tc>
        <w:tc>
          <w:tcPr>
            <w:tcW w:w="1865" w:type="dxa"/>
            <w:vAlign w:val="top"/>
          </w:tcPr>
          <w:p>
            <w:pPr>
              <w:pStyle w:val="TableText"/>
              <w:ind w:left="210"/>
              <w:spacing w:before="67" w:line="232" w:lineRule="auto"/>
              <w:rPr/>
            </w:pPr>
            <w:r>
              <w:rPr>
                <w:spacing w:val="7"/>
              </w:rPr>
              <w:t>表层土壤监测点</w:t>
            </w:r>
          </w:p>
        </w:tc>
        <w:tc>
          <w:tcPr>
            <w:tcW w:w="3208" w:type="dxa"/>
            <w:vAlign w:val="top"/>
            <w:vMerge w:val="restart"/>
            <w:tcBorders>
              <w:bottom w:val="nil"/>
            </w:tcBorders>
          </w:tcPr>
          <w:p>
            <w:pPr>
              <w:pStyle w:val="TableText"/>
              <w:ind w:left="251"/>
              <w:spacing w:before="107" w:line="229" w:lineRule="auto"/>
              <w:rPr/>
            </w:pPr>
            <w:r>
              <w:rPr>
                <w:spacing w:val="8"/>
              </w:rPr>
              <w:t>铜泥堆场以及进行铜泥制球工</w:t>
            </w:r>
          </w:p>
          <w:p>
            <w:pPr>
              <w:pStyle w:val="TableText"/>
              <w:ind w:left="143"/>
              <w:spacing w:before="63" w:line="228" w:lineRule="auto"/>
              <w:rPr/>
            </w:pPr>
            <w:r>
              <w:rPr>
                <w:spacing w:val="8"/>
              </w:rPr>
              <w:t>序，铜泥为危险废物，可能存在</w:t>
            </w:r>
          </w:p>
          <w:p>
            <w:pPr>
              <w:pStyle w:val="TableText"/>
              <w:ind w:left="570"/>
              <w:spacing w:before="64" w:line="231" w:lineRule="auto"/>
              <w:rPr/>
            </w:pPr>
            <w:r>
              <w:rPr>
                <w:spacing w:val="7"/>
              </w:rPr>
              <w:t>泄露污染土壤、地下水</w:t>
            </w:r>
          </w:p>
        </w:tc>
      </w:tr>
      <w:tr>
        <w:trPr>
          <w:trHeight w:val="345" w:hRule="atLeast"/>
        </w:trPr>
        <w:tc>
          <w:tcPr>
            <w:tcW w:w="1226" w:type="dxa"/>
            <w:vAlign w:val="top"/>
            <w:vMerge w:val="continue"/>
            <w:tcBorders>
              <w:top w:val="nil"/>
              <w:bottom w:val="nil"/>
            </w:tcBorders>
          </w:tcPr>
          <w:p>
            <w:pPr>
              <w:rPr>
                <w:rFonts w:ascii="Arial"/>
                <w:sz w:val="21"/>
              </w:rPr>
            </w:pPr>
            <w:r/>
          </w:p>
        </w:tc>
        <w:tc>
          <w:tcPr>
            <w:tcW w:w="1475" w:type="dxa"/>
            <w:vAlign w:val="top"/>
          </w:tcPr>
          <w:p>
            <w:pPr>
              <w:pStyle w:val="TableText"/>
              <w:ind w:left="352"/>
              <w:spacing w:before="66"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CT</w:t>
            </w:r>
            <w:r>
              <w:rPr>
                <w:rFonts w:ascii="Times New Roman" w:hAnsi="Times New Roman" w:eastAsia="Times New Roman" w:cs="Times New Roman"/>
                <w:spacing w:val="6"/>
              </w:rPr>
              <w:t>2</w:t>
            </w:r>
          </w:p>
        </w:tc>
        <w:tc>
          <w:tcPr>
            <w:tcW w:w="2172" w:type="dxa"/>
            <w:vAlign w:val="top"/>
          </w:tcPr>
          <w:p>
            <w:pPr>
              <w:pStyle w:val="TableText"/>
              <w:ind w:left="682"/>
              <w:spacing w:before="68" w:line="228" w:lineRule="auto"/>
              <w:rPr/>
            </w:pPr>
            <w:r>
              <w:rPr>
                <w:spacing w:val="4"/>
              </w:rPr>
              <w:t>车间北侧</w:t>
            </w:r>
          </w:p>
        </w:tc>
        <w:tc>
          <w:tcPr>
            <w:tcW w:w="1865" w:type="dxa"/>
            <w:vAlign w:val="top"/>
          </w:tcPr>
          <w:p>
            <w:pPr>
              <w:pStyle w:val="TableText"/>
              <w:ind w:left="210"/>
              <w:spacing w:before="68" w:line="232" w:lineRule="auto"/>
              <w:rPr/>
            </w:pPr>
            <w:r>
              <w:rPr>
                <w:spacing w:val="7"/>
              </w:rPr>
              <w:t>表层土壤监测点</w:t>
            </w:r>
          </w:p>
        </w:tc>
        <w:tc>
          <w:tcPr>
            <w:tcW w:w="3208" w:type="dxa"/>
            <w:vAlign w:val="top"/>
            <w:vMerge w:val="continue"/>
            <w:tcBorders>
              <w:top w:val="nil"/>
              <w:bottom w:val="nil"/>
            </w:tcBorders>
          </w:tcPr>
          <w:p>
            <w:pPr>
              <w:rPr>
                <w:rFonts w:ascii="Arial"/>
                <w:sz w:val="21"/>
              </w:rPr>
            </w:pPr>
            <w:r/>
          </w:p>
        </w:tc>
      </w:tr>
      <w:tr>
        <w:trPr>
          <w:trHeight w:val="345" w:hRule="atLeast"/>
        </w:trPr>
        <w:tc>
          <w:tcPr>
            <w:tcW w:w="1226" w:type="dxa"/>
            <w:vAlign w:val="top"/>
            <w:vMerge w:val="continue"/>
            <w:tcBorders>
              <w:top w:val="nil"/>
            </w:tcBorders>
          </w:tcPr>
          <w:p>
            <w:pPr>
              <w:rPr>
                <w:rFonts w:ascii="Arial"/>
                <w:sz w:val="21"/>
              </w:rPr>
            </w:pPr>
            <w:r/>
          </w:p>
        </w:tc>
        <w:tc>
          <w:tcPr>
            <w:tcW w:w="1475" w:type="dxa"/>
            <w:vAlign w:val="top"/>
          </w:tcPr>
          <w:p>
            <w:pPr>
              <w:pStyle w:val="TableText"/>
              <w:ind w:left="252"/>
              <w:spacing w:before="66" w:line="231" w:lineRule="auto"/>
              <w:rPr>
                <w:rFonts w:ascii="Times New Roman" w:hAnsi="Times New Roman" w:eastAsia="Times New Roman" w:cs="Times New Roman"/>
              </w:rPr>
            </w:pPr>
            <w:r>
              <w:rPr>
                <w:spacing w:val="7"/>
              </w:rPr>
              <w:t>地下水</w:t>
            </w:r>
            <w:r>
              <w:rPr>
                <w:rFonts w:ascii="Times New Roman" w:hAnsi="Times New Roman" w:eastAsia="Times New Roman" w:cs="Times New Roman"/>
              </w:rPr>
              <w:t>CS</w:t>
            </w:r>
            <w:r>
              <w:rPr>
                <w:rFonts w:ascii="Times New Roman" w:hAnsi="Times New Roman" w:eastAsia="Times New Roman" w:cs="Times New Roman"/>
                <w:spacing w:val="7"/>
              </w:rPr>
              <w:t>1</w:t>
            </w:r>
          </w:p>
        </w:tc>
        <w:tc>
          <w:tcPr>
            <w:tcW w:w="2172" w:type="dxa"/>
            <w:vAlign w:val="top"/>
          </w:tcPr>
          <w:p>
            <w:pPr>
              <w:pStyle w:val="TableText"/>
              <w:ind w:left="681"/>
              <w:spacing w:before="68" w:line="231" w:lineRule="auto"/>
              <w:rPr/>
            </w:pPr>
            <w:r>
              <w:rPr>
                <w:spacing w:val="4"/>
              </w:rPr>
              <w:t>仓库北侧</w:t>
            </w:r>
          </w:p>
        </w:tc>
        <w:tc>
          <w:tcPr>
            <w:tcW w:w="1865" w:type="dxa"/>
            <w:vAlign w:val="top"/>
          </w:tcPr>
          <w:p>
            <w:pPr>
              <w:pStyle w:val="TableText"/>
              <w:ind w:left="315"/>
              <w:spacing w:before="68" w:line="231" w:lineRule="auto"/>
              <w:rPr/>
            </w:pPr>
            <w:r>
              <w:rPr>
                <w:spacing w:val="7"/>
              </w:rPr>
              <w:t>地下水监测点</w:t>
            </w:r>
          </w:p>
        </w:tc>
        <w:tc>
          <w:tcPr>
            <w:tcW w:w="3208" w:type="dxa"/>
            <w:vAlign w:val="top"/>
            <w:vMerge w:val="continue"/>
            <w:tcBorders>
              <w:top w:val="nil"/>
            </w:tcBorders>
          </w:tcPr>
          <w:p>
            <w:pPr>
              <w:rPr>
                <w:rFonts w:ascii="Arial"/>
                <w:sz w:val="21"/>
              </w:rPr>
            </w:pPr>
            <w:r/>
          </w:p>
        </w:tc>
      </w:tr>
      <w:tr>
        <w:trPr>
          <w:trHeight w:val="345" w:hRule="atLeast"/>
        </w:trPr>
        <w:tc>
          <w:tcPr>
            <w:tcW w:w="1226" w:type="dxa"/>
            <w:vAlign w:val="top"/>
            <w:vMerge w:val="restart"/>
            <w:tcBorders>
              <w:bottom w:val="nil"/>
            </w:tcBorders>
          </w:tcPr>
          <w:p>
            <w:pPr>
              <w:pStyle w:val="TableText"/>
              <w:ind w:left="139" w:right="102" w:firstLine="67"/>
              <w:spacing w:before="34" w:line="251" w:lineRule="auto"/>
              <w:rPr/>
            </w:pPr>
            <w:r>
              <w:rPr>
                <w:spacing w:val="5"/>
              </w:rPr>
              <w:t>铜渣选矿</w:t>
            </w:r>
            <w:r>
              <w:rPr/>
              <w:t xml:space="preserve">  </w:t>
            </w:r>
            <w:r>
              <w:rPr>
                <w:spacing w:val="-5"/>
              </w:rPr>
              <w:t>区（脱水、</w:t>
            </w:r>
          </w:p>
          <w:p>
            <w:pPr>
              <w:pStyle w:val="TableText"/>
              <w:ind w:left="207" w:right="110" w:hanging="86"/>
              <w:spacing w:line="233" w:lineRule="auto"/>
              <w:rPr/>
            </w:pPr>
            <w:r>
              <w:rPr>
                <w:spacing w:val="-3"/>
              </w:rPr>
              <w:t>磨浮、粉碎</w:t>
            </w:r>
            <w:r>
              <w:rPr>
                <w:spacing w:val="3"/>
              </w:rPr>
              <w:t xml:space="preserve"> </w:t>
            </w:r>
            <w:r>
              <w:rPr>
                <w:spacing w:val="3"/>
              </w:rPr>
              <w:t>筛车间）</w:t>
            </w:r>
          </w:p>
        </w:tc>
        <w:tc>
          <w:tcPr>
            <w:tcW w:w="1475" w:type="dxa"/>
            <w:vAlign w:val="top"/>
          </w:tcPr>
          <w:p>
            <w:pPr>
              <w:pStyle w:val="TableText"/>
              <w:ind w:left="347"/>
              <w:spacing w:before="67"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DT</w:t>
            </w:r>
            <w:r>
              <w:rPr>
                <w:rFonts w:ascii="Times New Roman" w:hAnsi="Times New Roman" w:eastAsia="Times New Roman" w:cs="Times New Roman"/>
                <w:spacing w:val="6"/>
              </w:rPr>
              <w:t>1</w:t>
            </w:r>
          </w:p>
        </w:tc>
        <w:tc>
          <w:tcPr>
            <w:tcW w:w="2172" w:type="dxa"/>
            <w:vAlign w:val="top"/>
          </w:tcPr>
          <w:p>
            <w:pPr>
              <w:pStyle w:val="TableText"/>
              <w:ind w:left="269"/>
              <w:spacing w:before="69" w:line="231" w:lineRule="auto"/>
              <w:rPr/>
            </w:pPr>
            <w:r>
              <w:rPr>
                <w:spacing w:val="6"/>
              </w:rPr>
              <w:t>生产区内部交接处</w:t>
            </w:r>
          </w:p>
        </w:tc>
        <w:tc>
          <w:tcPr>
            <w:tcW w:w="1865" w:type="dxa"/>
            <w:vAlign w:val="top"/>
          </w:tcPr>
          <w:p>
            <w:pPr>
              <w:pStyle w:val="TableText"/>
              <w:ind w:left="208"/>
              <w:spacing w:before="69" w:line="231" w:lineRule="auto"/>
              <w:rPr/>
            </w:pPr>
            <w:r>
              <w:rPr>
                <w:b/>
                <w:bCs/>
                <w:spacing w:val="5"/>
              </w:rPr>
              <w:t>深层土壤监测点</w:t>
            </w:r>
          </w:p>
        </w:tc>
        <w:tc>
          <w:tcPr>
            <w:tcW w:w="3208" w:type="dxa"/>
            <w:vAlign w:val="top"/>
            <w:vMerge w:val="restart"/>
            <w:tcBorders>
              <w:bottom w:val="nil"/>
            </w:tcBorders>
          </w:tcPr>
          <w:p>
            <w:pPr>
              <w:pStyle w:val="TableText"/>
              <w:ind w:left="880" w:right="132" w:hanging="735"/>
              <w:spacing w:before="286" w:line="288" w:lineRule="auto"/>
              <w:rPr/>
            </w:pPr>
            <w:r>
              <w:rPr>
                <w:spacing w:val="8"/>
              </w:rPr>
              <w:t>铜渣选矿工程中可能存在泄露污</w:t>
            </w:r>
            <w:r>
              <w:rPr>
                <w:spacing w:val="11"/>
              </w:rPr>
              <w:t xml:space="preserve"> </w:t>
            </w:r>
            <w:r>
              <w:rPr>
                <w:spacing w:val="7"/>
              </w:rPr>
              <w:t>染土壤、地下水</w:t>
            </w:r>
          </w:p>
        </w:tc>
      </w:tr>
      <w:tr>
        <w:trPr>
          <w:trHeight w:val="345" w:hRule="atLeast"/>
        </w:trPr>
        <w:tc>
          <w:tcPr>
            <w:tcW w:w="1226" w:type="dxa"/>
            <w:vAlign w:val="top"/>
            <w:vMerge w:val="continue"/>
            <w:tcBorders>
              <w:top w:val="nil"/>
              <w:bottom w:val="nil"/>
            </w:tcBorders>
          </w:tcPr>
          <w:p>
            <w:pPr>
              <w:rPr>
                <w:rFonts w:ascii="Arial"/>
                <w:sz w:val="21"/>
              </w:rPr>
            </w:pPr>
            <w:r/>
          </w:p>
        </w:tc>
        <w:tc>
          <w:tcPr>
            <w:tcW w:w="1475" w:type="dxa"/>
            <w:vAlign w:val="top"/>
          </w:tcPr>
          <w:p>
            <w:pPr>
              <w:pStyle w:val="TableText"/>
              <w:ind w:left="347"/>
              <w:spacing w:before="67"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DT</w:t>
            </w:r>
            <w:r>
              <w:rPr>
                <w:rFonts w:ascii="Times New Roman" w:hAnsi="Times New Roman" w:eastAsia="Times New Roman" w:cs="Times New Roman"/>
                <w:spacing w:val="6"/>
              </w:rPr>
              <w:t>2</w:t>
            </w:r>
          </w:p>
        </w:tc>
        <w:tc>
          <w:tcPr>
            <w:tcW w:w="2172" w:type="dxa"/>
            <w:vAlign w:val="top"/>
          </w:tcPr>
          <w:p>
            <w:pPr>
              <w:pStyle w:val="TableText"/>
              <w:ind w:left="478"/>
              <w:spacing w:before="67" w:line="231" w:lineRule="auto"/>
              <w:rPr/>
            </w:pPr>
            <w:r>
              <w:rPr>
                <w:spacing w:val="5"/>
              </w:rPr>
              <w:t>生产区西北侧</w:t>
            </w:r>
          </w:p>
        </w:tc>
        <w:tc>
          <w:tcPr>
            <w:tcW w:w="1865" w:type="dxa"/>
            <w:vAlign w:val="top"/>
          </w:tcPr>
          <w:p>
            <w:pPr>
              <w:pStyle w:val="TableText"/>
              <w:ind w:left="210"/>
              <w:spacing w:before="66" w:line="232" w:lineRule="auto"/>
              <w:rPr/>
            </w:pPr>
            <w:r>
              <w:rPr>
                <w:spacing w:val="7"/>
              </w:rPr>
              <w:t>表层土壤监测点</w:t>
            </w:r>
          </w:p>
        </w:tc>
        <w:tc>
          <w:tcPr>
            <w:tcW w:w="3208" w:type="dxa"/>
            <w:vAlign w:val="top"/>
            <w:vMerge w:val="continue"/>
            <w:tcBorders>
              <w:top w:val="nil"/>
              <w:bottom w:val="nil"/>
            </w:tcBorders>
          </w:tcPr>
          <w:p>
            <w:pPr>
              <w:rPr>
                <w:rFonts w:ascii="Arial"/>
                <w:sz w:val="21"/>
              </w:rPr>
            </w:pPr>
            <w:r/>
          </w:p>
        </w:tc>
      </w:tr>
      <w:tr>
        <w:trPr>
          <w:trHeight w:val="394" w:hRule="atLeast"/>
        </w:trPr>
        <w:tc>
          <w:tcPr>
            <w:tcW w:w="1226" w:type="dxa"/>
            <w:vAlign w:val="top"/>
            <w:vMerge w:val="continue"/>
            <w:tcBorders>
              <w:top w:val="nil"/>
            </w:tcBorders>
          </w:tcPr>
          <w:p>
            <w:pPr>
              <w:rPr>
                <w:rFonts w:ascii="Arial"/>
                <w:sz w:val="21"/>
              </w:rPr>
            </w:pPr>
            <w:r/>
          </w:p>
        </w:tc>
        <w:tc>
          <w:tcPr>
            <w:tcW w:w="1475" w:type="dxa"/>
            <w:vAlign w:val="top"/>
          </w:tcPr>
          <w:p>
            <w:pPr>
              <w:pStyle w:val="TableText"/>
              <w:ind w:left="247"/>
              <w:spacing w:before="91" w:line="231" w:lineRule="auto"/>
              <w:rPr>
                <w:rFonts w:ascii="Times New Roman" w:hAnsi="Times New Roman" w:eastAsia="Times New Roman" w:cs="Times New Roman"/>
              </w:rPr>
            </w:pPr>
            <w:r>
              <w:rPr>
                <w:spacing w:val="7"/>
              </w:rPr>
              <w:t>地下水</w:t>
            </w:r>
            <w:r>
              <w:rPr>
                <w:rFonts w:ascii="Times New Roman" w:hAnsi="Times New Roman" w:eastAsia="Times New Roman" w:cs="Times New Roman"/>
              </w:rPr>
              <w:t>DS</w:t>
            </w:r>
            <w:r>
              <w:rPr>
                <w:rFonts w:ascii="Times New Roman" w:hAnsi="Times New Roman" w:eastAsia="Times New Roman" w:cs="Times New Roman"/>
                <w:spacing w:val="7"/>
              </w:rPr>
              <w:t>1</w:t>
            </w:r>
          </w:p>
        </w:tc>
        <w:tc>
          <w:tcPr>
            <w:tcW w:w="2172" w:type="dxa"/>
            <w:vAlign w:val="top"/>
          </w:tcPr>
          <w:p>
            <w:pPr>
              <w:pStyle w:val="TableText"/>
              <w:ind w:left="478"/>
              <w:spacing w:before="91" w:line="231" w:lineRule="auto"/>
              <w:rPr/>
            </w:pPr>
            <w:r>
              <w:rPr>
                <w:spacing w:val="5"/>
              </w:rPr>
              <w:t>生产区西北侧</w:t>
            </w:r>
          </w:p>
        </w:tc>
        <w:tc>
          <w:tcPr>
            <w:tcW w:w="1865" w:type="dxa"/>
            <w:vAlign w:val="top"/>
          </w:tcPr>
          <w:p>
            <w:pPr>
              <w:pStyle w:val="TableText"/>
              <w:ind w:left="315"/>
              <w:spacing w:before="91" w:line="231" w:lineRule="auto"/>
              <w:rPr/>
            </w:pPr>
            <w:r>
              <w:rPr>
                <w:spacing w:val="7"/>
              </w:rPr>
              <w:t>地下水监测点</w:t>
            </w:r>
          </w:p>
        </w:tc>
        <w:tc>
          <w:tcPr>
            <w:tcW w:w="3208" w:type="dxa"/>
            <w:vAlign w:val="top"/>
            <w:vMerge w:val="continue"/>
            <w:tcBorders>
              <w:top w:val="nil"/>
            </w:tcBorders>
          </w:tcPr>
          <w:p>
            <w:pPr>
              <w:rPr>
                <w:rFonts w:ascii="Arial"/>
                <w:sz w:val="21"/>
              </w:rPr>
            </w:pPr>
            <w:r/>
          </w:p>
        </w:tc>
      </w:tr>
      <w:tr>
        <w:trPr>
          <w:trHeight w:val="345" w:hRule="atLeast"/>
        </w:trPr>
        <w:tc>
          <w:tcPr>
            <w:tcW w:w="1226" w:type="dxa"/>
            <w:vAlign w:val="top"/>
            <w:vMerge w:val="restart"/>
            <w:tcBorders>
              <w:bottom w:val="nil"/>
            </w:tcBorders>
          </w:tcPr>
          <w:p>
            <w:pPr>
              <w:pStyle w:val="TableText"/>
              <w:ind w:left="206"/>
              <w:spacing w:before="106" w:line="229" w:lineRule="auto"/>
              <w:rPr/>
            </w:pPr>
            <w:r>
              <w:rPr>
                <w:spacing w:val="5"/>
              </w:rPr>
              <w:t>冶炼渣堆</w:t>
            </w:r>
          </w:p>
          <w:p>
            <w:pPr>
              <w:pStyle w:val="TableText"/>
              <w:ind w:left="520"/>
              <w:spacing w:before="24" w:line="232" w:lineRule="auto"/>
              <w:rPr/>
            </w:pPr>
            <w:r>
              <w:rPr/>
              <w:t>场</w:t>
            </w:r>
          </w:p>
        </w:tc>
        <w:tc>
          <w:tcPr>
            <w:tcW w:w="1475" w:type="dxa"/>
            <w:vAlign w:val="top"/>
          </w:tcPr>
          <w:p>
            <w:pPr>
              <w:pStyle w:val="TableText"/>
              <w:ind w:left="359"/>
              <w:spacing w:before="67"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ET</w:t>
            </w:r>
            <w:r>
              <w:rPr>
                <w:rFonts w:ascii="Times New Roman" w:hAnsi="Times New Roman" w:eastAsia="Times New Roman" w:cs="Times New Roman"/>
                <w:spacing w:val="6"/>
              </w:rPr>
              <w:t>1</w:t>
            </w:r>
          </w:p>
        </w:tc>
        <w:tc>
          <w:tcPr>
            <w:tcW w:w="2172" w:type="dxa"/>
            <w:vAlign w:val="top"/>
          </w:tcPr>
          <w:p>
            <w:pPr>
              <w:pStyle w:val="TableText"/>
              <w:ind w:right="12"/>
              <w:spacing w:before="66" w:line="229" w:lineRule="auto"/>
              <w:jc w:val="right"/>
              <w:rPr/>
            </w:pPr>
            <w:r>
              <w:rPr>
                <w:spacing w:val="3"/>
              </w:rPr>
              <w:t>堆场交接处（绿化带）</w:t>
            </w:r>
          </w:p>
        </w:tc>
        <w:tc>
          <w:tcPr>
            <w:tcW w:w="1865" w:type="dxa"/>
            <w:vAlign w:val="top"/>
          </w:tcPr>
          <w:p>
            <w:pPr>
              <w:pStyle w:val="TableText"/>
              <w:ind w:left="210"/>
              <w:spacing w:before="66" w:line="232" w:lineRule="auto"/>
              <w:rPr/>
            </w:pPr>
            <w:r>
              <w:rPr>
                <w:spacing w:val="7"/>
              </w:rPr>
              <w:t>表层土壤监测点</w:t>
            </w:r>
          </w:p>
        </w:tc>
        <w:tc>
          <w:tcPr>
            <w:tcW w:w="3208" w:type="dxa"/>
            <w:vAlign w:val="top"/>
            <w:vMerge w:val="restart"/>
            <w:tcBorders>
              <w:bottom w:val="nil"/>
            </w:tcBorders>
          </w:tcPr>
          <w:p>
            <w:pPr>
              <w:pStyle w:val="TableText"/>
              <w:ind w:left="570" w:right="135" w:hanging="424"/>
              <w:spacing w:before="87" w:line="276" w:lineRule="auto"/>
              <w:rPr/>
            </w:pPr>
            <w:r>
              <w:rPr>
                <w:spacing w:val="8"/>
              </w:rPr>
              <w:t>及冶炼渣的破碎和堆放可能存在</w:t>
            </w:r>
            <w:r>
              <w:rPr>
                <w:spacing w:val="8"/>
              </w:rPr>
              <w:t xml:space="preserve"> </w:t>
            </w:r>
            <w:r>
              <w:rPr>
                <w:spacing w:val="7"/>
              </w:rPr>
              <w:t>泄露污染土壤、地下水</w:t>
            </w:r>
          </w:p>
        </w:tc>
      </w:tr>
      <w:tr>
        <w:trPr>
          <w:trHeight w:val="345" w:hRule="atLeast"/>
        </w:trPr>
        <w:tc>
          <w:tcPr>
            <w:tcW w:w="1226" w:type="dxa"/>
            <w:vAlign w:val="top"/>
            <w:vMerge w:val="continue"/>
            <w:tcBorders>
              <w:top w:val="nil"/>
            </w:tcBorders>
          </w:tcPr>
          <w:p>
            <w:pPr>
              <w:rPr>
                <w:rFonts w:ascii="Arial"/>
                <w:sz w:val="21"/>
              </w:rPr>
            </w:pPr>
            <w:r/>
          </w:p>
        </w:tc>
        <w:tc>
          <w:tcPr>
            <w:tcW w:w="1475" w:type="dxa"/>
            <w:vAlign w:val="top"/>
          </w:tcPr>
          <w:p>
            <w:pPr>
              <w:pStyle w:val="TableText"/>
              <w:ind w:left="259"/>
              <w:spacing w:before="67" w:line="231" w:lineRule="auto"/>
              <w:rPr>
                <w:rFonts w:ascii="Times New Roman" w:hAnsi="Times New Roman" w:eastAsia="Times New Roman" w:cs="Times New Roman"/>
              </w:rPr>
            </w:pPr>
            <w:r>
              <w:rPr>
                <w:spacing w:val="7"/>
              </w:rPr>
              <w:t>地下水</w:t>
            </w:r>
            <w:r>
              <w:rPr>
                <w:rFonts w:ascii="Times New Roman" w:hAnsi="Times New Roman" w:eastAsia="Times New Roman" w:cs="Times New Roman"/>
              </w:rPr>
              <w:t>ES</w:t>
            </w:r>
            <w:r>
              <w:rPr>
                <w:rFonts w:ascii="Times New Roman" w:hAnsi="Times New Roman" w:eastAsia="Times New Roman" w:cs="Times New Roman"/>
                <w:spacing w:val="7"/>
              </w:rPr>
              <w:t>1</w:t>
            </w:r>
          </w:p>
        </w:tc>
        <w:tc>
          <w:tcPr>
            <w:tcW w:w="2172" w:type="dxa"/>
            <w:vAlign w:val="top"/>
          </w:tcPr>
          <w:p>
            <w:pPr>
              <w:pStyle w:val="TableText"/>
              <w:ind w:left="583"/>
              <w:spacing w:before="67" w:line="231" w:lineRule="auto"/>
              <w:rPr/>
            </w:pPr>
            <w:r>
              <w:rPr>
                <w:spacing w:val="4"/>
              </w:rPr>
              <w:t>生产区北侧</w:t>
            </w:r>
          </w:p>
        </w:tc>
        <w:tc>
          <w:tcPr>
            <w:tcW w:w="1865" w:type="dxa"/>
            <w:vAlign w:val="top"/>
          </w:tcPr>
          <w:p>
            <w:pPr>
              <w:pStyle w:val="TableText"/>
              <w:ind w:left="315"/>
              <w:spacing w:before="67" w:line="231" w:lineRule="auto"/>
              <w:rPr/>
            </w:pPr>
            <w:r>
              <w:rPr>
                <w:spacing w:val="7"/>
              </w:rPr>
              <w:t>地下水监测点</w:t>
            </w:r>
          </w:p>
        </w:tc>
        <w:tc>
          <w:tcPr>
            <w:tcW w:w="3208" w:type="dxa"/>
            <w:vAlign w:val="top"/>
            <w:vMerge w:val="continue"/>
            <w:tcBorders>
              <w:top w:val="nil"/>
            </w:tcBorders>
          </w:tcPr>
          <w:p>
            <w:pPr>
              <w:rPr>
                <w:rFonts w:ascii="Arial"/>
                <w:sz w:val="21"/>
              </w:rPr>
            </w:pPr>
            <w:r/>
          </w:p>
        </w:tc>
      </w:tr>
      <w:tr>
        <w:trPr>
          <w:trHeight w:val="345" w:hRule="atLeast"/>
        </w:trPr>
        <w:tc>
          <w:tcPr>
            <w:tcW w:w="1226" w:type="dxa"/>
            <w:vAlign w:val="top"/>
            <w:vMerge w:val="restart"/>
            <w:tcBorders>
              <w:bottom w:val="nil"/>
            </w:tcBorders>
          </w:tcPr>
          <w:p>
            <w:pPr>
              <w:pStyle w:val="TableText"/>
              <w:ind w:left="206"/>
              <w:spacing w:before="94" w:line="228" w:lineRule="auto"/>
              <w:rPr/>
            </w:pPr>
            <w:r>
              <w:rPr>
                <w:spacing w:val="5"/>
              </w:rPr>
              <w:t>制球车间</w:t>
            </w:r>
          </w:p>
          <w:p>
            <w:pPr>
              <w:pStyle w:val="TableText"/>
              <w:ind w:left="308" w:right="191" w:hanging="99"/>
              <w:spacing w:before="24" w:line="250" w:lineRule="auto"/>
              <w:rPr/>
            </w:pPr>
            <w:r>
              <w:rPr>
                <w:spacing w:val="4"/>
              </w:rPr>
              <w:t>（原铜泥</w:t>
            </w:r>
            <w:r>
              <w:rPr>
                <w:spacing w:val="2"/>
              </w:rPr>
              <w:t xml:space="preserve"> </w:t>
            </w:r>
            <w:r>
              <w:rPr>
                <w:spacing w:val="1"/>
              </w:rPr>
              <w:t>堆场）</w:t>
            </w:r>
          </w:p>
        </w:tc>
        <w:tc>
          <w:tcPr>
            <w:tcW w:w="1475" w:type="dxa"/>
            <w:vAlign w:val="top"/>
          </w:tcPr>
          <w:p>
            <w:pPr>
              <w:pStyle w:val="TableText"/>
              <w:ind w:left="364"/>
              <w:spacing w:before="68"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FT</w:t>
            </w:r>
            <w:r>
              <w:rPr>
                <w:rFonts w:ascii="Times New Roman" w:hAnsi="Times New Roman" w:eastAsia="Times New Roman" w:cs="Times New Roman"/>
                <w:spacing w:val="6"/>
              </w:rPr>
              <w:t>1</w:t>
            </w:r>
          </w:p>
        </w:tc>
        <w:tc>
          <w:tcPr>
            <w:tcW w:w="2172" w:type="dxa"/>
            <w:vAlign w:val="top"/>
          </w:tcPr>
          <w:p>
            <w:pPr>
              <w:pStyle w:val="TableText"/>
              <w:ind w:left="583"/>
              <w:spacing w:before="67" w:line="231" w:lineRule="auto"/>
              <w:rPr/>
            </w:pPr>
            <w:r>
              <w:rPr>
                <w:spacing w:val="4"/>
              </w:rPr>
              <w:t>生产区北侧</w:t>
            </w:r>
          </w:p>
        </w:tc>
        <w:tc>
          <w:tcPr>
            <w:tcW w:w="1865" w:type="dxa"/>
            <w:vAlign w:val="top"/>
          </w:tcPr>
          <w:p>
            <w:pPr>
              <w:pStyle w:val="TableText"/>
              <w:ind w:left="210"/>
              <w:spacing w:before="67" w:line="232" w:lineRule="auto"/>
              <w:rPr/>
            </w:pPr>
            <w:r>
              <w:rPr>
                <w:spacing w:val="7"/>
              </w:rPr>
              <w:t>表层土壤监测点</w:t>
            </w:r>
          </w:p>
        </w:tc>
        <w:tc>
          <w:tcPr>
            <w:tcW w:w="3208" w:type="dxa"/>
            <w:vAlign w:val="top"/>
            <w:vMerge w:val="restart"/>
            <w:tcBorders>
              <w:bottom w:val="nil"/>
            </w:tcBorders>
          </w:tcPr>
          <w:p>
            <w:pPr>
              <w:pStyle w:val="TableText"/>
              <w:ind w:left="251"/>
              <w:spacing w:before="54" w:line="229" w:lineRule="auto"/>
              <w:rPr/>
            </w:pPr>
            <w:r>
              <w:rPr>
                <w:spacing w:val="8"/>
              </w:rPr>
              <w:t>铜泥堆场以及进行铜泥制球工</w:t>
            </w:r>
          </w:p>
          <w:p>
            <w:pPr>
              <w:pStyle w:val="TableText"/>
              <w:ind w:left="143"/>
              <w:spacing w:before="63" w:line="228" w:lineRule="auto"/>
              <w:rPr/>
            </w:pPr>
            <w:r>
              <w:rPr>
                <w:spacing w:val="8"/>
              </w:rPr>
              <w:t>序，铜泥为危险废物，可能存在</w:t>
            </w:r>
          </w:p>
          <w:p>
            <w:pPr>
              <w:pStyle w:val="TableText"/>
              <w:ind w:left="570"/>
              <w:spacing w:before="64" w:line="231" w:lineRule="auto"/>
              <w:rPr/>
            </w:pPr>
            <w:r>
              <w:rPr>
                <w:spacing w:val="7"/>
              </w:rPr>
              <w:t>泄露污染土壤、地下水</w:t>
            </w:r>
          </w:p>
        </w:tc>
      </w:tr>
      <w:tr>
        <w:trPr>
          <w:trHeight w:val="590" w:hRule="atLeast"/>
        </w:trPr>
        <w:tc>
          <w:tcPr>
            <w:tcW w:w="1226" w:type="dxa"/>
            <w:vAlign w:val="top"/>
            <w:vMerge w:val="continue"/>
            <w:tcBorders>
              <w:top w:val="nil"/>
            </w:tcBorders>
          </w:tcPr>
          <w:p>
            <w:pPr>
              <w:rPr>
                <w:rFonts w:ascii="Arial"/>
                <w:sz w:val="21"/>
              </w:rPr>
            </w:pPr>
            <w:r/>
          </w:p>
        </w:tc>
        <w:tc>
          <w:tcPr>
            <w:tcW w:w="1475" w:type="dxa"/>
            <w:vAlign w:val="top"/>
          </w:tcPr>
          <w:p>
            <w:pPr>
              <w:pStyle w:val="TableText"/>
              <w:ind w:left="264"/>
              <w:spacing w:before="190" w:line="231" w:lineRule="auto"/>
              <w:rPr>
                <w:rFonts w:ascii="Times New Roman" w:hAnsi="Times New Roman" w:eastAsia="Times New Roman" w:cs="Times New Roman"/>
              </w:rPr>
            </w:pPr>
            <w:r>
              <w:rPr>
                <w:spacing w:val="7"/>
              </w:rPr>
              <w:t>地下水</w:t>
            </w:r>
            <w:r>
              <w:rPr>
                <w:rFonts w:ascii="Times New Roman" w:hAnsi="Times New Roman" w:eastAsia="Times New Roman" w:cs="Times New Roman"/>
              </w:rPr>
              <w:t>FS</w:t>
            </w:r>
            <w:r>
              <w:rPr>
                <w:rFonts w:ascii="Times New Roman" w:hAnsi="Times New Roman" w:eastAsia="Times New Roman" w:cs="Times New Roman"/>
                <w:spacing w:val="7"/>
              </w:rPr>
              <w:t>1</w:t>
            </w:r>
          </w:p>
        </w:tc>
        <w:tc>
          <w:tcPr>
            <w:tcW w:w="2172" w:type="dxa"/>
            <w:vAlign w:val="top"/>
          </w:tcPr>
          <w:p>
            <w:pPr>
              <w:pStyle w:val="TableText"/>
              <w:ind w:left="583"/>
              <w:spacing w:before="190" w:line="231" w:lineRule="auto"/>
              <w:rPr/>
            </w:pPr>
            <w:r>
              <w:rPr>
                <w:spacing w:val="4"/>
              </w:rPr>
              <w:t>生产区北侧</w:t>
            </w:r>
          </w:p>
        </w:tc>
        <w:tc>
          <w:tcPr>
            <w:tcW w:w="1865" w:type="dxa"/>
            <w:vAlign w:val="top"/>
          </w:tcPr>
          <w:p>
            <w:pPr>
              <w:pStyle w:val="TableText"/>
              <w:ind w:left="315"/>
              <w:spacing w:before="190" w:line="231" w:lineRule="auto"/>
              <w:rPr/>
            </w:pPr>
            <w:r>
              <w:rPr>
                <w:spacing w:val="7"/>
              </w:rPr>
              <w:t>地下水监测点</w:t>
            </w:r>
          </w:p>
        </w:tc>
        <w:tc>
          <w:tcPr>
            <w:tcW w:w="3208" w:type="dxa"/>
            <w:vAlign w:val="top"/>
            <w:vMerge w:val="continue"/>
            <w:tcBorders>
              <w:top w:val="nil"/>
            </w:tcBorders>
          </w:tcPr>
          <w:p>
            <w:pPr>
              <w:rPr>
                <w:rFonts w:ascii="Arial"/>
                <w:sz w:val="21"/>
              </w:rPr>
            </w:pPr>
            <w:r/>
          </w:p>
        </w:tc>
      </w:tr>
      <w:tr>
        <w:trPr>
          <w:trHeight w:val="345" w:hRule="atLeast"/>
        </w:trPr>
        <w:tc>
          <w:tcPr>
            <w:tcW w:w="1226" w:type="dxa"/>
            <w:vAlign w:val="top"/>
            <w:vMerge w:val="restart"/>
            <w:tcBorders>
              <w:bottom w:val="nil"/>
            </w:tcBorders>
          </w:tcPr>
          <w:p>
            <w:pPr>
              <w:pStyle w:val="TableText"/>
              <w:ind w:left="124" w:right="82" w:firstLine="83"/>
              <w:spacing w:before="146" w:line="251" w:lineRule="auto"/>
              <w:rPr/>
            </w:pPr>
            <w:r>
              <w:rPr>
                <w:spacing w:val="5"/>
              </w:rPr>
              <w:t>废弃物提</w:t>
            </w:r>
            <w:r>
              <w:rPr/>
              <w:t xml:space="preserve">  </w:t>
            </w:r>
            <w:r>
              <w:rPr>
                <w:spacing w:val="2"/>
              </w:rPr>
              <w:t>纯（竖炉）</w:t>
            </w:r>
          </w:p>
          <w:p>
            <w:pPr>
              <w:pStyle w:val="TableText"/>
              <w:ind w:left="537"/>
              <w:spacing w:line="241" w:lineRule="auto"/>
              <w:rPr/>
            </w:pPr>
            <w:r>
              <w:rPr/>
              <w:t>区</w:t>
            </w:r>
          </w:p>
        </w:tc>
        <w:tc>
          <w:tcPr>
            <w:tcW w:w="1475" w:type="dxa"/>
            <w:vAlign w:val="top"/>
          </w:tcPr>
          <w:p>
            <w:pPr>
              <w:pStyle w:val="TableText"/>
              <w:ind w:left="347"/>
              <w:spacing w:before="68"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GT</w:t>
            </w:r>
            <w:r>
              <w:rPr>
                <w:rFonts w:ascii="Times New Roman" w:hAnsi="Times New Roman" w:eastAsia="Times New Roman" w:cs="Times New Roman"/>
                <w:spacing w:val="6"/>
              </w:rPr>
              <w:t>1</w:t>
            </w:r>
          </w:p>
        </w:tc>
        <w:tc>
          <w:tcPr>
            <w:tcW w:w="2172" w:type="dxa"/>
            <w:vAlign w:val="top"/>
          </w:tcPr>
          <w:p>
            <w:pPr>
              <w:pStyle w:val="TableText"/>
              <w:ind w:left="478"/>
              <w:spacing w:before="68" w:line="231" w:lineRule="auto"/>
              <w:rPr/>
            </w:pPr>
            <w:r>
              <w:rPr>
                <w:spacing w:val="5"/>
              </w:rPr>
              <w:t>生产区东北侧</w:t>
            </w:r>
          </w:p>
        </w:tc>
        <w:tc>
          <w:tcPr>
            <w:tcW w:w="1865" w:type="dxa"/>
            <w:vAlign w:val="top"/>
          </w:tcPr>
          <w:p>
            <w:pPr>
              <w:pStyle w:val="TableText"/>
              <w:ind w:left="210"/>
              <w:spacing w:before="68" w:line="232" w:lineRule="auto"/>
              <w:rPr/>
            </w:pPr>
            <w:r>
              <w:rPr>
                <w:spacing w:val="7"/>
              </w:rPr>
              <w:t>表层土壤监测点</w:t>
            </w:r>
          </w:p>
        </w:tc>
        <w:tc>
          <w:tcPr>
            <w:tcW w:w="3208" w:type="dxa"/>
            <w:vAlign w:val="top"/>
            <w:vMerge w:val="restart"/>
            <w:tcBorders>
              <w:bottom w:val="nil"/>
            </w:tcBorders>
          </w:tcPr>
          <w:p>
            <w:pPr>
              <w:pStyle w:val="TableText"/>
              <w:ind w:left="141"/>
              <w:spacing w:before="106" w:line="228" w:lineRule="auto"/>
              <w:rPr/>
            </w:pPr>
            <w:r>
              <w:rPr>
                <w:spacing w:val="9"/>
              </w:rPr>
              <w:t>有色金属废弃物）处理车间（冶</w:t>
            </w:r>
          </w:p>
          <w:p>
            <w:pPr>
              <w:pStyle w:val="TableText"/>
              <w:ind w:left="143"/>
              <w:spacing w:before="64" w:line="232" w:lineRule="auto"/>
              <w:rPr/>
            </w:pPr>
            <w:r>
              <w:rPr>
                <w:spacing w:val="7"/>
              </w:rPr>
              <w:t>炼</w:t>
            </w:r>
            <w:r>
              <w:rPr>
                <w:spacing w:val="23"/>
              </w:rPr>
              <w:t>），</w:t>
            </w:r>
            <w:r>
              <w:rPr>
                <w:spacing w:val="7"/>
              </w:rPr>
              <w:t>为全厂的主要产污区，可</w:t>
            </w:r>
          </w:p>
          <w:p>
            <w:pPr>
              <w:pStyle w:val="TableText"/>
              <w:ind w:left="261"/>
              <w:spacing w:before="61" w:line="228" w:lineRule="auto"/>
              <w:rPr/>
            </w:pPr>
            <w:r>
              <w:rPr>
                <w:spacing w:val="7"/>
              </w:rPr>
              <w:t>能存在泄露污染土壤、地下水</w:t>
            </w:r>
          </w:p>
        </w:tc>
      </w:tr>
      <w:tr>
        <w:trPr>
          <w:trHeight w:val="345" w:hRule="atLeast"/>
        </w:trPr>
        <w:tc>
          <w:tcPr>
            <w:tcW w:w="1226" w:type="dxa"/>
            <w:vAlign w:val="top"/>
            <w:vMerge w:val="continue"/>
            <w:tcBorders>
              <w:top w:val="nil"/>
              <w:bottom w:val="nil"/>
            </w:tcBorders>
          </w:tcPr>
          <w:p>
            <w:pPr>
              <w:rPr>
                <w:rFonts w:ascii="Arial"/>
                <w:sz w:val="21"/>
              </w:rPr>
            </w:pPr>
            <w:r/>
          </w:p>
        </w:tc>
        <w:tc>
          <w:tcPr>
            <w:tcW w:w="1475" w:type="dxa"/>
            <w:vAlign w:val="top"/>
          </w:tcPr>
          <w:p>
            <w:pPr>
              <w:pStyle w:val="TableText"/>
              <w:ind w:left="347"/>
              <w:spacing w:before="69"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GT</w:t>
            </w:r>
            <w:r>
              <w:rPr>
                <w:rFonts w:ascii="Times New Roman" w:hAnsi="Times New Roman" w:eastAsia="Times New Roman" w:cs="Times New Roman"/>
                <w:spacing w:val="6"/>
              </w:rPr>
              <w:t>2</w:t>
            </w:r>
          </w:p>
        </w:tc>
        <w:tc>
          <w:tcPr>
            <w:tcW w:w="2172" w:type="dxa"/>
            <w:vAlign w:val="top"/>
          </w:tcPr>
          <w:p>
            <w:pPr>
              <w:pStyle w:val="TableText"/>
              <w:ind w:left="478"/>
              <w:spacing w:before="68" w:line="231" w:lineRule="auto"/>
              <w:rPr/>
            </w:pPr>
            <w:r>
              <w:rPr>
                <w:spacing w:val="5"/>
              </w:rPr>
              <w:t>生产区西北侧</w:t>
            </w:r>
          </w:p>
        </w:tc>
        <w:tc>
          <w:tcPr>
            <w:tcW w:w="1865" w:type="dxa"/>
            <w:vAlign w:val="top"/>
          </w:tcPr>
          <w:p>
            <w:pPr>
              <w:pStyle w:val="TableText"/>
              <w:ind w:left="210"/>
              <w:spacing w:before="68" w:line="232" w:lineRule="auto"/>
              <w:rPr/>
            </w:pPr>
            <w:r>
              <w:rPr>
                <w:spacing w:val="7"/>
              </w:rPr>
              <w:t>表层土壤监测点</w:t>
            </w:r>
          </w:p>
        </w:tc>
        <w:tc>
          <w:tcPr>
            <w:tcW w:w="3208" w:type="dxa"/>
            <w:vAlign w:val="top"/>
            <w:vMerge w:val="continue"/>
            <w:tcBorders>
              <w:top w:val="nil"/>
              <w:bottom w:val="nil"/>
            </w:tcBorders>
          </w:tcPr>
          <w:p>
            <w:pPr>
              <w:rPr>
                <w:rFonts w:ascii="Arial"/>
                <w:sz w:val="21"/>
              </w:rPr>
            </w:pPr>
            <w:r/>
          </w:p>
        </w:tc>
      </w:tr>
      <w:tr>
        <w:trPr>
          <w:trHeight w:val="345" w:hRule="atLeast"/>
        </w:trPr>
        <w:tc>
          <w:tcPr>
            <w:tcW w:w="1226" w:type="dxa"/>
            <w:vAlign w:val="top"/>
            <w:vMerge w:val="continue"/>
            <w:tcBorders>
              <w:top w:val="nil"/>
            </w:tcBorders>
          </w:tcPr>
          <w:p>
            <w:pPr>
              <w:rPr>
                <w:rFonts w:ascii="Arial"/>
                <w:sz w:val="21"/>
              </w:rPr>
            </w:pPr>
            <w:r/>
          </w:p>
        </w:tc>
        <w:tc>
          <w:tcPr>
            <w:tcW w:w="1475" w:type="dxa"/>
            <w:vAlign w:val="top"/>
          </w:tcPr>
          <w:p>
            <w:pPr>
              <w:pStyle w:val="TableText"/>
              <w:ind w:left="247"/>
              <w:spacing w:before="69" w:line="231" w:lineRule="auto"/>
              <w:rPr>
                <w:rFonts w:ascii="Times New Roman" w:hAnsi="Times New Roman" w:eastAsia="Times New Roman" w:cs="Times New Roman"/>
              </w:rPr>
            </w:pPr>
            <w:r>
              <w:rPr>
                <w:spacing w:val="7"/>
              </w:rPr>
              <w:t>地下水</w:t>
            </w:r>
            <w:r>
              <w:rPr>
                <w:rFonts w:ascii="Times New Roman" w:hAnsi="Times New Roman" w:eastAsia="Times New Roman" w:cs="Times New Roman"/>
              </w:rPr>
              <w:t>GS</w:t>
            </w:r>
            <w:r>
              <w:rPr>
                <w:rFonts w:ascii="Times New Roman" w:hAnsi="Times New Roman" w:eastAsia="Times New Roman" w:cs="Times New Roman"/>
                <w:spacing w:val="7"/>
              </w:rPr>
              <w:t>1</w:t>
            </w:r>
          </w:p>
        </w:tc>
        <w:tc>
          <w:tcPr>
            <w:tcW w:w="2172" w:type="dxa"/>
            <w:vAlign w:val="top"/>
          </w:tcPr>
          <w:p>
            <w:pPr>
              <w:pStyle w:val="TableText"/>
              <w:ind w:left="478"/>
              <w:spacing w:before="69" w:line="231" w:lineRule="auto"/>
              <w:rPr/>
            </w:pPr>
            <w:r>
              <w:rPr>
                <w:spacing w:val="5"/>
              </w:rPr>
              <w:t>生产区东北侧</w:t>
            </w:r>
          </w:p>
        </w:tc>
        <w:tc>
          <w:tcPr>
            <w:tcW w:w="1865" w:type="dxa"/>
            <w:vAlign w:val="top"/>
          </w:tcPr>
          <w:p>
            <w:pPr>
              <w:pStyle w:val="TableText"/>
              <w:ind w:left="315"/>
              <w:spacing w:before="69" w:line="231" w:lineRule="auto"/>
              <w:rPr/>
            </w:pPr>
            <w:r>
              <w:rPr>
                <w:spacing w:val="7"/>
              </w:rPr>
              <w:t>地下水监测点</w:t>
            </w:r>
          </w:p>
        </w:tc>
        <w:tc>
          <w:tcPr>
            <w:tcW w:w="3208" w:type="dxa"/>
            <w:vAlign w:val="top"/>
            <w:vMerge w:val="continue"/>
            <w:tcBorders>
              <w:top w:val="nil"/>
            </w:tcBorders>
          </w:tcPr>
          <w:p>
            <w:pPr>
              <w:rPr>
                <w:rFonts w:ascii="Arial"/>
                <w:sz w:val="21"/>
              </w:rPr>
            </w:pPr>
            <w:r/>
          </w:p>
        </w:tc>
      </w:tr>
      <w:tr>
        <w:trPr>
          <w:trHeight w:val="345" w:hRule="atLeast"/>
        </w:trPr>
        <w:tc>
          <w:tcPr>
            <w:tcW w:w="1226" w:type="dxa"/>
            <w:vAlign w:val="top"/>
            <w:vMerge w:val="restart"/>
            <w:tcBorders>
              <w:bottom w:val="nil"/>
            </w:tcBorders>
          </w:tcPr>
          <w:p>
            <w:pPr>
              <w:pStyle w:val="TableText"/>
              <w:ind w:left="311" w:right="110" w:hanging="188"/>
              <w:spacing w:before="282" w:line="251" w:lineRule="auto"/>
              <w:rPr/>
            </w:pPr>
            <w:r>
              <w:rPr>
                <w:spacing w:val="-3"/>
              </w:rPr>
              <w:t>废气、废水</w:t>
            </w:r>
            <w:r>
              <w:rPr>
                <w:spacing w:val="1"/>
              </w:rPr>
              <w:t xml:space="preserve"> </w:t>
            </w:r>
            <w:r>
              <w:rPr>
                <w:spacing w:val="3"/>
              </w:rPr>
              <w:t>治理区</w:t>
            </w:r>
          </w:p>
        </w:tc>
        <w:tc>
          <w:tcPr>
            <w:tcW w:w="1475" w:type="dxa"/>
            <w:vAlign w:val="top"/>
          </w:tcPr>
          <w:p>
            <w:pPr>
              <w:pStyle w:val="TableText"/>
              <w:ind w:left="347"/>
              <w:spacing w:before="67"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HT</w:t>
            </w:r>
            <w:r>
              <w:rPr>
                <w:rFonts w:ascii="Times New Roman" w:hAnsi="Times New Roman" w:eastAsia="Times New Roman" w:cs="Times New Roman"/>
                <w:spacing w:val="6"/>
              </w:rPr>
              <w:t>1</w:t>
            </w:r>
          </w:p>
        </w:tc>
        <w:tc>
          <w:tcPr>
            <w:tcW w:w="2172" w:type="dxa"/>
            <w:vAlign w:val="top"/>
          </w:tcPr>
          <w:p>
            <w:pPr>
              <w:pStyle w:val="TableText"/>
              <w:ind w:left="574"/>
              <w:spacing w:before="69" w:line="231" w:lineRule="auto"/>
              <w:rPr/>
            </w:pPr>
            <w:r>
              <w:rPr>
                <w:spacing w:val="6"/>
              </w:rPr>
              <w:t>治理区东侧</w:t>
            </w:r>
          </w:p>
        </w:tc>
        <w:tc>
          <w:tcPr>
            <w:tcW w:w="1865" w:type="dxa"/>
            <w:vAlign w:val="top"/>
          </w:tcPr>
          <w:p>
            <w:pPr>
              <w:pStyle w:val="TableText"/>
              <w:ind w:left="208"/>
              <w:spacing w:before="69" w:line="231" w:lineRule="auto"/>
              <w:rPr/>
            </w:pPr>
            <w:r>
              <w:rPr>
                <w:b/>
                <w:bCs/>
                <w:spacing w:val="5"/>
              </w:rPr>
              <w:t>深层土壤监测点</w:t>
            </w:r>
          </w:p>
        </w:tc>
        <w:tc>
          <w:tcPr>
            <w:tcW w:w="3208" w:type="dxa"/>
            <w:vAlign w:val="top"/>
            <w:vMerge w:val="restart"/>
            <w:tcBorders>
              <w:bottom w:val="nil"/>
            </w:tcBorders>
          </w:tcPr>
          <w:p>
            <w:pPr>
              <w:pStyle w:val="TableText"/>
              <w:ind w:left="880" w:right="135" w:hanging="734"/>
              <w:spacing w:before="264" w:line="288" w:lineRule="auto"/>
              <w:rPr/>
            </w:pPr>
            <w:r>
              <w:rPr>
                <w:spacing w:val="8"/>
              </w:rPr>
              <w:t>废水处理区域，可能存在泄露污</w:t>
            </w:r>
            <w:r>
              <w:rPr>
                <w:spacing w:val="8"/>
              </w:rPr>
              <w:t xml:space="preserve"> </w:t>
            </w:r>
            <w:r>
              <w:rPr>
                <w:spacing w:val="7"/>
              </w:rPr>
              <w:t>染土壤、地下水</w:t>
            </w:r>
          </w:p>
        </w:tc>
      </w:tr>
      <w:tr>
        <w:trPr>
          <w:trHeight w:val="345" w:hRule="atLeast"/>
        </w:trPr>
        <w:tc>
          <w:tcPr>
            <w:tcW w:w="1226" w:type="dxa"/>
            <w:vAlign w:val="top"/>
            <w:vMerge w:val="continue"/>
            <w:tcBorders>
              <w:top w:val="nil"/>
              <w:bottom w:val="nil"/>
            </w:tcBorders>
          </w:tcPr>
          <w:p>
            <w:pPr>
              <w:rPr>
                <w:rFonts w:ascii="Arial"/>
                <w:sz w:val="21"/>
              </w:rPr>
            </w:pPr>
            <w:r/>
          </w:p>
        </w:tc>
        <w:tc>
          <w:tcPr>
            <w:tcW w:w="1475" w:type="dxa"/>
            <w:vAlign w:val="top"/>
          </w:tcPr>
          <w:p>
            <w:pPr>
              <w:pStyle w:val="TableText"/>
              <w:ind w:left="347"/>
              <w:spacing w:before="68"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HT</w:t>
            </w:r>
            <w:r>
              <w:rPr>
                <w:rFonts w:ascii="Times New Roman" w:hAnsi="Times New Roman" w:eastAsia="Times New Roman" w:cs="Times New Roman"/>
                <w:spacing w:val="6"/>
              </w:rPr>
              <w:t>2</w:t>
            </w:r>
          </w:p>
        </w:tc>
        <w:tc>
          <w:tcPr>
            <w:tcW w:w="2172" w:type="dxa"/>
            <w:vAlign w:val="top"/>
          </w:tcPr>
          <w:p>
            <w:pPr>
              <w:pStyle w:val="TableText"/>
              <w:ind w:left="574"/>
              <w:spacing w:before="70" w:line="231" w:lineRule="auto"/>
              <w:rPr/>
            </w:pPr>
            <w:r>
              <w:rPr>
                <w:spacing w:val="6"/>
              </w:rPr>
              <w:t>治理区北侧</w:t>
            </w:r>
          </w:p>
        </w:tc>
        <w:tc>
          <w:tcPr>
            <w:tcW w:w="1865" w:type="dxa"/>
            <w:vAlign w:val="top"/>
          </w:tcPr>
          <w:p>
            <w:pPr>
              <w:pStyle w:val="TableText"/>
              <w:ind w:left="210"/>
              <w:spacing w:before="69" w:line="232" w:lineRule="auto"/>
              <w:rPr/>
            </w:pPr>
            <w:r>
              <w:rPr>
                <w:spacing w:val="7"/>
              </w:rPr>
              <w:t>表层土壤监测点</w:t>
            </w:r>
          </w:p>
        </w:tc>
        <w:tc>
          <w:tcPr>
            <w:tcW w:w="3208" w:type="dxa"/>
            <w:vAlign w:val="top"/>
            <w:vMerge w:val="continue"/>
            <w:tcBorders>
              <w:top w:val="nil"/>
              <w:bottom w:val="nil"/>
            </w:tcBorders>
          </w:tcPr>
          <w:p>
            <w:pPr>
              <w:rPr>
                <w:rFonts w:ascii="Arial"/>
                <w:sz w:val="21"/>
              </w:rPr>
            </w:pPr>
            <w:r/>
          </w:p>
        </w:tc>
      </w:tr>
      <w:tr>
        <w:trPr>
          <w:trHeight w:val="345" w:hRule="atLeast"/>
        </w:trPr>
        <w:tc>
          <w:tcPr>
            <w:tcW w:w="1226" w:type="dxa"/>
            <w:vAlign w:val="top"/>
            <w:vMerge w:val="continue"/>
            <w:tcBorders>
              <w:top w:val="nil"/>
            </w:tcBorders>
          </w:tcPr>
          <w:p>
            <w:pPr>
              <w:rPr>
                <w:rFonts w:ascii="Arial"/>
                <w:sz w:val="21"/>
              </w:rPr>
            </w:pPr>
            <w:r/>
          </w:p>
        </w:tc>
        <w:tc>
          <w:tcPr>
            <w:tcW w:w="1475" w:type="dxa"/>
            <w:vAlign w:val="top"/>
          </w:tcPr>
          <w:p>
            <w:pPr>
              <w:pStyle w:val="TableText"/>
              <w:ind w:left="247"/>
              <w:spacing w:before="68" w:line="231" w:lineRule="auto"/>
              <w:rPr>
                <w:rFonts w:ascii="Times New Roman" w:hAnsi="Times New Roman" w:eastAsia="Times New Roman" w:cs="Times New Roman"/>
              </w:rPr>
            </w:pPr>
            <w:r>
              <w:rPr>
                <w:spacing w:val="7"/>
              </w:rPr>
              <w:t>地下水</w:t>
            </w:r>
            <w:r>
              <w:rPr>
                <w:rFonts w:ascii="Times New Roman" w:hAnsi="Times New Roman" w:eastAsia="Times New Roman" w:cs="Times New Roman"/>
              </w:rPr>
              <w:t>HS</w:t>
            </w:r>
            <w:r>
              <w:rPr>
                <w:rFonts w:ascii="Times New Roman" w:hAnsi="Times New Roman" w:eastAsia="Times New Roman" w:cs="Times New Roman"/>
                <w:spacing w:val="7"/>
              </w:rPr>
              <w:t>1</w:t>
            </w:r>
          </w:p>
        </w:tc>
        <w:tc>
          <w:tcPr>
            <w:tcW w:w="2172" w:type="dxa"/>
            <w:vAlign w:val="top"/>
          </w:tcPr>
          <w:p>
            <w:pPr>
              <w:pStyle w:val="TableText"/>
              <w:ind w:left="574"/>
              <w:spacing w:before="68" w:line="231" w:lineRule="auto"/>
              <w:rPr/>
            </w:pPr>
            <w:r>
              <w:rPr>
                <w:spacing w:val="6"/>
              </w:rPr>
              <w:t>治理区北侧</w:t>
            </w:r>
          </w:p>
        </w:tc>
        <w:tc>
          <w:tcPr>
            <w:tcW w:w="1865" w:type="dxa"/>
            <w:vAlign w:val="top"/>
          </w:tcPr>
          <w:p>
            <w:pPr>
              <w:pStyle w:val="TableText"/>
              <w:ind w:left="315"/>
              <w:spacing w:before="68" w:line="231" w:lineRule="auto"/>
              <w:rPr/>
            </w:pPr>
            <w:r>
              <w:rPr>
                <w:spacing w:val="7"/>
              </w:rPr>
              <w:t>地下水监测点</w:t>
            </w:r>
          </w:p>
        </w:tc>
        <w:tc>
          <w:tcPr>
            <w:tcW w:w="3208" w:type="dxa"/>
            <w:vAlign w:val="top"/>
            <w:vMerge w:val="continue"/>
            <w:tcBorders>
              <w:top w:val="nil"/>
            </w:tcBorders>
          </w:tcPr>
          <w:p>
            <w:pPr>
              <w:rPr>
                <w:rFonts w:ascii="Arial"/>
                <w:sz w:val="21"/>
              </w:rPr>
            </w:pPr>
            <w:r/>
          </w:p>
        </w:tc>
      </w:tr>
      <w:tr>
        <w:trPr>
          <w:trHeight w:val="633" w:hRule="atLeast"/>
        </w:trPr>
        <w:tc>
          <w:tcPr>
            <w:tcW w:w="1226" w:type="dxa"/>
            <w:vAlign w:val="top"/>
          </w:tcPr>
          <w:p>
            <w:pPr>
              <w:pStyle w:val="TableText"/>
              <w:ind w:left="418" w:right="191" w:hanging="212"/>
              <w:spacing w:before="55" w:line="262" w:lineRule="auto"/>
              <w:rPr/>
            </w:pPr>
            <w:r>
              <w:rPr>
                <w:spacing w:val="5"/>
              </w:rPr>
              <w:t>地下水对</w:t>
            </w:r>
            <w:r>
              <w:rPr>
                <w:spacing w:val="2"/>
              </w:rPr>
              <w:t xml:space="preserve"> </w:t>
            </w:r>
            <w:r>
              <w:rPr>
                <w:spacing w:val="-1"/>
              </w:rPr>
              <w:t>照点</w:t>
            </w:r>
          </w:p>
        </w:tc>
        <w:tc>
          <w:tcPr>
            <w:tcW w:w="1475" w:type="dxa"/>
            <w:vAlign w:val="top"/>
          </w:tcPr>
          <w:p>
            <w:pPr>
              <w:pStyle w:val="TableText"/>
              <w:ind w:left="182"/>
              <w:spacing w:before="210" w:line="231" w:lineRule="auto"/>
              <w:rPr>
                <w:rFonts w:ascii="Times New Roman" w:hAnsi="Times New Roman" w:eastAsia="Times New Roman" w:cs="Times New Roman"/>
              </w:rPr>
            </w:pPr>
            <w:r>
              <w:rPr>
                <w:spacing w:val="9"/>
              </w:rPr>
              <w:t>地下水</w:t>
            </w:r>
            <w:r>
              <w:rPr>
                <w:rFonts w:ascii="Times New Roman" w:hAnsi="Times New Roman" w:eastAsia="Times New Roman" w:cs="Times New Roman"/>
              </w:rPr>
              <w:t>DZS</w:t>
            </w:r>
            <w:r>
              <w:rPr>
                <w:rFonts w:ascii="Times New Roman" w:hAnsi="Times New Roman" w:eastAsia="Times New Roman" w:cs="Times New Roman"/>
                <w:spacing w:val="9"/>
              </w:rPr>
              <w:t>1</w:t>
            </w:r>
          </w:p>
        </w:tc>
        <w:tc>
          <w:tcPr>
            <w:tcW w:w="2172" w:type="dxa"/>
            <w:vAlign w:val="top"/>
          </w:tcPr>
          <w:p>
            <w:pPr>
              <w:pStyle w:val="TableText"/>
              <w:ind w:left="256"/>
              <w:spacing w:before="209" w:line="232" w:lineRule="auto"/>
              <w:rPr/>
            </w:pPr>
            <w:r>
              <w:rPr>
                <w:spacing w:val="6"/>
              </w:rPr>
              <w:t>厂区南侧（偏东）</w:t>
            </w:r>
          </w:p>
        </w:tc>
        <w:tc>
          <w:tcPr>
            <w:tcW w:w="1865" w:type="dxa"/>
            <w:vAlign w:val="top"/>
          </w:tcPr>
          <w:p>
            <w:pPr>
              <w:pStyle w:val="TableText"/>
              <w:ind w:left="315"/>
              <w:spacing w:before="210" w:line="231" w:lineRule="auto"/>
              <w:rPr/>
            </w:pPr>
            <w:r>
              <w:rPr>
                <w:spacing w:val="7"/>
              </w:rPr>
              <w:t>地下水监测点</w:t>
            </w:r>
          </w:p>
        </w:tc>
        <w:tc>
          <w:tcPr>
            <w:tcW w:w="3208" w:type="dxa"/>
            <w:vAlign w:val="top"/>
          </w:tcPr>
          <w:p>
            <w:pPr>
              <w:pStyle w:val="TableText"/>
              <w:ind w:left="877"/>
              <w:spacing w:before="210" w:line="231" w:lineRule="auto"/>
              <w:rPr/>
            </w:pPr>
            <w:r>
              <w:rPr>
                <w:spacing w:val="7"/>
              </w:rPr>
              <w:t>厂区地下水上游</w:t>
            </w:r>
          </w:p>
        </w:tc>
      </w:tr>
    </w:tbl>
    <w:p>
      <w:pPr>
        <w:ind w:left="117" w:right="102" w:firstLine="362"/>
        <w:spacing w:before="63" w:line="320" w:lineRule="auto"/>
        <w:rPr>
          <w:rFonts w:ascii="FangSong" w:hAnsi="FangSong" w:eastAsia="FangSong" w:cs="FangSong"/>
          <w:sz w:val="18"/>
          <w:szCs w:val="18"/>
        </w:rPr>
      </w:pPr>
      <w:r>
        <w:rPr>
          <w:rFonts w:ascii="FangSong" w:hAnsi="FangSong" w:eastAsia="FangSong" w:cs="FangSong"/>
          <w:sz w:val="18"/>
          <w:szCs w:val="18"/>
        </w:rPr>
        <w:t>注：由于企业目前仍在生产中，且车间均已做无缝硬化。采样点位无法布设在生产车间内部，同时考虑污染的最大可能</w:t>
      </w:r>
      <w:r>
        <w:rPr>
          <w:rFonts w:ascii="FangSong" w:hAnsi="FangSong" w:eastAsia="FangSong" w:cs="FangSong"/>
          <w:sz w:val="18"/>
          <w:szCs w:val="18"/>
          <w:spacing w:val="8"/>
        </w:rPr>
        <w:t xml:space="preserve"> </w:t>
      </w:r>
      <w:r>
        <w:rPr>
          <w:rFonts w:ascii="FangSong" w:hAnsi="FangSong" w:eastAsia="FangSong" w:cs="FangSong"/>
          <w:sz w:val="18"/>
          <w:szCs w:val="18"/>
          <w:spacing w:val="-1"/>
        </w:rPr>
        <w:t>性和采样的可行性，考虑以上位置布点。</w:t>
      </w:r>
    </w:p>
    <w:p>
      <w:pPr>
        <w:pStyle w:val="BodyText"/>
        <w:ind w:left="113"/>
        <w:spacing w:before="106" w:line="222" w:lineRule="auto"/>
        <w:outlineLvl w:val="1"/>
        <w:rPr>
          <w:rFonts w:ascii="FangSong" w:hAnsi="FangSong" w:eastAsia="FangSong" w:cs="FangSong"/>
          <w:sz w:val="28"/>
          <w:szCs w:val="28"/>
        </w:rPr>
      </w:pPr>
      <w:bookmarkStart w:name="bookmark23" w:id="27"/>
      <w:bookmarkEnd w:id="27"/>
      <w:r>
        <w:rPr>
          <w:sz w:val="28"/>
          <w:szCs w:val="28"/>
          <w:b/>
          <w:bCs/>
          <w:spacing w:val="-2"/>
        </w:rPr>
        <w:t>6.3  </w:t>
      </w:r>
      <w:r>
        <w:rPr>
          <w:rFonts w:ascii="FangSong" w:hAnsi="FangSong" w:eastAsia="FangSong" w:cs="FangSong"/>
          <w:sz w:val="28"/>
          <w:szCs w:val="28"/>
          <w:b/>
          <w:bCs/>
          <w:spacing w:val="-2"/>
        </w:rPr>
        <w:t>各点位监测指标及选取原因</w:t>
      </w:r>
    </w:p>
    <w:p>
      <w:pPr>
        <w:pStyle w:val="BodyText"/>
        <w:ind w:left="117" w:right="102" w:firstLine="481"/>
        <w:spacing w:before="231" w:line="360" w:lineRule="auto"/>
        <w:jc w:val="both"/>
        <w:rPr>
          <w:rFonts w:ascii="FangSong" w:hAnsi="FangSong" w:eastAsia="FangSong" w:cs="FangSong"/>
          <w:sz w:val="24"/>
          <w:szCs w:val="24"/>
        </w:rPr>
      </w:pPr>
      <w:r>
        <w:rPr>
          <w:rFonts w:ascii="FangSong" w:hAnsi="FangSong" w:eastAsia="FangSong" w:cs="FangSong"/>
          <w:sz w:val="24"/>
          <w:szCs w:val="24"/>
          <w:spacing w:val="-3"/>
        </w:rPr>
        <w:t>根据《工业企业土壤和地下水自行监测技术指南（试行）》，初次监测原则上所有土壤监</w:t>
      </w:r>
      <w:r>
        <w:rPr>
          <w:rFonts w:ascii="FangSong" w:hAnsi="FangSong" w:eastAsia="FangSong" w:cs="FangSong"/>
          <w:sz w:val="24"/>
          <w:szCs w:val="24"/>
          <w:spacing w:val="5"/>
        </w:rPr>
        <w:t xml:space="preserve"> </w:t>
      </w:r>
      <w:r>
        <w:rPr>
          <w:rFonts w:ascii="FangSong" w:hAnsi="FangSong" w:eastAsia="FangSong" w:cs="FangSong"/>
          <w:sz w:val="24"/>
          <w:szCs w:val="24"/>
          <w:spacing w:val="-2"/>
        </w:rPr>
        <w:t>测点的监测指标至少应包括</w:t>
      </w:r>
      <w:r>
        <w:rPr>
          <w:sz w:val="24"/>
          <w:szCs w:val="24"/>
          <w:spacing w:val="-2"/>
        </w:rPr>
        <w:t>GB 36600</w:t>
      </w:r>
      <w:r>
        <w:rPr>
          <w:rFonts w:ascii="FangSong" w:hAnsi="FangSong" w:eastAsia="FangSong" w:cs="FangSong"/>
          <w:sz w:val="24"/>
          <w:szCs w:val="24"/>
          <w:spacing w:val="-2"/>
        </w:rPr>
        <w:t>表</w:t>
      </w:r>
      <w:r>
        <w:rPr>
          <w:sz w:val="24"/>
          <w:szCs w:val="24"/>
          <w:spacing w:val="-2"/>
        </w:rPr>
        <w:t>1</w:t>
      </w:r>
      <w:r>
        <w:rPr>
          <w:rFonts w:ascii="FangSong" w:hAnsi="FangSong" w:eastAsia="FangSong" w:cs="FangSong"/>
          <w:sz w:val="24"/>
          <w:szCs w:val="24"/>
          <w:spacing w:val="-2"/>
        </w:rPr>
        <w:t>基本项目，地下水监测井的监测指标至少应包括</w:t>
      </w:r>
      <w:r>
        <w:rPr>
          <w:sz w:val="24"/>
          <w:szCs w:val="24"/>
          <w:spacing w:val="-2"/>
        </w:rPr>
        <w:t>GB/T</w:t>
      </w:r>
      <w:r>
        <w:rPr>
          <w:sz w:val="24"/>
          <w:szCs w:val="24"/>
          <w:spacing w:val="1"/>
        </w:rPr>
        <w:t xml:space="preserve"> </w:t>
      </w:r>
      <w:r>
        <w:rPr>
          <w:sz w:val="24"/>
          <w:szCs w:val="24"/>
          <w:spacing w:val="-2"/>
        </w:rPr>
        <w:t>14848</w:t>
      </w:r>
      <w:r>
        <w:rPr>
          <w:rFonts w:ascii="FangSong" w:hAnsi="FangSong" w:eastAsia="FangSong" w:cs="FangSong"/>
          <w:sz w:val="24"/>
          <w:szCs w:val="24"/>
          <w:spacing w:val="-2"/>
        </w:rPr>
        <w:t>表</w:t>
      </w:r>
      <w:r>
        <w:rPr>
          <w:sz w:val="24"/>
          <w:szCs w:val="24"/>
          <w:spacing w:val="-2"/>
        </w:rPr>
        <w:t>1</w:t>
      </w:r>
      <w:r>
        <w:rPr>
          <w:rFonts w:ascii="FangSong" w:hAnsi="FangSong" w:eastAsia="FangSong" w:cs="FangSong"/>
          <w:sz w:val="24"/>
          <w:szCs w:val="24"/>
          <w:spacing w:val="-2"/>
        </w:rPr>
        <w:t>常规指标。企业内任何重点单元涉</w:t>
      </w:r>
      <w:r>
        <w:rPr>
          <w:rFonts w:ascii="FangSong" w:hAnsi="FangSong" w:eastAsia="FangSong" w:cs="FangSong"/>
          <w:sz w:val="24"/>
          <w:szCs w:val="24"/>
          <w:spacing w:val="-3"/>
        </w:rPr>
        <w:t>及上述范围外的关注污染物，应根据其土壤或地下</w:t>
      </w:r>
      <w:r>
        <w:rPr>
          <w:rFonts w:ascii="FangSong" w:hAnsi="FangSong" w:eastAsia="FangSong" w:cs="FangSong"/>
          <w:sz w:val="24"/>
          <w:szCs w:val="24"/>
        </w:rPr>
        <w:t xml:space="preserve"> </w:t>
      </w:r>
      <w:r>
        <w:rPr>
          <w:rFonts w:ascii="FangSong" w:hAnsi="FangSong" w:eastAsia="FangSong" w:cs="FangSong"/>
          <w:sz w:val="24"/>
          <w:szCs w:val="24"/>
          <w:spacing w:val="-1"/>
        </w:rPr>
        <w:t>水的污染特性，将其纳入企业内所有土壤或地下水监测点的初次监测指标。</w:t>
      </w:r>
    </w:p>
    <w:p>
      <w:pPr>
        <w:pStyle w:val="BodyText"/>
        <w:ind w:left="111"/>
        <w:spacing w:line="223" w:lineRule="auto"/>
        <w:outlineLvl w:val="2"/>
        <w:rPr>
          <w:rFonts w:ascii="FangSong" w:hAnsi="FangSong" w:eastAsia="FangSong" w:cs="FangSong"/>
          <w:sz w:val="24"/>
          <w:szCs w:val="24"/>
        </w:rPr>
      </w:pPr>
      <w:r>
        <w:rPr>
          <w:sz w:val="24"/>
          <w:szCs w:val="24"/>
          <w:b/>
          <w:bCs/>
          <w:spacing w:val="-4"/>
        </w:rPr>
        <w:t>6.3.1</w:t>
      </w:r>
      <w:r>
        <w:rPr>
          <w:sz w:val="24"/>
          <w:szCs w:val="24"/>
          <w:b/>
          <w:bCs/>
          <w:spacing w:val="10"/>
        </w:rPr>
        <w:t xml:space="preserve">  </w:t>
      </w:r>
      <w:r>
        <w:rPr>
          <w:rFonts w:ascii="FangSong" w:hAnsi="FangSong" w:eastAsia="FangSong" w:cs="FangSong"/>
          <w:sz w:val="24"/>
          <w:szCs w:val="24"/>
          <w:b/>
          <w:bCs/>
          <w:spacing w:val="-4"/>
        </w:rPr>
        <w:t>土壤监测因子</w:t>
      </w:r>
    </w:p>
    <w:p>
      <w:pPr>
        <w:ind w:left="603"/>
        <w:spacing w:before="178" w:line="220" w:lineRule="auto"/>
        <w:rPr>
          <w:rFonts w:ascii="FangSong" w:hAnsi="FangSong" w:eastAsia="FangSong" w:cs="FangSong"/>
          <w:sz w:val="24"/>
          <w:szCs w:val="24"/>
        </w:rPr>
      </w:pPr>
      <w:r>
        <w:rPr>
          <w:rFonts w:ascii="FangSong" w:hAnsi="FangSong" w:eastAsia="FangSong" w:cs="FangSong"/>
          <w:sz w:val="24"/>
          <w:szCs w:val="24"/>
          <w:spacing w:val="-1"/>
        </w:rPr>
        <w:t>结合企业生产情况，初步确定土壤检测指标为：</w:t>
      </w:r>
    </w:p>
    <w:p>
      <w:pPr>
        <w:spacing w:line="220" w:lineRule="auto"/>
        <w:sectPr>
          <w:headerReference w:type="default" r:id="rId110"/>
          <w:footerReference w:type="default" r:id="rId111"/>
          <w:pgSz w:w="11906" w:h="16839"/>
          <w:pgMar w:top="1139" w:right="977" w:bottom="1252" w:left="977" w:header="831" w:footer="1090" w:gutter="0"/>
        </w:sectPr>
        <w:rPr>
          <w:rFonts w:ascii="FangSong" w:hAnsi="FangSong" w:eastAsia="FangSong" w:cs="FangSong"/>
          <w:sz w:val="24"/>
          <w:szCs w:val="24"/>
        </w:rPr>
      </w:pPr>
    </w:p>
    <w:p>
      <w:pPr>
        <w:spacing w:line="332" w:lineRule="auto"/>
        <w:rPr>
          <w:rFonts w:ascii="Arial"/>
          <w:sz w:val="21"/>
        </w:rPr>
      </w:pPr>
      <w:r/>
    </w:p>
    <w:p>
      <w:pPr>
        <w:pStyle w:val="BodyText"/>
        <w:ind w:left="128" w:right="35" w:firstLine="485"/>
        <w:spacing w:before="78" w:line="339" w:lineRule="auto"/>
        <w:rPr>
          <w:rFonts w:ascii="FangSong" w:hAnsi="FangSong" w:eastAsia="FangSong" w:cs="FangSong"/>
          <w:sz w:val="24"/>
          <w:szCs w:val="24"/>
        </w:rPr>
      </w:pPr>
      <w:r>
        <w:rPr>
          <w:rFonts w:ascii="FangSong" w:hAnsi="FangSong" w:eastAsia="FangSong" w:cs="FangSong"/>
          <w:sz w:val="24"/>
          <w:szCs w:val="24"/>
          <w:spacing w:val="-2"/>
        </w:rPr>
        <w:t>（</w:t>
      </w:r>
      <w:r>
        <w:rPr>
          <w:sz w:val="24"/>
          <w:szCs w:val="24"/>
          <w:spacing w:val="-2"/>
        </w:rPr>
        <w:t>1</w:t>
      </w:r>
      <w:r>
        <w:rPr>
          <w:rFonts w:ascii="FangSong" w:hAnsi="FangSong" w:eastAsia="FangSong" w:cs="FangSong"/>
          <w:sz w:val="24"/>
          <w:szCs w:val="24"/>
          <w:spacing w:val="-2"/>
        </w:rPr>
        <w:t>）</w:t>
      </w:r>
      <w:r>
        <w:rPr>
          <w:sz w:val="24"/>
          <w:szCs w:val="24"/>
          <w:spacing w:val="-2"/>
        </w:rPr>
        <w:t>GB 36600</w:t>
      </w:r>
      <w:r>
        <w:rPr>
          <w:rFonts w:ascii="FangSong" w:hAnsi="FangSong" w:eastAsia="FangSong" w:cs="FangSong"/>
          <w:sz w:val="24"/>
          <w:szCs w:val="24"/>
          <w:spacing w:val="-2"/>
        </w:rPr>
        <w:t>表</w:t>
      </w:r>
      <w:r>
        <w:rPr>
          <w:sz w:val="24"/>
          <w:szCs w:val="24"/>
          <w:spacing w:val="-2"/>
        </w:rPr>
        <w:t>1</w:t>
      </w:r>
      <w:r>
        <w:rPr>
          <w:rFonts w:ascii="FangSong" w:hAnsi="FangSong" w:eastAsia="FangSong" w:cs="FangSong"/>
          <w:sz w:val="24"/>
          <w:szCs w:val="24"/>
          <w:spacing w:val="-2"/>
        </w:rPr>
        <w:t>基本项目：重金属和无机物：砷、镉、铬（六价）、铜、铅、汞、镍；</w:t>
      </w:r>
      <w:r>
        <w:rPr>
          <w:rFonts w:ascii="FangSong" w:hAnsi="FangSong" w:eastAsia="FangSong" w:cs="FangSong"/>
          <w:sz w:val="24"/>
          <w:szCs w:val="24"/>
          <w:spacing w:val="15"/>
        </w:rPr>
        <w:t xml:space="preserve"> </w:t>
      </w:r>
      <w:r>
        <w:rPr>
          <w:rFonts w:ascii="FangSong" w:hAnsi="FangSong" w:eastAsia="FangSong" w:cs="FangSong"/>
          <w:sz w:val="24"/>
          <w:szCs w:val="24"/>
          <w:spacing w:val="-6"/>
        </w:rPr>
        <w:t>挥发性有机物：四氯化碳、氯仿、氯甲烷、</w:t>
      </w:r>
      <w:r>
        <w:rPr>
          <w:sz w:val="24"/>
          <w:szCs w:val="24"/>
          <w:spacing w:val="-6"/>
        </w:rPr>
        <w:t>1,</w:t>
      </w:r>
      <w:r>
        <w:rPr>
          <w:sz w:val="24"/>
          <w:szCs w:val="24"/>
          <w:spacing w:val="-32"/>
        </w:rPr>
        <w:t xml:space="preserve"> </w:t>
      </w:r>
      <w:r>
        <w:rPr>
          <w:sz w:val="24"/>
          <w:szCs w:val="24"/>
          <w:spacing w:val="-6"/>
        </w:rPr>
        <w:t>1-</w:t>
      </w:r>
      <w:r>
        <w:rPr>
          <w:rFonts w:ascii="FangSong" w:hAnsi="FangSong" w:eastAsia="FangSong" w:cs="FangSong"/>
          <w:sz w:val="24"/>
          <w:szCs w:val="24"/>
          <w:spacing w:val="-6"/>
        </w:rPr>
        <w:t>二氯乙烷、</w:t>
      </w:r>
      <w:r>
        <w:rPr>
          <w:sz w:val="24"/>
          <w:szCs w:val="24"/>
          <w:spacing w:val="-6"/>
        </w:rPr>
        <w:t>1,2-</w:t>
      </w:r>
      <w:r>
        <w:rPr>
          <w:rFonts w:ascii="FangSong" w:hAnsi="FangSong" w:eastAsia="FangSong" w:cs="FangSong"/>
          <w:sz w:val="24"/>
          <w:szCs w:val="24"/>
          <w:spacing w:val="-6"/>
        </w:rPr>
        <w:t>二氯乙烷</w:t>
      </w:r>
      <w:r>
        <w:rPr>
          <w:rFonts w:ascii="FangSong" w:hAnsi="FangSong" w:eastAsia="FangSong" w:cs="FangSong"/>
          <w:sz w:val="24"/>
          <w:szCs w:val="24"/>
          <w:spacing w:val="-7"/>
        </w:rPr>
        <w:t>、</w:t>
      </w:r>
      <w:r>
        <w:rPr>
          <w:sz w:val="24"/>
          <w:szCs w:val="24"/>
          <w:spacing w:val="-7"/>
        </w:rPr>
        <w:t>1,</w:t>
      </w:r>
      <w:r>
        <w:rPr>
          <w:sz w:val="24"/>
          <w:szCs w:val="24"/>
          <w:spacing w:val="-32"/>
        </w:rPr>
        <w:t xml:space="preserve"> </w:t>
      </w:r>
      <w:r>
        <w:rPr>
          <w:sz w:val="24"/>
          <w:szCs w:val="24"/>
          <w:spacing w:val="-7"/>
        </w:rPr>
        <w:t>1-</w:t>
      </w:r>
      <w:r>
        <w:rPr>
          <w:rFonts w:ascii="FangSong" w:hAnsi="FangSong" w:eastAsia="FangSong" w:cs="FangSong"/>
          <w:sz w:val="24"/>
          <w:szCs w:val="24"/>
          <w:spacing w:val="-7"/>
        </w:rPr>
        <w:t>二氯乙烯、顺</w:t>
      </w:r>
      <w:r>
        <w:rPr>
          <w:sz w:val="24"/>
          <w:szCs w:val="24"/>
          <w:spacing w:val="-7"/>
        </w:rPr>
        <w:t>-1,2-</w:t>
      </w:r>
      <w:r>
        <w:rPr>
          <w:sz w:val="24"/>
          <w:szCs w:val="24"/>
        </w:rPr>
        <w:t xml:space="preserve">  </w:t>
      </w:r>
      <w:r>
        <w:rPr>
          <w:rFonts w:ascii="FangSong" w:hAnsi="FangSong" w:eastAsia="FangSong" w:cs="FangSong"/>
          <w:sz w:val="24"/>
          <w:szCs w:val="24"/>
          <w:spacing w:val="-1"/>
        </w:rPr>
        <w:t>二氯乙烯、反</w:t>
      </w:r>
      <w:r>
        <w:rPr>
          <w:sz w:val="24"/>
          <w:szCs w:val="24"/>
          <w:spacing w:val="-1"/>
        </w:rPr>
        <w:t>-1,2-</w:t>
      </w:r>
      <w:r>
        <w:rPr>
          <w:rFonts w:ascii="FangSong" w:hAnsi="FangSong" w:eastAsia="FangSong" w:cs="FangSong"/>
          <w:sz w:val="24"/>
          <w:szCs w:val="24"/>
          <w:spacing w:val="-1"/>
        </w:rPr>
        <w:t>二氯乙烯、二氯甲烷、</w:t>
      </w:r>
      <w:r>
        <w:rPr>
          <w:sz w:val="24"/>
          <w:szCs w:val="24"/>
          <w:spacing w:val="-1"/>
        </w:rPr>
        <w:t>1,2-</w:t>
      </w:r>
      <w:r>
        <w:rPr>
          <w:rFonts w:ascii="FangSong" w:hAnsi="FangSong" w:eastAsia="FangSong" w:cs="FangSong"/>
          <w:sz w:val="24"/>
          <w:szCs w:val="24"/>
          <w:spacing w:val="-1"/>
        </w:rPr>
        <w:t>二氯丙烷、</w:t>
      </w:r>
      <w:r>
        <w:rPr>
          <w:sz w:val="24"/>
          <w:szCs w:val="24"/>
          <w:spacing w:val="-1"/>
        </w:rPr>
        <w:t>1,</w:t>
      </w:r>
      <w:r>
        <w:rPr>
          <w:sz w:val="24"/>
          <w:szCs w:val="24"/>
          <w:spacing w:val="-32"/>
        </w:rPr>
        <w:t xml:space="preserve"> </w:t>
      </w:r>
      <w:r>
        <w:rPr>
          <w:sz w:val="24"/>
          <w:szCs w:val="24"/>
          <w:spacing w:val="-1"/>
        </w:rPr>
        <w:t>1,</w:t>
      </w:r>
      <w:r>
        <w:rPr>
          <w:sz w:val="24"/>
          <w:szCs w:val="24"/>
          <w:spacing w:val="-32"/>
        </w:rPr>
        <w:t xml:space="preserve"> </w:t>
      </w:r>
      <w:r>
        <w:rPr>
          <w:sz w:val="24"/>
          <w:szCs w:val="24"/>
          <w:spacing w:val="-1"/>
        </w:rPr>
        <w:t>1,2-</w:t>
      </w:r>
      <w:r>
        <w:rPr>
          <w:rFonts w:ascii="FangSong" w:hAnsi="FangSong" w:eastAsia="FangSong" w:cs="FangSong"/>
          <w:sz w:val="24"/>
          <w:szCs w:val="24"/>
          <w:spacing w:val="-1"/>
        </w:rPr>
        <w:t>四氯乙烷、</w:t>
      </w:r>
      <w:r>
        <w:rPr>
          <w:sz w:val="24"/>
          <w:szCs w:val="24"/>
          <w:spacing w:val="-2"/>
        </w:rPr>
        <w:t>1,</w:t>
      </w:r>
      <w:r>
        <w:rPr>
          <w:sz w:val="24"/>
          <w:szCs w:val="24"/>
          <w:spacing w:val="-32"/>
        </w:rPr>
        <w:t xml:space="preserve"> </w:t>
      </w:r>
      <w:r>
        <w:rPr>
          <w:sz w:val="24"/>
          <w:szCs w:val="24"/>
          <w:spacing w:val="-2"/>
        </w:rPr>
        <w:t>1,2,2-</w:t>
      </w:r>
      <w:r>
        <w:rPr>
          <w:rFonts w:ascii="FangSong" w:hAnsi="FangSong" w:eastAsia="FangSong" w:cs="FangSong"/>
          <w:sz w:val="24"/>
          <w:szCs w:val="24"/>
          <w:spacing w:val="-2"/>
        </w:rPr>
        <w:t>四氯乙烷、</w:t>
      </w:r>
      <w:r>
        <w:rPr>
          <w:rFonts w:ascii="FangSong" w:hAnsi="FangSong" w:eastAsia="FangSong" w:cs="FangSong"/>
          <w:sz w:val="24"/>
          <w:szCs w:val="24"/>
        </w:rPr>
        <w:t xml:space="preserve"> </w:t>
      </w:r>
      <w:r>
        <w:rPr>
          <w:rFonts w:ascii="FangSong" w:hAnsi="FangSong" w:eastAsia="FangSong" w:cs="FangSong"/>
          <w:sz w:val="24"/>
          <w:szCs w:val="24"/>
          <w:spacing w:val="-4"/>
        </w:rPr>
        <w:t>四氯乙烯、</w:t>
      </w:r>
      <w:r>
        <w:rPr>
          <w:sz w:val="24"/>
          <w:szCs w:val="24"/>
          <w:spacing w:val="-4"/>
        </w:rPr>
        <w:t>1,</w:t>
      </w:r>
      <w:r>
        <w:rPr>
          <w:sz w:val="24"/>
          <w:szCs w:val="24"/>
          <w:spacing w:val="-32"/>
        </w:rPr>
        <w:t xml:space="preserve"> </w:t>
      </w:r>
      <w:r>
        <w:rPr>
          <w:sz w:val="24"/>
          <w:szCs w:val="24"/>
          <w:spacing w:val="-4"/>
        </w:rPr>
        <w:t>1,</w:t>
      </w:r>
      <w:r>
        <w:rPr>
          <w:sz w:val="24"/>
          <w:szCs w:val="24"/>
          <w:spacing w:val="-32"/>
        </w:rPr>
        <w:t xml:space="preserve"> </w:t>
      </w:r>
      <w:r>
        <w:rPr>
          <w:sz w:val="24"/>
          <w:szCs w:val="24"/>
          <w:spacing w:val="-4"/>
        </w:rPr>
        <w:t>1-</w:t>
      </w:r>
      <w:r>
        <w:rPr>
          <w:rFonts w:ascii="FangSong" w:hAnsi="FangSong" w:eastAsia="FangSong" w:cs="FangSong"/>
          <w:sz w:val="24"/>
          <w:szCs w:val="24"/>
          <w:spacing w:val="-4"/>
        </w:rPr>
        <w:t>三氯乙烷、</w:t>
      </w:r>
      <w:r>
        <w:rPr>
          <w:sz w:val="24"/>
          <w:szCs w:val="24"/>
          <w:spacing w:val="-4"/>
        </w:rPr>
        <w:t>1,</w:t>
      </w:r>
      <w:r>
        <w:rPr>
          <w:sz w:val="24"/>
          <w:szCs w:val="24"/>
          <w:spacing w:val="-32"/>
        </w:rPr>
        <w:t xml:space="preserve"> </w:t>
      </w:r>
      <w:r>
        <w:rPr>
          <w:sz w:val="24"/>
          <w:szCs w:val="24"/>
          <w:spacing w:val="-4"/>
        </w:rPr>
        <w:t>1,2-</w:t>
      </w:r>
      <w:r>
        <w:rPr>
          <w:rFonts w:ascii="FangSong" w:hAnsi="FangSong" w:eastAsia="FangSong" w:cs="FangSong"/>
          <w:sz w:val="24"/>
          <w:szCs w:val="24"/>
          <w:spacing w:val="-4"/>
        </w:rPr>
        <w:t>三氯乙烷、三氯乙烯、</w:t>
      </w:r>
      <w:r>
        <w:rPr>
          <w:sz w:val="24"/>
          <w:szCs w:val="24"/>
          <w:spacing w:val="-4"/>
        </w:rPr>
        <w:t>1</w:t>
      </w:r>
      <w:r>
        <w:rPr>
          <w:sz w:val="24"/>
          <w:szCs w:val="24"/>
          <w:spacing w:val="-27"/>
        </w:rPr>
        <w:t xml:space="preserve"> </w:t>
      </w:r>
      <w:r>
        <w:rPr>
          <w:rFonts w:ascii="FangSong" w:hAnsi="FangSong" w:eastAsia="FangSong" w:cs="FangSong"/>
          <w:sz w:val="24"/>
          <w:szCs w:val="24"/>
          <w:spacing w:val="-4"/>
        </w:rPr>
        <w:t>，</w:t>
      </w:r>
      <w:r>
        <w:rPr>
          <w:sz w:val="24"/>
          <w:szCs w:val="24"/>
          <w:spacing w:val="-4"/>
        </w:rPr>
        <w:t>2,3-3</w:t>
      </w:r>
      <w:r>
        <w:rPr>
          <w:rFonts w:ascii="FangSong" w:hAnsi="FangSong" w:eastAsia="FangSong" w:cs="FangSong"/>
          <w:sz w:val="24"/>
          <w:szCs w:val="24"/>
          <w:spacing w:val="-4"/>
        </w:rPr>
        <w:t>氯丙烷、氯乙烯、苯、</w:t>
      </w:r>
      <w:r>
        <w:rPr>
          <w:rFonts w:ascii="FangSong" w:hAnsi="FangSong" w:eastAsia="FangSong" w:cs="FangSong"/>
          <w:sz w:val="24"/>
          <w:szCs w:val="24"/>
          <w:spacing w:val="-5"/>
        </w:rPr>
        <w:t>氯苯、</w:t>
      </w:r>
      <w:r>
        <w:rPr>
          <w:rFonts w:ascii="FangSong" w:hAnsi="FangSong" w:eastAsia="FangSong" w:cs="FangSong"/>
          <w:sz w:val="24"/>
          <w:szCs w:val="24"/>
        </w:rPr>
        <w:t xml:space="preserve"> </w:t>
      </w:r>
      <w:r>
        <w:rPr>
          <w:sz w:val="24"/>
          <w:szCs w:val="24"/>
          <w:spacing w:val="-1"/>
        </w:rPr>
        <w:t>1,2-</w:t>
      </w:r>
      <w:r>
        <w:rPr>
          <w:rFonts w:ascii="FangSong" w:hAnsi="FangSong" w:eastAsia="FangSong" w:cs="FangSong"/>
          <w:sz w:val="24"/>
          <w:szCs w:val="24"/>
          <w:spacing w:val="-1"/>
        </w:rPr>
        <w:t>二氯苯、</w:t>
      </w:r>
      <w:r>
        <w:rPr>
          <w:sz w:val="24"/>
          <w:szCs w:val="24"/>
          <w:spacing w:val="-1"/>
        </w:rPr>
        <w:t>1,4-</w:t>
      </w:r>
      <w:r>
        <w:rPr>
          <w:rFonts w:ascii="FangSong" w:hAnsi="FangSong" w:eastAsia="FangSong" w:cs="FangSong"/>
          <w:sz w:val="24"/>
          <w:szCs w:val="24"/>
          <w:spacing w:val="-1"/>
        </w:rPr>
        <w:t>二氯苯、乙苯、苯乙烯、甲苯、间二甲苯</w:t>
      </w:r>
      <w:r>
        <w:rPr>
          <w:sz w:val="24"/>
          <w:szCs w:val="24"/>
          <w:spacing w:val="-1"/>
        </w:rPr>
        <w:t>+</w:t>
      </w:r>
      <w:r>
        <w:rPr>
          <w:rFonts w:ascii="FangSong" w:hAnsi="FangSong" w:eastAsia="FangSong" w:cs="FangSong"/>
          <w:sz w:val="24"/>
          <w:szCs w:val="24"/>
          <w:spacing w:val="-1"/>
        </w:rPr>
        <w:t>对二甲苯、邻二甲苯；半挥发性有</w:t>
      </w:r>
      <w:r>
        <w:rPr>
          <w:rFonts w:ascii="FangSong" w:hAnsi="FangSong" w:eastAsia="FangSong" w:cs="FangSong"/>
          <w:sz w:val="24"/>
          <w:szCs w:val="24"/>
        </w:rPr>
        <w:t xml:space="preserve"> </w:t>
      </w:r>
      <w:r>
        <w:rPr>
          <w:rFonts w:ascii="FangSong" w:hAnsi="FangSong" w:eastAsia="FangSong" w:cs="FangSong"/>
          <w:sz w:val="24"/>
          <w:szCs w:val="24"/>
          <w:spacing w:val="1"/>
        </w:rPr>
        <w:t>机物：硝基苯、苯胺、</w:t>
      </w:r>
      <w:r>
        <w:rPr>
          <w:sz w:val="24"/>
          <w:szCs w:val="24"/>
          <w:spacing w:val="1"/>
        </w:rPr>
        <w:t>2-</w:t>
      </w:r>
      <w:r>
        <w:rPr>
          <w:rFonts w:ascii="FangSong" w:hAnsi="FangSong" w:eastAsia="FangSong" w:cs="FangSong"/>
          <w:sz w:val="24"/>
          <w:szCs w:val="24"/>
          <w:spacing w:val="1"/>
        </w:rPr>
        <w:t>氯酚、苯并</w:t>
      </w:r>
      <w:r>
        <w:rPr>
          <w:sz w:val="24"/>
          <w:szCs w:val="24"/>
          <w:spacing w:val="1"/>
        </w:rPr>
        <w:t>[a]</w:t>
      </w:r>
      <w:r>
        <w:rPr>
          <w:rFonts w:ascii="FangSong" w:hAnsi="FangSong" w:eastAsia="FangSong" w:cs="FangSong"/>
          <w:sz w:val="24"/>
          <w:szCs w:val="24"/>
          <w:spacing w:val="1"/>
        </w:rPr>
        <w:t>蒽、苯并</w:t>
      </w:r>
      <w:r>
        <w:rPr>
          <w:sz w:val="24"/>
          <w:szCs w:val="24"/>
          <w:spacing w:val="1"/>
        </w:rPr>
        <w:t>[a]</w:t>
      </w:r>
      <w:r>
        <w:rPr>
          <w:rFonts w:ascii="FangSong" w:hAnsi="FangSong" w:eastAsia="FangSong" w:cs="FangSong"/>
          <w:sz w:val="24"/>
          <w:szCs w:val="24"/>
          <w:spacing w:val="1"/>
        </w:rPr>
        <w:t>芘、苯并</w:t>
      </w:r>
      <w:r>
        <w:rPr>
          <w:sz w:val="24"/>
          <w:szCs w:val="24"/>
          <w:spacing w:val="1"/>
        </w:rPr>
        <w:t>[b]</w:t>
      </w:r>
      <w:r>
        <w:rPr>
          <w:rFonts w:ascii="FangSong" w:hAnsi="FangSong" w:eastAsia="FangSong" w:cs="FangSong"/>
          <w:sz w:val="24"/>
          <w:szCs w:val="24"/>
          <w:spacing w:val="1"/>
        </w:rPr>
        <w:t>荧蒽、</w:t>
      </w:r>
      <w:r>
        <w:rPr>
          <w:rFonts w:ascii="FangSong" w:hAnsi="FangSong" w:eastAsia="FangSong" w:cs="FangSong"/>
          <w:sz w:val="24"/>
          <w:szCs w:val="24"/>
        </w:rPr>
        <w:t>苯并</w:t>
      </w:r>
      <w:r>
        <w:rPr>
          <w:sz w:val="24"/>
          <w:szCs w:val="24"/>
        </w:rPr>
        <w:t>[k]</w:t>
      </w:r>
      <w:r>
        <w:rPr>
          <w:rFonts w:ascii="FangSong" w:hAnsi="FangSong" w:eastAsia="FangSong" w:cs="FangSong"/>
          <w:sz w:val="24"/>
          <w:szCs w:val="24"/>
        </w:rPr>
        <w:t>荧蒽、䓛、二苯</w:t>
      </w:r>
      <w:r>
        <w:rPr>
          <w:rFonts w:ascii="FangSong" w:hAnsi="FangSong" w:eastAsia="FangSong" w:cs="FangSong"/>
          <w:sz w:val="24"/>
          <w:szCs w:val="24"/>
        </w:rPr>
        <w:t xml:space="preserve"> </w:t>
      </w:r>
      <w:r>
        <w:rPr>
          <w:rFonts w:ascii="FangSong" w:hAnsi="FangSong" w:eastAsia="FangSong" w:cs="FangSong"/>
          <w:sz w:val="24"/>
          <w:szCs w:val="24"/>
          <w:spacing w:val="-1"/>
        </w:rPr>
        <w:t>并</w:t>
      </w:r>
      <w:r>
        <w:rPr>
          <w:sz w:val="24"/>
          <w:szCs w:val="24"/>
          <w:spacing w:val="-1"/>
        </w:rPr>
        <w:t>[a,h]</w:t>
      </w:r>
      <w:r>
        <w:rPr>
          <w:rFonts w:ascii="FangSong" w:hAnsi="FangSong" w:eastAsia="FangSong" w:cs="FangSong"/>
          <w:sz w:val="24"/>
          <w:szCs w:val="24"/>
          <w:spacing w:val="-1"/>
        </w:rPr>
        <w:t>蒽、茚并</w:t>
      </w:r>
      <w:r>
        <w:rPr>
          <w:sz w:val="24"/>
          <w:szCs w:val="24"/>
          <w:spacing w:val="-1"/>
        </w:rPr>
        <w:t>[1,2,3-cd]</w:t>
      </w:r>
      <w:r>
        <w:rPr>
          <w:rFonts w:ascii="FangSong" w:hAnsi="FangSong" w:eastAsia="FangSong" w:cs="FangSong"/>
          <w:sz w:val="24"/>
          <w:szCs w:val="24"/>
          <w:spacing w:val="-1"/>
        </w:rPr>
        <w:t>芘、萘；</w:t>
      </w:r>
    </w:p>
    <w:p>
      <w:pPr>
        <w:pStyle w:val="BodyText"/>
        <w:ind w:left="129" w:right="35" w:firstLine="484"/>
        <w:spacing w:before="192" w:line="286" w:lineRule="auto"/>
        <w:rPr>
          <w:rFonts w:ascii="FangSong" w:hAnsi="FangSong" w:eastAsia="FangSong" w:cs="FangSong"/>
          <w:sz w:val="24"/>
          <w:szCs w:val="24"/>
        </w:rPr>
      </w:pPr>
      <w:r>
        <w:rPr>
          <w:rFonts w:ascii="FangSong" w:hAnsi="FangSong" w:eastAsia="FangSong" w:cs="FangSong"/>
          <w:sz w:val="24"/>
          <w:szCs w:val="24"/>
          <w:spacing w:val="-6"/>
        </w:rPr>
        <w:t>（</w:t>
      </w:r>
      <w:r>
        <w:rPr>
          <w:sz w:val="24"/>
          <w:szCs w:val="24"/>
          <w:spacing w:val="-6"/>
        </w:rPr>
        <w:t>2</w:t>
      </w:r>
      <w:r>
        <w:rPr>
          <w:rFonts w:ascii="FangSong" w:hAnsi="FangSong" w:eastAsia="FangSong" w:cs="FangSong"/>
          <w:sz w:val="24"/>
          <w:szCs w:val="24"/>
          <w:spacing w:val="-6"/>
        </w:rPr>
        <w:t>）特征污染物：</w:t>
      </w:r>
      <w:r>
        <w:rPr>
          <w:sz w:val="24"/>
          <w:szCs w:val="24"/>
          <w:spacing w:val="-6"/>
        </w:rPr>
        <w:t>pH</w:t>
      </w:r>
      <w:r>
        <w:rPr>
          <w:sz w:val="24"/>
          <w:szCs w:val="24"/>
          <w:spacing w:val="-14"/>
        </w:rPr>
        <w:t xml:space="preserve"> </w:t>
      </w:r>
      <w:r>
        <w:rPr>
          <w:rFonts w:ascii="FangSong" w:hAnsi="FangSong" w:eastAsia="FangSong" w:cs="FangSong"/>
          <w:sz w:val="24"/>
          <w:szCs w:val="24"/>
          <w:spacing w:val="-6"/>
        </w:rPr>
        <w:t>、石油烃（</w:t>
      </w:r>
      <w:r>
        <w:rPr>
          <w:sz w:val="24"/>
          <w:szCs w:val="24"/>
          <w:spacing w:val="-6"/>
        </w:rPr>
        <w:t>C</w:t>
      </w:r>
      <w:r>
        <w:rPr>
          <w:sz w:val="15"/>
          <w:szCs w:val="15"/>
          <w:spacing w:val="-6"/>
        </w:rPr>
        <w:t>10</w:t>
      </w:r>
      <w:r>
        <w:rPr>
          <w:sz w:val="24"/>
          <w:szCs w:val="24"/>
          <w:spacing w:val="-6"/>
        </w:rPr>
        <w:t>-C</w:t>
      </w:r>
      <w:r>
        <w:rPr>
          <w:sz w:val="15"/>
          <w:szCs w:val="15"/>
          <w:spacing w:val="-6"/>
          <w:position w:val="-1"/>
        </w:rPr>
        <w:t>40 </w:t>
      </w:r>
      <w:r>
        <w:rPr>
          <w:rFonts w:ascii="FangSong" w:hAnsi="FangSong" w:eastAsia="FangSong" w:cs="FangSong"/>
          <w:sz w:val="24"/>
          <w:szCs w:val="24"/>
          <w:spacing w:val="-6"/>
        </w:rPr>
        <w:t>）、氟化物、二噁英（仅测表层）、铜、铅、锌、</w:t>
      </w:r>
      <w:r>
        <w:rPr>
          <w:rFonts w:ascii="FangSong" w:hAnsi="FangSong" w:eastAsia="FangSong" w:cs="FangSong"/>
          <w:sz w:val="24"/>
          <w:szCs w:val="24"/>
        </w:rPr>
        <w:t xml:space="preserve"> </w:t>
      </w:r>
      <w:r>
        <w:rPr>
          <w:rFonts w:ascii="FangSong" w:hAnsi="FangSong" w:eastAsia="FangSong" w:cs="FangSong"/>
          <w:sz w:val="24"/>
          <w:szCs w:val="24"/>
          <w:spacing w:val="-1"/>
        </w:rPr>
        <w:t>镉、镍、砷、铬、铬（六价）、苯并</w:t>
      </w:r>
      <w:r>
        <w:rPr>
          <w:sz w:val="24"/>
          <w:szCs w:val="24"/>
          <w:spacing w:val="-1"/>
        </w:rPr>
        <w:t>[a]</w:t>
      </w:r>
      <w:r>
        <w:rPr>
          <w:rFonts w:ascii="FangSong" w:hAnsi="FangSong" w:eastAsia="FangSong" w:cs="FangSong"/>
          <w:sz w:val="24"/>
          <w:szCs w:val="24"/>
          <w:spacing w:val="-1"/>
        </w:rPr>
        <w:t>芘。</w:t>
      </w:r>
    </w:p>
    <w:p>
      <w:pPr>
        <w:pStyle w:val="BodyText"/>
        <w:ind w:left="121"/>
        <w:spacing w:before="192" w:line="222" w:lineRule="auto"/>
        <w:outlineLvl w:val="2"/>
        <w:rPr>
          <w:rFonts w:ascii="FangSong" w:hAnsi="FangSong" w:eastAsia="FangSong" w:cs="FangSong"/>
          <w:sz w:val="24"/>
          <w:szCs w:val="24"/>
        </w:rPr>
      </w:pPr>
      <w:r>
        <w:rPr>
          <w:sz w:val="24"/>
          <w:szCs w:val="24"/>
          <w:b/>
          <w:bCs/>
          <w:spacing w:val="-2"/>
        </w:rPr>
        <w:t>6.3.2  </w:t>
      </w:r>
      <w:r>
        <w:rPr>
          <w:rFonts w:ascii="FangSong" w:hAnsi="FangSong" w:eastAsia="FangSong" w:cs="FangSong"/>
          <w:sz w:val="24"/>
          <w:szCs w:val="24"/>
          <w:b/>
          <w:bCs/>
          <w:spacing w:val="-2"/>
        </w:rPr>
        <w:t>地下水监测因子</w:t>
      </w:r>
    </w:p>
    <w:p>
      <w:pPr>
        <w:ind w:left="613"/>
        <w:spacing w:before="179" w:line="220" w:lineRule="auto"/>
        <w:rPr>
          <w:rFonts w:ascii="FangSong" w:hAnsi="FangSong" w:eastAsia="FangSong" w:cs="FangSong"/>
          <w:sz w:val="24"/>
          <w:szCs w:val="24"/>
        </w:rPr>
      </w:pPr>
      <w:r>
        <w:rPr>
          <w:rFonts w:ascii="FangSong" w:hAnsi="FangSong" w:eastAsia="FangSong" w:cs="FangSong"/>
          <w:sz w:val="24"/>
          <w:szCs w:val="24"/>
          <w:spacing w:val="-1"/>
        </w:rPr>
        <w:t>结合企业生产情况，初步确定地下水检测指标为：</w:t>
      </w:r>
    </w:p>
    <w:p>
      <w:pPr>
        <w:pStyle w:val="BodyText"/>
        <w:ind w:left="129" w:right="112" w:firstLine="484"/>
        <w:spacing w:before="183" w:line="324" w:lineRule="auto"/>
        <w:rPr>
          <w:rFonts w:ascii="FangSong" w:hAnsi="FangSong" w:eastAsia="FangSong" w:cs="FangSong"/>
          <w:sz w:val="24"/>
          <w:szCs w:val="24"/>
        </w:rPr>
      </w:pPr>
      <w:r>
        <w:rPr>
          <w:rFonts w:ascii="FangSong" w:hAnsi="FangSong" w:eastAsia="FangSong" w:cs="FangSong"/>
          <w:sz w:val="24"/>
          <w:szCs w:val="24"/>
          <w:spacing w:val="-2"/>
        </w:rPr>
        <w:t>（</w:t>
      </w:r>
      <w:r>
        <w:rPr>
          <w:sz w:val="24"/>
          <w:szCs w:val="24"/>
          <w:spacing w:val="-2"/>
        </w:rPr>
        <w:t>1</w:t>
      </w:r>
      <w:r>
        <w:rPr>
          <w:rFonts w:ascii="FangSong" w:hAnsi="FangSong" w:eastAsia="FangSong" w:cs="FangSong"/>
          <w:sz w:val="24"/>
          <w:szCs w:val="24"/>
          <w:spacing w:val="-2"/>
        </w:rPr>
        <w:t>）</w:t>
      </w:r>
      <w:r>
        <w:rPr>
          <w:sz w:val="24"/>
          <w:szCs w:val="24"/>
          <w:spacing w:val="-2"/>
        </w:rPr>
        <w:t>GB</w:t>
      </w:r>
      <w:r>
        <w:rPr>
          <w:sz w:val="24"/>
          <w:szCs w:val="24"/>
          <w:spacing w:val="29"/>
        </w:rPr>
        <w:t xml:space="preserve"> </w:t>
      </w:r>
      <w:r>
        <w:rPr>
          <w:sz w:val="24"/>
          <w:szCs w:val="24"/>
          <w:spacing w:val="-2"/>
        </w:rPr>
        <w:t>14848</w:t>
      </w:r>
      <w:r>
        <w:rPr>
          <w:rFonts w:ascii="FangSong" w:hAnsi="FangSong" w:eastAsia="FangSong" w:cs="FangSong"/>
          <w:sz w:val="24"/>
          <w:szCs w:val="24"/>
          <w:spacing w:val="-2"/>
        </w:rPr>
        <w:t>中</w:t>
      </w:r>
      <w:r>
        <w:rPr>
          <w:sz w:val="24"/>
          <w:szCs w:val="24"/>
          <w:spacing w:val="-2"/>
        </w:rPr>
        <w:t>35</w:t>
      </w:r>
      <w:r>
        <w:rPr>
          <w:rFonts w:ascii="FangSong" w:hAnsi="FangSong" w:eastAsia="FangSong" w:cs="FangSong"/>
          <w:sz w:val="24"/>
          <w:szCs w:val="24"/>
          <w:spacing w:val="-2"/>
        </w:rPr>
        <w:t>项（除微生物指标和放射性指标</w:t>
      </w:r>
      <w:r>
        <w:rPr>
          <w:rFonts w:ascii="FangSong" w:hAnsi="FangSong" w:eastAsia="FangSong" w:cs="FangSong"/>
          <w:sz w:val="24"/>
          <w:szCs w:val="24"/>
          <w:spacing w:val="12"/>
        </w:rPr>
        <w:t>）：</w:t>
      </w:r>
      <w:r>
        <w:rPr>
          <w:rFonts w:ascii="FangSong" w:hAnsi="FangSong" w:eastAsia="FangSong" w:cs="FangSong"/>
          <w:sz w:val="24"/>
          <w:szCs w:val="24"/>
          <w:spacing w:val="-2"/>
        </w:rPr>
        <w:t>色、嗅和味、浑浊度、肉眼可以</w:t>
      </w:r>
      <w:r>
        <w:rPr>
          <w:rFonts w:ascii="FangSong" w:hAnsi="FangSong" w:eastAsia="FangSong" w:cs="FangSong"/>
          <w:sz w:val="24"/>
          <w:szCs w:val="24"/>
        </w:rPr>
        <w:t xml:space="preserve"> </w:t>
      </w:r>
      <w:r>
        <w:rPr>
          <w:rFonts w:ascii="FangSong" w:hAnsi="FangSong" w:eastAsia="FangSong" w:cs="FangSong"/>
          <w:sz w:val="24"/>
          <w:szCs w:val="24"/>
          <w:spacing w:val="-5"/>
        </w:rPr>
        <w:t>见物、</w:t>
      </w:r>
      <w:r>
        <w:rPr>
          <w:sz w:val="24"/>
          <w:szCs w:val="24"/>
          <w:spacing w:val="-5"/>
        </w:rPr>
        <w:t>pH</w:t>
      </w:r>
      <w:r>
        <w:rPr>
          <w:sz w:val="24"/>
          <w:szCs w:val="24"/>
          <w:spacing w:val="-15"/>
        </w:rPr>
        <w:t xml:space="preserve"> </w:t>
      </w:r>
      <w:r>
        <w:rPr>
          <w:rFonts w:ascii="FangSong" w:hAnsi="FangSong" w:eastAsia="FangSong" w:cs="FangSong"/>
          <w:sz w:val="24"/>
          <w:szCs w:val="24"/>
          <w:spacing w:val="-5"/>
        </w:rPr>
        <w:t>、总硬度、溶解性总固体、硫酸盐、氯化物、铁、锰、铜、锌、铝、挥发性酚类（以</w:t>
      </w:r>
      <w:r>
        <w:rPr>
          <w:rFonts w:ascii="FangSong" w:hAnsi="FangSong" w:eastAsia="FangSong" w:cs="FangSong"/>
          <w:sz w:val="24"/>
          <w:szCs w:val="24"/>
        </w:rPr>
        <w:t xml:space="preserve"> </w:t>
      </w:r>
      <w:r>
        <w:rPr>
          <w:rFonts w:ascii="FangSong" w:hAnsi="FangSong" w:eastAsia="FangSong" w:cs="FangSong"/>
          <w:sz w:val="24"/>
          <w:szCs w:val="24"/>
          <w:spacing w:val="-3"/>
        </w:rPr>
        <w:t>苯酚计）、阴离子表面活性剂、</w:t>
      </w:r>
      <w:r>
        <w:rPr>
          <w:sz w:val="24"/>
          <w:szCs w:val="24"/>
          <w:spacing w:val="-3"/>
        </w:rPr>
        <w:t>COD</w:t>
      </w:r>
      <w:r>
        <w:rPr>
          <w:sz w:val="15"/>
          <w:szCs w:val="15"/>
          <w:spacing w:val="-3"/>
          <w:position w:val="-1"/>
        </w:rPr>
        <w:t>Mn </w:t>
      </w:r>
      <w:r>
        <w:rPr>
          <w:rFonts w:ascii="FangSong" w:hAnsi="FangSong" w:eastAsia="FangSong" w:cs="FangSong"/>
          <w:sz w:val="24"/>
          <w:szCs w:val="24"/>
          <w:spacing w:val="-3"/>
        </w:rPr>
        <w:t>、氨氮、硫化物、钠、亚硝</w:t>
      </w:r>
      <w:r>
        <w:rPr>
          <w:rFonts w:ascii="FangSong" w:hAnsi="FangSong" w:eastAsia="FangSong" w:cs="FangSong"/>
          <w:sz w:val="24"/>
          <w:szCs w:val="24"/>
          <w:spacing w:val="-4"/>
        </w:rPr>
        <w:t>酸盐、硝酸盐、氰化物、氟</w:t>
      </w:r>
      <w:r>
        <w:rPr>
          <w:rFonts w:ascii="FangSong" w:hAnsi="FangSong" w:eastAsia="FangSong" w:cs="FangSong"/>
          <w:sz w:val="24"/>
          <w:szCs w:val="24"/>
        </w:rPr>
        <w:t xml:space="preserve"> </w:t>
      </w:r>
      <w:r>
        <w:rPr>
          <w:rFonts w:ascii="FangSong" w:hAnsi="FangSong" w:eastAsia="FangSong" w:cs="FangSong"/>
          <w:sz w:val="24"/>
          <w:szCs w:val="24"/>
        </w:rPr>
        <w:t>化物、碘化物、汞、砷、硒、镉、铬（六价）</w:t>
      </w:r>
      <w:r>
        <w:rPr>
          <w:rFonts w:ascii="FangSong" w:hAnsi="FangSong" w:eastAsia="FangSong" w:cs="FangSong"/>
          <w:sz w:val="24"/>
          <w:szCs w:val="24"/>
          <w:spacing w:val="-1"/>
        </w:rPr>
        <w:t>、铅、三氯甲烷、四氯化碳、苯、甲苯；</w:t>
      </w:r>
    </w:p>
    <w:p>
      <w:pPr>
        <w:pStyle w:val="BodyText"/>
        <w:ind w:left="133" w:right="114" w:firstLine="480"/>
        <w:spacing w:before="186" w:line="286" w:lineRule="auto"/>
        <w:rPr>
          <w:rFonts w:ascii="FangSong" w:hAnsi="FangSong" w:eastAsia="FangSong" w:cs="FangSong"/>
          <w:sz w:val="24"/>
          <w:szCs w:val="24"/>
        </w:rPr>
      </w:pPr>
      <w:r>
        <w:rPr>
          <w:rFonts w:ascii="FangSong" w:hAnsi="FangSong" w:eastAsia="FangSong" w:cs="FangSong"/>
          <w:sz w:val="24"/>
          <w:szCs w:val="24"/>
          <w:spacing w:val="-2"/>
        </w:rPr>
        <w:t>（</w:t>
      </w:r>
      <w:r>
        <w:rPr>
          <w:sz w:val="24"/>
          <w:szCs w:val="24"/>
          <w:spacing w:val="-2"/>
        </w:rPr>
        <w:t>2</w:t>
      </w:r>
      <w:r>
        <w:rPr>
          <w:rFonts w:ascii="FangSong" w:hAnsi="FangSong" w:eastAsia="FangSong" w:cs="FangSong"/>
          <w:sz w:val="24"/>
          <w:szCs w:val="24"/>
          <w:spacing w:val="-2"/>
        </w:rPr>
        <w:t>）特征污染物：</w:t>
      </w:r>
      <w:r>
        <w:rPr>
          <w:sz w:val="24"/>
          <w:szCs w:val="24"/>
          <w:spacing w:val="-2"/>
        </w:rPr>
        <w:t>pH</w:t>
      </w:r>
      <w:r>
        <w:rPr>
          <w:sz w:val="24"/>
          <w:szCs w:val="24"/>
          <w:spacing w:val="-26"/>
        </w:rPr>
        <w:t xml:space="preserve"> </w:t>
      </w:r>
      <w:r>
        <w:rPr>
          <w:rFonts w:ascii="FangSong" w:hAnsi="FangSong" w:eastAsia="FangSong" w:cs="FangSong"/>
          <w:sz w:val="24"/>
          <w:szCs w:val="24"/>
          <w:spacing w:val="-2"/>
        </w:rPr>
        <w:t>、石油烃（</w:t>
      </w:r>
      <w:r>
        <w:rPr>
          <w:sz w:val="24"/>
          <w:szCs w:val="24"/>
          <w:spacing w:val="-2"/>
        </w:rPr>
        <w:t>C</w:t>
      </w:r>
      <w:r>
        <w:rPr>
          <w:sz w:val="15"/>
          <w:szCs w:val="15"/>
          <w:spacing w:val="-2"/>
        </w:rPr>
        <w:t>10</w:t>
      </w:r>
      <w:r>
        <w:rPr>
          <w:sz w:val="24"/>
          <w:szCs w:val="24"/>
          <w:spacing w:val="-2"/>
        </w:rPr>
        <w:t>-C</w:t>
      </w:r>
      <w:r>
        <w:rPr>
          <w:sz w:val="15"/>
          <w:szCs w:val="15"/>
          <w:spacing w:val="-2"/>
          <w:position w:val="-1"/>
        </w:rPr>
        <w:t>40 </w:t>
      </w:r>
      <w:r>
        <w:rPr>
          <w:rFonts w:ascii="FangSong" w:hAnsi="FangSong" w:eastAsia="FangSong" w:cs="FangSong"/>
          <w:sz w:val="24"/>
          <w:szCs w:val="24"/>
          <w:spacing w:val="-2"/>
        </w:rPr>
        <w:t>）、氟化物、铜、</w:t>
      </w:r>
      <w:r>
        <w:rPr>
          <w:rFonts w:ascii="FangSong" w:hAnsi="FangSong" w:eastAsia="FangSong" w:cs="FangSong"/>
          <w:sz w:val="24"/>
          <w:szCs w:val="24"/>
          <w:spacing w:val="-3"/>
        </w:rPr>
        <w:t>铅、锌、镉、镍、砷、铬、铬</w:t>
      </w:r>
      <w:r>
        <w:rPr>
          <w:rFonts w:ascii="FangSong" w:hAnsi="FangSong" w:eastAsia="FangSong" w:cs="FangSong"/>
          <w:sz w:val="24"/>
          <w:szCs w:val="24"/>
        </w:rPr>
        <w:t xml:space="preserve"> </w:t>
      </w:r>
      <w:r>
        <w:rPr>
          <w:rFonts w:ascii="FangSong" w:hAnsi="FangSong" w:eastAsia="FangSong" w:cs="FangSong"/>
          <w:sz w:val="24"/>
          <w:szCs w:val="24"/>
          <w:spacing w:val="-2"/>
        </w:rPr>
        <w:t>（六价）、苯并</w:t>
      </w:r>
      <w:r>
        <w:rPr>
          <w:sz w:val="24"/>
          <w:szCs w:val="24"/>
          <w:spacing w:val="-2"/>
        </w:rPr>
        <w:t>[a]</w:t>
      </w:r>
      <w:r>
        <w:rPr>
          <w:rFonts w:ascii="FangSong" w:hAnsi="FangSong" w:eastAsia="FangSong" w:cs="FangSong"/>
          <w:sz w:val="24"/>
          <w:szCs w:val="24"/>
          <w:spacing w:val="-2"/>
        </w:rPr>
        <w:t>芘；</w:t>
      </w:r>
    </w:p>
    <w:p>
      <w:pPr>
        <w:pStyle w:val="BodyText"/>
        <w:ind w:left="127" w:right="31" w:firstLine="485"/>
        <w:spacing w:before="194" w:line="312" w:lineRule="auto"/>
        <w:rPr>
          <w:rFonts w:ascii="FangSong" w:hAnsi="FangSong" w:eastAsia="FangSong" w:cs="FangSong"/>
          <w:sz w:val="24"/>
          <w:szCs w:val="24"/>
        </w:rPr>
      </w:pPr>
      <w:r>
        <w:rPr>
          <w:rFonts w:ascii="FangSong" w:hAnsi="FangSong" w:eastAsia="FangSong" w:cs="FangSong"/>
          <w:sz w:val="24"/>
          <w:szCs w:val="24"/>
          <w:spacing w:val="-4"/>
        </w:rPr>
        <w:t>（</w:t>
      </w:r>
      <w:r>
        <w:rPr>
          <w:sz w:val="24"/>
          <w:szCs w:val="24"/>
          <w:spacing w:val="-4"/>
        </w:rPr>
        <w:t>3</w:t>
      </w:r>
      <w:r>
        <w:rPr>
          <w:rFonts w:ascii="FangSong" w:hAnsi="FangSong" w:eastAsia="FangSong" w:cs="FangSong"/>
          <w:sz w:val="24"/>
          <w:szCs w:val="24"/>
          <w:spacing w:val="-4"/>
        </w:rPr>
        <w:t>）</w:t>
      </w:r>
      <w:r>
        <w:rPr>
          <w:sz w:val="24"/>
          <w:szCs w:val="24"/>
          <w:spacing w:val="-4"/>
        </w:rPr>
        <w:t>HJ</w:t>
      </w:r>
      <w:r>
        <w:rPr>
          <w:sz w:val="24"/>
          <w:szCs w:val="24"/>
          <w:spacing w:val="38"/>
        </w:rPr>
        <w:t xml:space="preserve"> </w:t>
      </w:r>
      <w:r>
        <w:rPr>
          <w:sz w:val="24"/>
          <w:szCs w:val="24"/>
          <w:spacing w:val="-4"/>
        </w:rPr>
        <w:t>164</w:t>
      </w:r>
      <w:r>
        <w:rPr>
          <w:rFonts w:ascii="FangSong" w:hAnsi="FangSong" w:eastAsia="FangSong" w:cs="FangSong"/>
          <w:sz w:val="24"/>
          <w:szCs w:val="24"/>
          <w:spacing w:val="-4"/>
        </w:rPr>
        <w:t>附录</w:t>
      </w:r>
      <w:r>
        <w:rPr>
          <w:sz w:val="24"/>
          <w:szCs w:val="24"/>
          <w:spacing w:val="-4"/>
        </w:rPr>
        <w:t>F</w:t>
      </w:r>
      <w:r>
        <w:rPr>
          <w:rFonts w:ascii="FangSong" w:hAnsi="FangSong" w:eastAsia="FangSong" w:cs="FangSong"/>
          <w:sz w:val="24"/>
          <w:szCs w:val="24"/>
          <w:spacing w:val="-4"/>
        </w:rPr>
        <w:t>中“环境治理业（危废、医废处置）</w:t>
      </w:r>
      <w:r>
        <w:rPr>
          <w:rFonts w:ascii="FangSong" w:hAnsi="FangSong" w:eastAsia="FangSong" w:cs="FangSong"/>
          <w:sz w:val="24"/>
          <w:szCs w:val="24"/>
          <w:spacing w:val="-88"/>
        </w:rPr>
        <w:t xml:space="preserve"> </w:t>
      </w:r>
      <w:r>
        <w:rPr>
          <w:rFonts w:ascii="FangSong" w:hAnsi="FangSong" w:eastAsia="FangSong" w:cs="FangSong"/>
          <w:sz w:val="24"/>
          <w:szCs w:val="24"/>
          <w:spacing w:val="-4"/>
        </w:rPr>
        <w:t>”行业的特征项目：</w:t>
      </w:r>
      <w:r>
        <w:rPr>
          <w:sz w:val="24"/>
          <w:szCs w:val="24"/>
          <w:spacing w:val="-4"/>
        </w:rPr>
        <w:t>pH</w:t>
      </w:r>
      <w:r>
        <w:rPr>
          <w:sz w:val="24"/>
          <w:szCs w:val="24"/>
          <w:spacing w:val="-27"/>
        </w:rPr>
        <w:t xml:space="preserve"> </w:t>
      </w:r>
      <w:r>
        <w:rPr>
          <w:rFonts w:ascii="FangSong" w:hAnsi="FangSong" w:eastAsia="FangSong" w:cs="FangSong"/>
          <w:sz w:val="24"/>
          <w:szCs w:val="24"/>
          <w:spacing w:val="-4"/>
        </w:rPr>
        <w:t>、耗氧量、</w:t>
      </w:r>
      <w:r>
        <w:rPr>
          <w:rFonts w:ascii="FangSong" w:hAnsi="FangSong" w:eastAsia="FangSong" w:cs="FangSong"/>
          <w:sz w:val="24"/>
          <w:szCs w:val="24"/>
        </w:rPr>
        <w:t xml:space="preserve"> </w:t>
      </w:r>
      <w:r>
        <w:rPr>
          <w:rFonts w:ascii="FangSong" w:hAnsi="FangSong" w:eastAsia="FangSong" w:cs="FangSong"/>
          <w:sz w:val="24"/>
          <w:szCs w:val="24"/>
          <w:spacing w:val="-3"/>
        </w:rPr>
        <w:t>溶解性总固体、氯化物、硝酸盐、亚硝酸盐、氨氮、总磷、氟化物、氰化物、挥发性酚类、烷</w:t>
      </w:r>
      <w:r>
        <w:rPr>
          <w:rFonts w:ascii="FangSong" w:hAnsi="FangSong" w:eastAsia="FangSong" w:cs="FangSong"/>
          <w:sz w:val="24"/>
          <w:szCs w:val="24"/>
          <w:spacing w:val="13"/>
        </w:rPr>
        <w:t xml:space="preserve"> </w:t>
      </w:r>
      <w:r>
        <w:rPr>
          <w:rFonts w:ascii="FangSong" w:hAnsi="FangSong" w:eastAsia="FangSong" w:cs="FangSong"/>
          <w:sz w:val="24"/>
          <w:szCs w:val="24"/>
          <w:spacing w:val="-6"/>
        </w:rPr>
        <w:t>基汞、汞、铅、镉、总铬、六价铬、铜、锌、铍、钡、</w:t>
      </w:r>
      <w:r>
        <w:rPr>
          <w:rFonts w:ascii="FangSong" w:hAnsi="FangSong" w:eastAsia="FangSong" w:cs="FangSong"/>
          <w:sz w:val="24"/>
          <w:szCs w:val="24"/>
          <w:spacing w:val="-7"/>
        </w:rPr>
        <w:t>镍、砷三氯甲烷、四氯化碳、苯、甲苯。</w:t>
      </w:r>
    </w:p>
    <w:p>
      <w:pPr>
        <w:pStyle w:val="BodyText"/>
        <w:ind w:left="123"/>
        <w:spacing w:before="243" w:line="224" w:lineRule="auto"/>
        <w:outlineLvl w:val="1"/>
        <w:rPr>
          <w:rFonts w:ascii="FangSong" w:hAnsi="FangSong" w:eastAsia="FangSong" w:cs="FangSong"/>
          <w:sz w:val="28"/>
          <w:szCs w:val="28"/>
        </w:rPr>
      </w:pPr>
      <w:bookmarkStart w:name="bookmark24" w:id="28"/>
      <w:bookmarkEnd w:id="28"/>
      <w:r>
        <w:rPr>
          <w:sz w:val="28"/>
          <w:szCs w:val="28"/>
          <w:b/>
          <w:bCs/>
          <w:spacing w:val="-7"/>
        </w:rPr>
        <w:t>6.4</w:t>
      </w:r>
      <w:r>
        <w:rPr>
          <w:sz w:val="28"/>
          <w:szCs w:val="28"/>
          <w:b/>
          <w:bCs/>
          <w:spacing w:val="14"/>
        </w:rPr>
        <w:t xml:space="preserve">  </w:t>
      </w:r>
      <w:r>
        <w:rPr>
          <w:rFonts w:ascii="FangSong" w:hAnsi="FangSong" w:eastAsia="FangSong" w:cs="FangSong"/>
          <w:sz w:val="28"/>
          <w:szCs w:val="28"/>
          <w:b/>
          <w:bCs/>
          <w:spacing w:val="-7"/>
        </w:rPr>
        <w:t>监测频次</w:t>
      </w:r>
    </w:p>
    <w:p>
      <w:pPr>
        <w:pStyle w:val="BodyText"/>
        <w:ind w:left="129" w:right="73" w:firstLine="479"/>
        <w:spacing w:before="226" w:line="360" w:lineRule="auto"/>
        <w:rPr>
          <w:rFonts w:ascii="FangSong" w:hAnsi="FangSong" w:eastAsia="FangSong" w:cs="FangSong"/>
          <w:sz w:val="24"/>
          <w:szCs w:val="24"/>
        </w:rPr>
      </w:pPr>
      <w:r>
        <w:rPr>
          <w:rFonts w:ascii="FangSong" w:hAnsi="FangSong" w:eastAsia="FangSong" w:cs="FangSong"/>
          <w:sz w:val="24"/>
          <w:szCs w:val="24"/>
          <w:spacing w:val="-3"/>
        </w:rPr>
        <w:t>根据《工业企业土壤和地下水自行监测技术指南（试行）》表</w:t>
      </w:r>
      <w:r>
        <w:rPr>
          <w:sz w:val="24"/>
          <w:szCs w:val="24"/>
          <w:spacing w:val="-3"/>
        </w:rPr>
        <w:t>2   </w:t>
      </w:r>
      <w:r>
        <w:rPr>
          <w:rFonts w:ascii="FangSong" w:hAnsi="FangSong" w:eastAsia="FangSong" w:cs="FangSong"/>
          <w:sz w:val="24"/>
          <w:szCs w:val="24"/>
          <w:spacing w:val="-3"/>
        </w:rPr>
        <w:t>自行监测</w:t>
      </w:r>
      <w:r>
        <w:rPr>
          <w:rFonts w:ascii="FangSong" w:hAnsi="FangSong" w:eastAsia="FangSong" w:cs="FangSong"/>
          <w:sz w:val="24"/>
          <w:szCs w:val="24"/>
          <w:spacing w:val="-4"/>
        </w:rPr>
        <w:t>最低频次要求，</w:t>
      </w:r>
      <w:r>
        <w:rPr>
          <w:rFonts w:ascii="FangSong" w:hAnsi="FangSong" w:eastAsia="FangSong" w:cs="FangSong"/>
          <w:sz w:val="24"/>
          <w:szCs w:val="24"/>
        </w:rPr>
        <w:t xml:space="preserve"> </w:t>
      </w:r>
      <w:r>
        <w:rPr>
          <w:rFonts w:ascii="FangSong" w:hAnsi="FangSong" w:eastAsia="FangSong" w:cs="FangSong"/>
          <w:sz w:val="24"/>
          <w:szCs w:val="24"/>
          <w:spacing w:val="-1"/>
        </w:rPr>
        <w:t>本项目土壤和地下水监测频次见表</w:t>
      </w:r>
      <w:r>
        <w:rPr>
          <w:sz w:val="24"/>
          <w:szCs w:val="24"/>
          <w:spacing w:val="-1"/>
        </w:rPr>
        <w:t>6-2</w:t>
      </w:r>
      <w:r>
        <w:rPr>
          <w:rFonts w:ascii="FangSong" w:hAnsi="FangSong" w:eastAsia="FangSong" w:cs="FangSong"/>
          <w:sz w:val="24"/>
          <w:szCs w:val="24"/>
          <w:spacing w:val="-1"/>
        </w:rPr>
        <w:t>。</w:t>
      </w:r>
    </w:p>
    <w:p>
      <w:pPr>
        <w:pStyle w:val="BodyText"/>
        <w:ind w:left="3399"/>
        <w:spacing w:before="1" w:line="222" w:lineRule="auto"/>
        <w:rPr>
          <w:rFonts w:ascii="FangSong" w:hAnsi="FangSong" w:eastAsia="FangSong" w:cs="FangSong"/>
          <w:sz w:val="24"/>
          <w:szCs w:val="24"/>
        </w:rPr>
      </w:pPr>
      <w:r>
        <w:rPr>
          <w:rFonts w:ascii="FangSong" w:hAnsi="FangSong" w:eastAsia="FangSong" w:cs="FangSong"/>
          <w:sz w:val="24"/>
          <w:szCs w:val="24"/>
          <w:b/>
          <w:bCs/>
          <w:spacing w:val="-3"/>
        </w:rPr>
        <w:t>表</w:t>
      </w:r>
      <w:r>
        <w:rPr>
          <w:sz w:val="24"/>
          <w:szCs w:val="24"/>
          <w:b/>
          <w:bCs/>
          <w:spacing w:val="-3"/>
        </w:rPr>
        <w:t>6-2    </w:t>
      </w:r>
      <w:r>
        <w:rPr>
          <w:rFonts w:ascii="FangSong" w:hAnsi="FangSong" w:eastAsia="FangSong" w:cs="FangSong"/>
          <w:sz w:val="24"/>
          <w:szCs w:val="24"/>
          <w:b/>
          <w:bCs/>
          <w:spacing w:val="-3"/>
        </w:rPr>
        <w:t>土壤和地下水监测频次</w:t>
      </w:r>
    </w:p>
    <w:p>
      <w:pPr>
        <w:spacing w:line="65" w:lineRule="exact"/>
        <w:rPr/>
      </w:pPr>
      <w:r/>
    </w:p>
    <w:tbl>
      <w:tblPr>
        <w:tblStyle w:val="TableNormal"/>
        <w:tblW w:w="99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35"/>
        <w:gridCol w:w="5381"/>
        <w:gridCol w:w="1572"/>
        <w:gridCol w:w="1578"/>
      </w:tblGrid>
      <w:tr>
        <w:trPr>
          <w:trHeight w:val="349" w:hRule="atLeast"/>
        </w:trPr>
        <w:tc>
          <w:tcPr>
            <w:tcW w:w="1435" w:type="dxa"/>
            <w:vAlign w:val="top"/>
          </w:tcPr>
          <w:p>
            <w:pPr>
              <w:pStyle w:val="TableText"/>
              <w:ind w:left="312"/>
              <w:spacing w:before="70" w:line="232" w:lineRule="auto"/>
              <w:rPr/>
            </w:pPr>
            <w:r>
              <w:rPr>
                <w:b/>
                <w:bCs/>
                <w:spacing w:val="3"/>
              </w:rPr>
              <w:t>监测对象</w:t>
            </w:r>
          </w:p>
        </w:tc>
        <w:tc>
          <w:tcPr>
            <w:tcW w:w="5381" w:type="dxa"/>
            <w:vAlign w:val="top"/>
          </w:tcPr>
          <w:p>
            <w:pPr>
              <w:pStyle w:val="TableText"/>
              <w:ind w:left="2074"/>
              <w:spacing w:before="70" w:line="230" w:lineRule="auto"/>
              <w:rPr/>
            </w:pPr>
            <w:r>
              <w:rPr>
                <w:b/>
                <w:bCs/>
                <w:spacing w:val="5"/>
              </w:rPr>
              <w:t>监测点位编号</w:t>
            </w:r>
          </w:p>
        </w:tc>
        <w:tc>
          <w:tcPr>
            <w:tcW w:w="1572" w:type="dxa"/>
            <w:vAlign w:val="top"/>
          </w:tcPr>
          <w:p>
            <w:pPr>
              <w:pStyle w:val="TableText"/>
              <w:ind w:left="384"/>
              <w:spacing w:before="70" w:line="232" w:lineRule="auto"/>
              <w:rPr/>
            </w:pPr>
            <w:r>
              <w:rPr>
                <w:b/>
                <w:bCs/>
                <w:spacing w:val="3"/>
              </w:rPr>
              <w:t>监测频次</w:t>
            </w:r>
          </w:p>
        </w:tc>
        <w:tc>
          <w:tcPr>
            <w:tcW w:w="1578" w:type="dxa"/>
            <w:vAlign w:val="top"/>
          </w:tcPr>
          <w:p>
            <w:pPr>
              <w:pStyle w:val="TableText"/>
              <w:ind w:left="591"/>
              <w:spacing w:before="70" w:line="233" w:lineRule="auto"/>
              <w:rPr/>
            </w:pPr>
            <w:r>
              <w:rPr>
                <w:b/>
                <w:bCs/>
              </w:rPr>
              <w:t>备注</w:t>
            </w:r>
          </w:p>
        </w:tc>
      </w:tr>
      <w:tr>
        <w:trPr>
          <w:trHeight w:val="628" w:hRule="atLeast"/>
        </w:trPr>
        <w:tc>
          <w:tcPr>
            <w:tcW w:w="1435" w:type="dxa"/>
            <w:vAlign w:val="top"/>
            <w:vMerge w:val="restart"/>
            <w:tcBorders>
              <w:bottom w:val="nil"/>
            </w:tcBorders>
          </w:tcPr>
          <w:p>
            <w:pPr>
              <w:spacing w:line="317" w:lineRule="auto"/>
              <w:rPr>
                <w:rFonts w:ascii="Arial"/>
                <w:sz w:val="21"/>
              </w:rPr>
            </w:pPr>
            <w:r/>
          </w:p>
          <w:p>
            <w:pPr>
              <w:pStyle w:val="TableText"/>
              <w:ind w:left="520"/>
              <w:spacing w:before="65" w:line="232" w:lineRule="auto"/>
              <w:rPr/>
            </w:pPr>
            <w:r>
              <w:rPr/>
              <w:t>土壤</w:t>
            </w:r>
          </w:p>
        </w:tc>
        <w:tc>
          <w:tcPr>
            <w:tcW w:w="5381" w:type="dxa"/>
            <w:vAlign w:val="top"/>
          </w:tcPr>
          <w:p>
            <w:pPr>
              <w:pStyle w:val="TableText"/>
              <w:ind w:left="104"/>
              <w:spacing w:before="88" w:line="187" w:lineRule="auto"/>
              <w:rPr/>
            </w:pPr>
            <w:r>
              <w:rPr>
                <w:rFonts w:ascii="Times New Roman" w:hAnsi="Times New Roman" w:eastAsia="Times New Roman" w:cs="Times New Roman"/>
              </w:rPr>
              <w:t>AT1</w:t>
            </w:r>
            <w:r>
              <w:rPr>
                <w:rFonts w:ascii="Times New Roman" w:hAnsi="Times New Roman" w:eastAsia="Times New Roman" w:cs="Times New Roman"/>
                <w:spacing w:val="-19"/>
              </w:rPr>
              <w:t xml:space="preserve"> </w:t>
            </w:r>
            <w:r>
              <w:rPr/>
              <w:t>、</w:t>
            </w:r>
            <w:r>
              <w:rPr>
                <w:rFonts w:ascii="Times New Roman" w:hAnsi="Times New Roman" w:eastAsia="Times New Roman" w:cs="Times New Roman"/>
              </w:rPr>
              <w:t>AT2</w:t>
            </w:r>
            <w:r>
              <w:rPr>
                <w:rFonts w:ascii="Times New Roman" w:hAnsi="Times New Roman" w:eastAsia="Times New Roman" w:cs="Times New Roman"/>
                <w:spacing w:val="-20"/>
              </w:rPr>
              <w:t xml:space="preserve"> </w:t>
            </w:r>
            <w:r>
              <w:rPr/>
              <w:t>、</w:t>
            </w:r>
            <w:r>
              <w:rPr>
                <w:rFonts w:ascii="Times New Roman" w:hAnsi="Times New Roman" w:eastAsia="Times New Roman" w:cs="Times New Roman"/>
              </w:rPr>
              <w:t>BT2</w:t>
            </w:r>
            <w:r>
              <w:rPr>
                <w:rFonts w:ascii="Times New Roman" w:hAnsi="Times New Roman" w:eastAsia="Times New Roman" w:cs="Times New Roman"/>
                <w:spacing w:val="-21"/>
              </w:rPr>
              <w:t xml:space="preserve"> </w:t>
            </w:r>
            <w:r>
              <w:rPr/>
              <w:t>、</w:t>
            </w:r>
            <w:r>
              <w:rPr>
                <w:rFonts w:ascii="Times New Roman" w:hAnsi="Times New Roman" w:eastAsia="Times New Roman" w:cs="Times New Roman"/>
              </w:rPr>
              <w:t>CT1</w:t>
            </w:r>
            <w:r>
              <w:rPr>
                <w:rFonts w:ascii="Times New Roman" w:hAnsi="Times New Roman" w:eastAsia="Times New Roman" w:cs="Times New Roman"/>
                <w:spacing w:val="-20"/>
              </w:rPr>
              <w:t xml:space="preserve"> </w:t>
            </w:r>
            <w:r>
              <w:rPr/>
              <w:t>、</w:t>
            </w:r>
            <w:r>
              <w:rPr>
                <w:rFonts w:ascii="Times New Roman" w:hAnsi="Times New Roman" w:eastAsia="Times New Roman" w:cs="Times New Roman"/>
              </w:rPr>
              <w:t>CT2</w:t>
            </w:r>
            <w:r>
              <w:rPr>
                <w:rFonts w:ascii="Times New Roman" w:hAnsi="Times New Roman" w:eastAsia="Times New Roman" w:cs="Times New Roman"/>
                <w:spacing w:val="-19"/>
              </w:rPr>
              <w:t xml:space="preserve"> </w:t>
            </w:r>
            <w:r>
              <w:rPr/>
              <w:t>、</w:t>
            </w:r>
            <w:r>
              <w:rPr>
                <w:rFonts w:ascii="Times New Roman" w:hAnsi="Times New Roman" w:eastAsia="Times New Roman" w:cs="Times New Roman"/>
              </w:rPr>
              <w:t>DT2</w:t>
            </w:r>
            <w:r>
              <w:rPr>
                <w:rFonts w:ascii="Times New Roman" w:hAnsi="Times New Roman" w:eastAsia="Times New Roman" w:cs="Times New Roman"/>
                <w:spacing w:val="-20"/>
              </w:rPr>
              <w:t xml:space="preserve"> </w:t>
            </w:r>
            <w:r>
              <w:rPr/>
              <w:t>、</w:t>
            </w:r>
            <w:r>
              <w:rPr>
                <w:rFonts w:ascii="Times New Roman" w:hAnsi="Times New Roman" w:eastAsia="Times New Roman" w:cs="Times New Roman"/>
              </w:rPr>
              <w:t>ET1</w:t>
            </w:r>
            <w:r>
              <w:rPr>
                <w:rFonts w:ascii="Times New Roman" w:hAnsi="Times New Roman" w:eastAsia="Times New Roman" w:cs="Times New Roman"/>
                <w:spacing w:val="-17"/>
              </w:rPr>
              <w:t xml:space="preserve"> </w:t>
            </w:r>
            <w:r>
              <w:rPr/>
              <w:t>、</w:t>
            </w:r>
            <w:r>
              <w:rPr>
                <w:rFonts w:ascii="Times New Roman" w:hAnsi="Times New Roman" w:eastAsia="Times New Roman" w:cs="Times New Roman"/>
                <w:spacing w:val="-1"/>
              </w:rPr>
              <w:t>FT1</w:t>
            </w:r>
            <w:r>
              <w:rPr>
                <w:rFonts w:ascii="Times New Roman" w:hAnsi="Times New Roman" w:eastAsia="Times New Roman" w:cs="Times New Roman"/>
                <w:spacing w:val="-19"/>
              </w:rPr>
              <w:t xml:space="preserve"> </w:t>
            </w:r>
            <w:r>
              <w:rPr>
                <w:spacing w:val="-1"/>
              </w:rPr>
              <w:t>、</w:t>
            </w:r>
            <w:r>
              <w:rPr>
                <w:rFonts w:ascii="Times New Roman" w:hAnsi="Times New Roman" w:eastAsia="Times New Roman" w:cs="Times New Roman"/>
                <w:spacing w:val="-1"/>
              </w:rPr>
              <w:t>GT1</w:t>
            </w:r>
            <w:r>
              <w:rPr>
                <w:spacing w:val="-1"/>
              </w:rPr>
              <w:t>、</w:t>
            </w:r>
          </w:p>
          <w:p>
            <w:pPr>
              <w:pStyle w:val="TableText"/>
              <w:ind w:left="2205"/>
              <w:spacing w:before="109" w:line="187" w:lineRule="auto"/>
              <w:rPr>
                <w:rFonts w:ascii="Times New Roman" w:hAnsi="Times New Roman" w:eastAsia="Times New Roman" w:cs="Times New Roman"/>
              </w:rPr>
            </w:pPr>
            <w:r>
              <w:rPr>
                <w:rFonts w:ascii="Times New Roman" w:hAnsi="Times New Roman" w:eastAsia="Times New Roman" w:cs="Times New Roman"/>
              </w:rPr>
              <w:t>GT</w:t>
            </w:r>
            <w:r>
              <w:rPr>
                <w:rFonts w:ascii="Times New Roman" w:hAnsi="Times New Roman" w:eastAsia="Times New Roman" w:cs="Times New Roman"/>
                <w:spacing w:val="1"/>
              </w:rPr>
              <w:t>2</w:t>
            </w:r>
            <w:r>
              <w:rPr>
                <w:rFonts w:ascii="Times New Roman" w:hAnsi="Times New Roman" w:eastAsia="Times New Roman" w:cs="Times New Roman"/>
                <w:spacing w:val="-19"/>
              </w:rPr>
              <w:t xml:space="preserve"> </w:t>
            </w:r>
            <w:r>
              <w:rPr>
                <w:spacing w:val="1"/>
              </w:rPr>
              <w:t>、</w:t>
            </w:r>
            <w:r>
              <w:rPr>
                <w:rFonts w:ascii="Times New Roman" w:hAnsi="Times New Roman" w:eastAsia="Times New Roman" w:cs="Times New Roman"/>
              </w:rPr>
              <w:t>HT</w:t>
            </w:r>
            <w:r>
              <w:rPr>
                <w:rFonts w:ascii="Times New Roman" w:hAnsi="Times New Roman" w:eastAsia="Times New Roman" w:cs="Times New Roman"/>
                <w:spacing w:val="1"/>
              </w:rPr>
              <w:t>2</w:t>
            </w:r>
          </w:p>
        </w:tc>
        <w:tc>
          <w:tcPr>
            <w:tcW w:w="1572" w:type="dxa"/>
            <w:vAlign w:val="top"/>
          </w:tcPr>
          <w:p>
            <w:pPr>
              <w:pStyle w:val="TableText"/>
              <w:ind w:left="518"/>
              <w:spacing w:before="208" w:line="231" w:lineRule="auto"/>
              <w:rPr/>
            </w:pPr>
            <w:r>
              <w:rPr>
                <w:rFonts w:ascii="Times New Roman" w:hAnsi="Times New Roman" w:eastAsia="Times New Roman" w:cs="Times New Roman"/>
              </w:rPr>
              <w:t>1</w:t>
            </w:r>
            <w:r>
              <w:rPr/>
              <w:t>次</w:t>
            </w:r>
            <w:r>
              <w:rPr>
                <w:rFonts w:ascii="Times New Roman" w:hAnsi="Times New Roman" w:eastAsia="Times New Roman" w:cs="Times New Roman"/>
              </w:rPr>
              <w:t>/</w:t>
            </w:r>
            <w:r>
              <w:rPr/>
              <w:t>年</w:t>
            </w:r>
          </w:p>
        </w:tc>
        <w:tc>
          <w:tcPr>
            <w:tcW w:w="1578" w:type="dxa"/>
            <w:vAlign w:val="top"/>
          </w:tcPr>
          <w:p>
            <w:pPr>
              <w:pStyle w:val="TableText"/>
              <w:ind w:left="488"/>
              <w:spacing w:before="208" w:line="233" w:lineRule="auto"/>
              <w:rPr/>
            </w:pPr>
            <w:r>
              <w:rPr>
                <w:spacing w:val="4"/>
              </w:rPr>
              <w:t>表层土</w:t>
            </w:r>
          </w:p>
        </w:tc>
      </w:tr>
      <w:tr>
        <w:trPr>
          <w:trHeight w:val="344" w:hRule="atLeast"/>
        </w:trPr>
        <w:tc>
          <w:tcPr>
            <w:tcW w:w="1435" w:type="dxa"/>
            <w:vAlign w:val="top"/>
            <w:vMerge w:val="continue"/>
            <w:tcBorders>
              <w:top w:val="nil"/>
            </w:tcBorders>
          </w:tcPr>
          <w:p>
            <w:pPr>
              <w:rPr>
                <w:rFonts w:ascii="Arial"/>
                <w:sz w:val="21"/>
              </w:rPr>
            </w:pPr>
            <w:r/>
          </w:p>
        </w:tc>
        <w:tc>
          <w:tcPr>
            <w:tcW w:w="5381" w:type="dxa"/>
            <w:vAlign w:val="top"/>
          </w:tcPr>
          <w:p>
            <w:pPr>
              <w:pStyle w:val="TableText"/>
              <w:ind w:left="1909"/>
              <w:spacing w:before="104" w:line="186" w:lineRule="auto"/>
              <w:rPr>
                <w:rFonts w:ascii="Times New Roman" w:hAnsi="Times New Roman" w:eastAsia="Times New Roman" w:cs="Times New Roman"/>
              </w:rPr>
            </w:pPr>
            <w:r>
              <w:rPr>
                <w:rFonts w:ascii="Times New Roman" w:hAnsi="Times New Roman" w:eastAsia="Times New Roman" w:cs="Times New Roman"/>
              </w:rPr>
              <w:t>BT</w:t>
            </w:r>
            <w:r>
              <w:rPr>
                <w:rFonts w:ascii="Times New Roman" w:hAnsi="Times New Roman" w:eastAsia="Times New Roman" w:cs="Times New Roman"/>
                <w:spacing w:val="2"/>
              </w:rPr>
              <w:t>1</w:t>
            </w:r>
            <w:r>
              <w:rPr>
                <w:rFonts w:ascii="Times New Roman" w:hAnsi="Times New Roman" w:eastAsia="Times New Roman" w:cs="Times New Roman"/>
                <w:spacing w:val="-22"/>
              </w:rPr>
              <w:t xml:space="preserve"> </w:t>
            </w:r>
            <w:r>
              <w:rPr>
                <w:spacing w:val="2"/>
              </w:rPr>
              <w:t>、</w:t>
            </w:r>
            <w:r>
              <w:rPr>
                <w:rFonts w:ascii="Times New Roman" w:hAnsi="Times New Roman" w:eastAsia="Times New Roman" w:cs="Times New Roman"/>
              </w:rPr>
              <w:t>DT</w:t>
            </w:r>
            <w:r>
              <w:rPr>
                <w:rFonts w:ascii="Times New Roman" w:hAnsi="Times New Roman" w:eastAsia="Times New Roman" w:cs="Times New Roman"/>
                <w:spacing w:val="2"/>
              </w:rPr>
              <w:t>1</w:t>
            </w:r>
            <w:r>
              <w:rPr>
                <w:rFonts w:ascii="Times New Roman" w:hAnsi="Times New Roman" w:eastAsia="Times New Roman" w:cs="Times New Roman"/>
                <w:spacing w:val="-20"/>
              </w:rPr>
              <w:t xml:space="preserve"> </w:t>
            </w:r>
            <w:r>
              <w:rPr>
                <w:spacing w:val="2"/>
              </w:rPr>
              <w:t>、</w:t>
            </w:r>
            <w:r>
              <w:rPr>
                <w:rFonts w:ascii="Times New Roman" w:hAnsi="Times New Roman" w:eastAsia="Times New Roman" w:cs="Times New Roman"/>
              </w:rPr>
              <w:t>HT</w:t>
            </w:r>
            <w:r>
              <w:rPr>
                <w:rFonts w:ascii="Times New Roman" w:hAnsi="Times New Roman" w:eastAsia="Times New Roman" w:cs="Times New Roman"/>
                <w:spacing w:val="2"/>
              </w:rPr>
              <w:t>1</w:t>
            </w:r>
          </w:p>
        </w:tc>
        <w:tc>
          <w:tcPr>
            <w:tcW w:w="1572" w:type="dxa"/>
            <w:vAlign w:val="top"/>
          </w:tcPr>
          <w:p>
            <w:pPr>
              <w:pStyle w:val="TableText"/>
              <w:ind w:left="465"/>
              <w:spacing w:before="67" w:line="231" w:lineRule="auto"/>
              <w:rPr/>
            </w:pPr>
            <w:r>
              <w:rPr>
                <w:rFonts w:ascii="Times New Roman" w:hAnsi="Times New Roman" w:eastAsia="Times New Roman" w:cs="Times New Roman"/>
                <w:spacing w:val="1"/>
              </w:rPr>
              <w:t>1</w:t>
            </w:r>
            <w:r>
              <w:rPr>
                <w:spacing w:val="1"/>
              </w:rPr>
              <w:t>次</w:t>
            </w:r>
            <w:r>
              <w:rPr>
                <w:rFonts w:ascii="Times New Roman" w:hAnsi="Times New Roman" w:eastAsia="Times New Roman" w:cs="Times New Roman"/>
                <w:spacing w:val="1"/>
              </w:rPr>
              <w:t>/3</w:t>
            </w:r>
            <w:r>
              <w:rPr>
                <w:spacing w:val="1"/>
              </w:rPr>
              <w:t>年</w:t>
            </w:r>
          </w:p>
        </w:tc>
        <w:tc>
          <w:tcPr>
            <w:tcW w:w="1578" w:type="dxa"/>
            <w:vAlign w:val="top"/>
          </w:tcPr>
          <w:p>
            <w:pPr>
              <w:pStyle w:val="TableText"/>
              <w:ind w:left="488"/>
              <w:spacing w:before="67" w:line="231" w:lineRule="auto"/>
              <w:rPr/>
            </w:pPr>
            <w:r>
              <w:rPr>
                <w:spacing w:val="4"/>
              </w:rPr>
              <w:t>深层土</w:t>
            </w:r>
          </w:p>
        </w:tc>
      </w:tr>
      <w:tr>
        <w:trPr>
          <w:trHeight w:val="344" w:hRule="atLeast"/>
        </w:trPr>
        <w:tc>
          <w:tcPr>
            <w:tcW w:w="1435" w:type="dxa"/>
            <w:vAlign w:val="top"/>
            <w:vMerge w:val="restart"/>
            <w:tcBorders>
              <w:bottom w:val="nil"/>
            </w:tcBorders>
          </w:tcPr>
          <w:p>
            <w:pPr>
              <w:spacing w:line="349" w:lineRule="auto"/>
              <w:rPr>
                <w:rFonts w:ascii="Arial"/>
                <w:sz w:val="21"/>
              </w:rPr>
            </w:pPr>
            <w:r/>
          </w:p>
          <w:p>
            <w:pPr>
              <w:pStyle w:val="TableText"/>
              <w:ind w:left="415"/>
              <w:spacing w:before="65" w:line="231" w:lineRule="auto"/>
              <w:rPr/>
            </w:pPr>
            <w:r>
              <w:rPr>
                <w:spacing w:val="4"/>
              </w:rPr>
              <w:t>地下水</w:t>
            </w:r>
          </w:p>
        </w:tc>
        <w:tc>
          <w:tcPr>
            <w:tcW w:w="5381" w:type="dxa"/>
            <w:vAlign w:val="top"/>
          </w:tcPr>
          <w:p>
            <w:pPr>
              <w:ind w:left="2439"/>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DZS</w:t>
            </w:r>
            <w:r>
              <w:rPr>
                <w:rFonts w:ascii="Times New Roman" w:hAnsi="Times New Roman" w:eastAsia="Times New Roman" w:cs="Times New Roman"/>
                <w:sz w:val="20"/>
                <w:szCs w:val="20"/>
                <w:spacing w:val="19"/>
              </w:rPr>
              <w:t>1</w:t>
            </w:r>
          </w:p>
        </w:tc>
        <w:tc>
          <w:tcPr>
            <w:tcW w:w="1572" w:type="dxa"/>
            <w:vAlign w:val="top"/>
          </w:tcPr>
          <w:p>
            <w:pPr>
              <w:pStyle w:val="TableText"/>
              <w:ind w:left="413"/>
              <w:spacing w:before="69" w:line="229" w:lineRule="auto"/>
              <w:rPr/>
            </w:pPr>
            <w:r>
              <w:rPr>
                <w:rFonts w:ascii="Times New Roman" w:hAnsi="Times New Roman" w:eastAsia="Times New Roman" w:cs="Times New Roman"/>
                <w:spacing w:val="1"/>
              </w:rPr>
              <w:t>1</w:t>
            </w:r>
            <w:r>
              <w:rPr>
                <w:spacing w:val="1"/>
              </w:rPr>
              <w:t>次</w:t>
            </w:r>
            <w:r>
              <w:rPr>
                <w:rFonts w:ascii="Times New Roman" w:hAnsi="Times New Roman" w:eastAsia="Times New Roman" w:cs="Times New Roman"/>
                <w:spacing w:val="1"/>
              </w:rPr>
              <w:t>/</w:t>
            </w:r>
            <w:r>
              <w:rPr>
                <w:spacing w:val="1"/>
              </w:rPr>
              <w:t>半年</w:t>
            </w:r>
          </w:p>
        </w:tc>
        <w:tc>
          <w:tcPr>
            <w:tcW w:w="1578" w:type="dxa"/>
            <w:vAlign w:val="top"/>
          </w:tcPr>
          <w:p>
            <w:pPr>
              <w:pStyle w:val="TableText"/>
              <w:ind w:left="488"/>
              <w:spacing w:before="69" w:line="232" w:lineRule="auto"/>
              <w:rPr/>
            </w:pPr>
            <w:r>
              <w:rPr>
                <w:spacing w:val="4"/>
              </w:rPr>
              <w:t>对照点</w:t>
            </w:r>
          </w:p>
        </w:tc>
      </w:tr>
      <w:tr>
        <w:trPr>
          <w:trHeight w:val="344" w:hRule="atLeast"/>
        </w:trPr>
        <w:tc>
          <w:tcPr>
            <w:tcW w:w="1435" w:type="dxa"/>
            <w:vAlign w:val="top"/>
            <w:vMerge w:val="continue"/>
            <w:tcBorders>
              <w:top w:val="nil"/>
              <w:bottom w:val="nil"/>
            </w:tcBorders>
          </w:tcPr>
          <w:p>
            <w:pPr>
              <w:rPr>
                <w:rFonts w:ascii="Arial"/>
                <w:sz w:val="21"/>
              </w:rPr>
            </w:pPr>
            <w:r/>
          </w:p>
        </w:tc>
        <w:tc>
          <w:tcPr>
            <w:tcW w:w="5381" w:type="dxa"/>
            <w:vAlign w:val="top"/>
          </w:tcPr>
          <w:p>
            <w:pPr>
              <w:pStyle w:val="TableText"/>
              <w:ind w:left="1925"/>
              <w:spacing w:before="103" w:line="187" w:lineRule="auto"/>
              <w:rPr>
                <w:rFonts w:ascii="Times New Roman" w:hAnsi="Times New Roman" w:eastAsia="Times New Roman" w:cs="Times New Roman"/>
              </w:rPr>
            </w:pPr>
            <w:r>
              <w:rPr>
                <w:rFonts w:ascii="Times New Roman" w:hAnsi="Times New Roman" w:eastAsia="Times New Roman" w:cs="Times New Roman"/>
              </w:rPr>
              <w:t>BS1</w:t>
            </w:r>
            <w:r>
              <w:rPr>
                <w:rFonts w:ascii="Times New Roman" w:hAnsi="Times New Roman" w:eastAsia="Times New Roman" w:cs="Times New Roman"/>
                <w:spacing w:val="-19"/>
              </w:rPr>
              <w:t xml:space="preserve"> </w:t>
            </w:r>
            <w:r>
              <w:rPr/>
              <w:t>、</w:t>
            </w:r>
            <w:r>
              <w:rPr>
                <w:rFonts w:ascii="Times New Roman" w:hAnsi="Times New Roman" w:eastAsia="Times New Roman" w:cs="Times New Roman"/>
              </w:rPr>
              <w:t>DS1</w:t>
            </w:r>
            <w:r>
              <w:rPr>
                <w:rFonts w:ascii="Times New Roman" w:hAnsi="Times New Roman" w:eastAsia="Times New Roman" w:cs="Times New Roman"/>
                <w:spacing w:val="-17"/>
              </w:rPr>
              <w:t xml:space="preserve"> </w:t>
            </w:r>
            <w:r>
              <w:rPr/>
              <w:t>、</w:t>
            </w:r>
            <w:r>
              <w:rPr>
                <w:rFonts w:ascii="Times New Roman" w:hAnsi="Times New Roman" w:eastAsia="Times New Roman" w:cs="Times New Roman"/>
              </w:rPr>
              <w:t>HS1</w:t>
            </w:r>
          </w:p>
        </w:tc>
        <w:tc>
          <w:tcPr>
            <w:tcW w:w="1572" w:type="dxa"/>
            <w:vAlign w:val="top"/>
          </w:tcPr>
          <w:p>
            <w:pPr>
              <w:pStyle w:val="TableText"/>
              <w:ind w:left="413"/>
              <w:spacing w:before="68" w:line="229" w:lineRule="auto"/>
              <w:rPr/>
            </w:pPr>
            <w:r>
              <w:rPr>
                <w:rFonts w:ascii="Times New Roman" w:hAnsi="Times New Roman" w:eastAsia="Times New Roman" w:cs="Times New Roman"/>
                <w:spacing w:val="1"/>
              </w:rPr>
              <w:t>1</w:t>
            </w:r>
            <w:r>
              <w:rPr>
                <w:spacing w:val="1"/>
              </w:rPr>
              <w:t>次</w:t>
            </w:r>
            <w:r>
              <w:rPr>
                <w:rFonts w:ascii="Times New Roman" w:hAnsi="Times New Roman" w:eastAsia="Times New Roman" w:cs="Times New Roman"/>
                <w:spacing w:val="1"/>
              </w:rPr>
              <w:t>/</w:t>
            </w:r>
            <w:r>
              <w:rPr>
                <w:spacing w:val="1"/>
              </w:rPr>
              <w:t>半年</w:t>
            </w:r>
          </w:p>
        </w:tc>
        <w:tc>
          <w:tcPr>
            <w:tcW w:w="1578" w:type="dxa"/>
            <w:vAlign w:val="top"/>
          </w:tcPr>
          <w:p>
            <w:pPr>
              <w:pStyle w:val="TableText"/>
              <w:ind w:left="384"/>
              <w:spacing w:before="68" w:line="229" w:lineRule="auto"/>
              <w:rPr/>
            </w:pPr>
            <w:r>
              <w:rPr>
                <w:spacing w:val="5"/>
              </w:rPr>
              <w:t>一类单元</w:t>
            </w:r>
          </w:p>
        </w:tc>
      </w:tr>
      <w:tr>
        <w:trPr>
          <w:trHeight w:val="349" w:hRule="atLeast"/>
        </w:trPr>
        <w:tc>
          <w:tcPr>
            <w:tcW w:w="1435" w:type="dxa"/>
            <w:vAlign w:val="top"/>
            <w:vMerge w:val="continue"/>
            <w:tcBorders>
              <w:top w:val="nil"/>
            </w:tcBorders>
          </w:tcPr>
          <w:p>
            <w:pPr>
              <w:rPr>
                <w:rFonts w:ascii="Arial"/>
                <w:sz w:val="21"/>
              </w:rPr>
            </w:pPr>
            <w:r/>
          </w:p>
        </w:tc>
        <w:tc>
          <w:tcPr>
            <w:tcW w:w="5381" w:type="dxa"/>
            <w:vAlign w:val="top"/>
          </w:tcPr>
          <w:p>
            <w:pPr>
              <w:pStyle w:val="TableText"/>
              <w:ind w:left="1369"/>
              <w:spacing w:before="105" w:line="187" w:lineRule="auto"/>
              <w:rPr>
                <w:rFonts w:ascii="Times New Roman" w:hAnsi="Times New Roman" w:eastAsia="Times New Roman" w:cs="Times New Roman"/>
              </w:rPr>
            </w:pPr>
            <w:r>
              <w:rPr>
                <w:rFonts w:ascii="Times New Roman" w:hAnsi="Times New Roman" w:eastAsia="Times New Roman" w:cs="Times New Roman"/>
              </w:rPr>
              <w:t>AS1</w:t>
            </w:r>
            <w:r>
              <w:rPr>
                <w:rFonts w:ascii="Times New Roman" w:hAnsi="Times New Roman" w:eastAsia="Times New Roman" w:cs="Times New Roman"/>
                <w:spacing w:val="-20"/>
              </w:rPr>
              <w:t xml:space="preserve"> </w:t>
            </w:r>
            <w:r>
              <w:rPr/>
              <w:t>、</w:t>
            </w:r>
            <w:r>
              <w:rPr>
                <w:rFonts w:ascii="Times New Roman" w:hAnsi="Times New Roman" w:eastAsia="Times New Roman" w:cs="Times New Roman"/>
              </w:rPr>
              <w:t>CS1</w:t>
            </w:r>
            <w:r>
              <w:rPr>
                <w:rFonts w:ascii="Times New Roman" w:hAnsi="Times New Roman" w:eastAsia="Times New Roman" w:cs="Times New Roman"/>
                <w:spacing w:val="-20"/>
              </w:rPr>
              <w:t xml:space="preserve"> </w:t>
            </w:r>
            <w:r>
              <w:rPr/>
              <w:t>、</w:t>
            </w:r>
            <w:r>
              <w:rPr>
                <w:rFonts w:ascii="Times New Roman" w:hAnsi="Times New Roman" w:eastAsia="Times New Roman" w:cs="Times New Roman"/>
              </w:rPr>
              <w:t>ES1</w:t>
            </w:r>
            <w:r>
              <w:rPr>
                <w:rFonts w:ascii="Times New Roman" w:hAnsi="Times New Roman" w:eastAsia="Times New Roman" w:cs="Times New Roman"/>
                <w:spacing w:val="-19"/>
              </w:rPr>
              <w:t xml:space="preserve"> </w:t>
            </w:r>
            <w:r>
              <w:rPr/>
              <w:t>、</w:t>
            </w:r>
            <w:r>
              <w:rPr>
                <w:rFonts w:ascii="Times New Roman" w:hAnsi="Times New Roman" w:eastAsia="Times New Roman" w:cs="Times New Roman"/>
              </w:rPr>
              <w:t>FS1</w:t>
            </w:r>
            <w:r>
              <w:rPr>
                <w:rFonts w:ascii="Times New Roman" w:hAnsi="Times New Roman" w:eastAsia="Times New Roman" w:cs="Times New Roman"/>
                <w:spacing w:val="-19"/>
              </w:rPr>
              <w:t xml:space="preserve"> </w:t>
            </w:r>
            <w:r>
              <w:rPr/>
              <w:t>、</w:t>
            </w:r>
            <w:r>
              <w:rPr>
                <w:rFonts w:ascii="Times New Roman" w:hAnsi="Times New Roman" w:eastAsia="Times New Roman" w:cs="Times New Roman"/>
              </w:rPr>
              <w:t>GS1</w:t>
            </w:r>
          </w:p>
        </w:tc>
        <w:tc>
          <w:tcPr>
            <w:tcW w:w="1572" w:type="dxa"/>
            <w:vAlign w:val="top"/>
          </w:tcPr>
          <w:p>
            <w:pPr>
              <w:pStyle w:val="TableText"/>
              <w:ind w:left="518"/>
              <w:spacing w:before="69" w:line="231" w:lineRule="auto"/>
              <w:rPr/>
            </w:pPr>
            <w:r>
              <w:rPr>
                <w:rFonts w:ascii="Times New Roman" w:hAnsi="Times New Roman" w:eastAsia="Times New Roman" w:cs="Times New Roman"/>
              </w:rPr>
              <w:t>1</w:t>
            </w:r>
            <w:r>
              <w:rPr/>
              <w:t>次</w:t>
            </w:r>
            <w:r>
              <w:rPr>
                <w:rFonts w:ascii="Times New Roman" w:hAnsi="Times New Roman" w:eastAsia="Times New Roman" w:cs="Times New Roman"/>
              </w:rPr>
              <w:t>/</w:t>
            </w:r>
            <w:r>
              <w:rPr/>
              <w:t>年</w:t>
            </w:r>
          </w:p>
        </w:tc>
        <w:tc>
          <w:tcPr>
            <w:tcW w:w="1578" w:type="dxa"/>
            <w:vAlign w:val="top"/>
          </w:tcPr>
          <w:p>
            <w:pPr>
              <w:pStyle w:val="TableText"/>
              <w:ind w:left="387"/>
              <w:spacing w:before="70" w:line="229" w:lineRule="auto"/>
              <w:rPr/>
            </w:pPr>
            <w:r>
              <w:rPr>
                <w:spacing w:val="4"/>
              </w:rPr>
              <w:t>二类单元</w:t>
            </w:r>
          </w:p>
        </w:tc>
      </w:tr>
    </w:tbl>
    <w:p>
      <w:pPr>
        <w:rPr>
          <w:rFonts w:ascii="Arial"/>
          <w:sz w:val="21"/>
        </w:rPr>
      </w:pPr>
      <w:r/>
    </w:p>
    <w:p>
      <w:pPr>
        <w:sectPr>
          <w:headerReference w:type="default" r:id="rId42"/>
          <w:footerReference w:type="default" r:id="rId112"/>
          <w:pgSz w:w="11906" w:h="16839"/>
          <w:pgMar w:top="1139" w:right="967" w:bottom="1252" w:left="967" w:header="831" w:footer="1090" w:gutter="0"/>
        </w:sectPr>
        <w:rPr>
          <w:rFonts w:ascii="Arial" w:hAnsi="Arial" w:eastAsia="Arial" w:cs="Arial"/>
          <w:sz w:val="21"/>
          <w:szCs w:val="21"/>
        </w:rPr>
      </w:pPr>
    </w:p>
    <w:p>
      <w:pPr>
        <w:spacing w:line="379" w:lineRule="auto"/>
        <w:rPr>
          <w:rFonts w:ascii="Arial"/>
          <w:sz w:val="21"/>
        </w:rPr>
      </w:pPr>
      <w:r/>
    </w:p>
    <w:p>
      <w:pPr>
        <w:pStyle w:val="BodyText"/>
        <w:ind w:left="122"/>
        <w:spacing w:before="91" w:line="219" w:lineRule="auto"/>
        <w:outlineLvl w:val="0"/>
        <w:rPr>
          <w:rFonts w:ascii="FangSong" w:hAnsi="FangSong" w:eastAsia="FangSong" w:cs="FangSong"/>
          <w:sz w:val="28"/>
          <w:szCs w:val="28"/>
        </w:rPr>
      </w:pPr>
      <w:bookmarkStart w:name="bookmark25" w:id="29"/>
      <w:bookmarkEnd w:id="29"/>
      <w:bookmarkStart w:name="bookmark26" w:id="30"/>
      <w:bookmarkEnd w:id="30"/>
      <w:r>
        <w:rPr>
          <w:sz w:val="28"/>
          <w:szCs w:val="28"/>
          <w:b/>
          <w:bCs/>
          <w:spacing w:val="-3"/>
        </w:rPr>
        <w:t>7  </w:t>
      </w:r>
      <w:r>
        <w:rPr>
          <w:rFonts w:ascii="FangSong" w:hAnsi="FangSong" w:eastAsia="FangSong" w:cs="FangSong"/>
          <w:sz w:val="28"/>
          <w:szCs w:val="28"/>
          <w:b/>
          <w:bCs/>
          <w:spacing w:val="-3"/>
        </w:rPr>
        <w:t>样品采集、保存、流转与制备</w:t>
      </w:r>
    </w:p>
    <w:p>
      <w:pPr>
        <w:pStyle w:val="BodyText"/>
        <w:ind w:left="122"/>
        <w:spacing w:before="291" w:line="220" w:lineRule="auto"/>
        <w:outlineLvl w:val="1"/>
        <w:rPr>
          <w:rFonts w:ascii="FangSong" w:hAnsi="FangSong" w:eastAsia="FangSong" w:cs="FangSong"/>
          <w:sz w:val="28"/>
          <w:szCs w:val="28"/>
        </w:rPr>
      </w:pPr>
      <w:bookmarkStart w:name="bookmark47" w:id="31"/>
      <w:bookmarkEnd w:id="31"/>
      <w:r>
        <w:rPr>
          <w:sz w:val="28"/>
          <w:szCs w:val="28"/>
          <w:b/>
          <w:bCs/>
          <w:spacing w:val="-2"/>
        </w:rPr>
        <w:t>7.1  </w:t>
      </w:r>
      <w:r>
        <w:rPr>
          <w:rFonts w:ascii="FangSong" w:hAnsi="FangSong" w:eastAsia="FangSong" w:cs="FangSong"/>
          <w:sz w:val="28"/>
          <w:szCs w:val="28"/>
          <w:b/>
          <w:bCs/>
          <w:spacing w:val="-2"/>
        </w:rPr>
        <w:t>现场采样位置、数量和深度</w:t>
      </w:r>
    </w:p>
    <w:p>
      <w:pPr>
        <w:pStyle w:val="BodyText"/>
        <w:ind w:left="120"/>
        <w:spacing w:before="232" w:line="219" w:lineRule="auto"/>
        <w:outlineLvl w:val="2"/>
        <w:rPr>
          <w:rFonts w:ascii="FangSong" w:hAnsi="FangSong" w:eastAsia="FangSong" w:cs="FangSong"/>
          <w:sz w:val="24"/>
          <w:szCs w:val="24"/>
        </w:rPr>
      </w:pPr>
      <w:r>
        <w:rPr>
          <w:sz w:val="24"/>
          <w:szCs w:val="24"/>
          <w:b/>
          <w:bCs/>
          <w:spacing w:val="-2"/>
        </w:rPr>
        <w:t>7.1.1  </w:t>
      </w:r>
      <w:r>
        <w:rPr>
          <w:rFonts w:ascii="FangSong" w:hAnsi="FangSong" w:eastAsia="FangSong" w:cs="FangSong"/>
          <w:sz w:val="24"/>
          <w:szCs w:val="24"/>
          <w:b/>
          <w:bCs/>
          <w:spacing w:val="-2"/>
        </w:rPr>
        <w:t>土壤采样位置、数量和深度</w:t>
      </w:r>
    </w:p>
    <w:p>
      <w:pPr>
        <w:pStyle w:val="BodyText"/>
        <w:ind w:left="132" w:right="114" w:firstLine="478"/>
        <w:spacing w:before="182" w:line="360" w:lineRule="auto"/>
        <w:rPr>
          <w:rFonts w:ascii="FangSong" w:hAnsi="FangSong" w:eastAsia="FangSong" w:cs="FangSong"/>
          <w:sz w:val="24"/>
          <w:szCs w:val="24"/>
        </w:rPr>
      </w:pPr>
      <w:r>
        <w:rPr>
          <w:rFonts w:ascii="FangSong" w:hAnsi="FangSong" w:eastAsia="FangSong" w:cs="FangSong"/>
          <w:sz w:val="24"/>
          <w:szCs w:val="24"/>
          <w:spacing w:val="-1"/>
        </w:rPr>
        <w:t>表层土壤监测点采样深度应为</w:t>
      </w:r>
      <w:r>
        <w:rPr>
          <w:sz w:val="24"/>
          <w:szCs w:val="24"/>
          <w:spacing w:val="-1"/>
        </w:rPr>
        <w:t>0</w:t>
      </w:r>
      <w:r>
        <w:rPr>
          <w:rFonts w:ascii="FangSong" w:hAnsi="FangSong" w:eastAsia="FangSong" w:cs="FangSong"/>
          <w:sz w:val="24"/>
          <w:szCs w:val="24"/>
          <w:spacing w:val="-1"/>
        </w:rPr>
        <w:t>～</w:t>
      </w:r>
      <w:r>
        <w:rPr>
          <w:sz w:val="24"/>
          <w:szCs w:val="24"/>
          <w:spacing w:val="-1"/>
        </w:rPr>
        <w:t>0.5m</w:t>
      </w:r>
      <w:r>
        <w:rPr>
          <w:sz w:val="24"/>
          <w:szCs w:val="24"/>
          <w:spacing w:val="-21"/>
        </w:rPr>
        <w:t xml:space="preserve"> </w:t>
      </w:r>
      <w:r>
        <w:rPr>
          <w:rFonts w:ascii="FangSong" w:hAnsi="FangSong" w:eastAsia="FangSong" w:cs="FangSong"/>
          <w:sz w:val="24"/>
          <w:szCs w:val="24"/>
          <w:spacing w:val="-1"/>
        </w:rPr>
        <w:t>。深层土壤监测点采样深度应略低于其对应的隐蔽</w:t>
      </w:r>
      <w:r>
        <w:rPr>
          <w:rFonts w:ascii="FangSong" w:hAnsi="FangSong" w:eastAsia="FangSong" w:cs="FangSong"/>
          <w:sz w:val="24"/>
          <w:szCs w:val="24"/>
        </w:rPr>
        <w:t xml:space="preserve"> </w:t>
      </w:r>
      <w:r>
        <w:rPr>
          <w:rFonts w:ascii="FangSong" w:hAnsi="FangSong" w:eastAsia="FangSong" w:cs="FangSong"/>
          <w:sz w:val="24"/>
          <w:szCs w:val="24"/>
          <w:spacing w:val="-1"/>
        </w:rPr>
        <w:t>性重点设施设备底部与土壤接触面。其中事故池和初期雨水池（地下约</w:t>
      </w:r>
      <w:r>
        <w:rPr>
          <w:sz w:val="24"/>
          <w:szCs w:val="24"/>
          <w:spacing w:val="-1"/>
        </w:rPr>
        <w:t>3m</w:t>
      </w:r>
      <w:r>
        <w:rPr>
          <w:rFonts w:ascii="FangSong" w:hAnsi="FangSong" w:eastAsia="FangSong" w:cs="FangSong"/>
          <w:sz w:val="24"/>
          <w:szCs w:val="24"/>
          <w:spacing w:val="-1"/>
        </w:rPr>
        <w:t>）。</w:t>
      </w:r>
    </w:p>
    <w:p>
      <w:pPr>
        <w:ind w:left="613"/>
        <w:spacing w:line="219" w:lineRule="auto"/>
        <w:rPr>
          <w:rFonts w:ascii="FangSong" w:hAnsi="FangSong" w:eastAsia="FangSong" w:cs="FangSong"/>
          <w:sz w:val="24"/>
          <w:szCs w:val="24"/>
        </w:rPr>
      </w:pPr>
      <w:r>
        <w:rPr>
          <w:rFonts w:ascii="FangSong" w:hAnsi="FangSong" w:eastAsia="FangSong" w:cs="FangSong"/>
          <w:sz w:val="24"/>
          <w:szCs w:val="24"/>
          <w:spacing w:val="-1"/>
        </w:rPr>
        <w:t>结合厂区内重点设施情况，土壤采样点设计位置数量深度及数量见下表：</w:t>
      </w:r>
    </w:p>
    <w:p>
      <w:pPr>
        <w:pStyle w:val="BodyText"/>
        <w:ind w:left="3759"/>
        <w:spacing w:before="184" w:line="219" w:lineRule="auto"/>
        <w:rPr>
          <w:rFonts w:ascii="FangSong" w:hAnsi="FangSong" w:eastAsia="FangSong" w:cs="FangSong"/>
          <w:sz w:val="24"/>
          <w:szCs w:val="24"/>
        </w:rPr>
      </w:pPr>
      <w:r>
        <w:rPr>
          <w:rFonts w:ascii="FangSong" w:hAnsi="FangSong" w:eastAsia="FangSong" w:cs="FangSong"/>
          <w:sz w:val="24"/>
          <w:szCs w:val="24"/>
          <w:b/>
          <w:bCs/>
          <w:spacing w:val="-3"/>
        </w:rPr>
        <w:t>表</w:t>
      </w:r>
      <w:r>
        <w:rPr>
          <w:sz w:val="24"/>
          <w:szCs w:val="24"/>
          <w:b/>
          <w:bCs/>
          <w:spacing w:val="-3"/>
        </w:rPr>
        <w:t>7-1</w:t>
      </w:r>
      <w:r>
        <w:rPr>
          <w:rFonts w:ascii="FangSong" w:hAnsi="FangSong" w:eastAsia="FangSong" w:cs="FangSong"/>
          <w:sz w:val="24"/>
          <w:szCs w:val="24"/>
          <w:b/>
          <w:bCs/>
          <w:spacing w:val="-3"/>
        </w:rPr>
        <w:t>土壤布点采样要求</w:t>
      </w:r>
    </w:p>
    <w:p>
      <w:pPr>
        <w:spacing w:line="68" w:lineRule="exact"/>
        <w:rPr/>
      </w:pPr>
      <w:r/>
    </w:p>
    <w:tbl>
      <w:tblPr>
        <w:tblStyle w:val="TableNormal"/>
        <w:tblW w:w="99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92"/>
        <w:gridCol w:w="1733"/>
        <w:gridCol w:w="1771"/>
        <w:gridCol w:w="2750"/>
        <w:gridCol w:w="1720"/>
      </w:tblGrid>
      <w:tr>
        <w:trPr>
          <w:trHeight w:val="349" w:hRule="atLeast"/>
        </w:trPr>
        <w:tc>
          <w:tcPr>
            <w:tcW w:w="1992" w:type="dxa"/>
            <w:vAlign w:val="top"/>
          </w:tcPr>
          <w:p>
            <w:pPr>
              <w:pStyle w:val="TableText"/>
              <w:ind w:left="798"/>
              <w:spacing w:before="70" w:line="233" w:lineRule="auto"/>
              <w:rPr/>
            </w:pPr>
            <w:r>
              <w:rPr>
                <w:b/>
                <w:bCs/>
                <w:spacing w:val="-1"/>
              </w:rPr>
              <w:t>类型</w:t>
            </w:r>
          </w:p>
        </w:tc>
        <w:tc>
          <w:tcPr>
            <w:tcW w:w="1733" w:type="dxa"/>
            <w:vAlign w:val="top"/>
          </w:tcPr>
          <w:p>
            <w:pPr>
              <w:pStyle w:val="TableText"/>
              <w:ind w:left="466"/>
              <w:spacing w:before="70" w:line="230" w:lineRule="auto"/>
              <w:rPr/>
            </w:pPr>
            <w:r>
              <w:rPr>
                <w:b/>
                <w:bCs/>
                <w:spacing w:val="2"/>
              </w:rPr>
              <w:t>点位编号</w:t>
            </w:r>
          </w:p>
        </w:tc>
        <w:tc>
          <w:tcPr>
            <w:tcW w:w="1771" w:type="dxa"/>
            <w:vAlign w:val="top"/>
          </w:tcPr>
          <w:p>
            <w:pPr>
              <w:pStyle w:val="TableText"/>
              <w:ind w:left="175"/>
              <w:spacing w:before="70" w:line="231" w:lineRule="auto"/>
              <w:rPr/>
            </w:pPr>
            <w:r>
              <w:rPr>
                <w:b/>
                <w:bCs/>
                <w:spacing w:val="-1"/>
              </w:rPr>
              <w:t>钻探深度（</w:t>
            </w:r>
            <w:r>
              <w:rPr>
                <w:spacing w:val="-59"/>
              </w:rPr>
              <w:t xml:space="preserve"> </w:t>
            </w:r>
            <w:r>
              <w:rPr>
                <w:rFonts w:ascii="Times New Roman" w:hAnsi="Times New Roman" w:eastAsia="Times New Roman" w:cs="Times New Roman"/>
                <w:b/>
                <w:bCs/>
                <w:spacing w:val="-1"/>
              </w:rPr>
              <w:t>m</w:t>
            </w:r>
            <w:r>
              <w:rPr>
                <w:b/>
                <w:bCs/>
                <w:spacing w:val="-1"/>
              </w:rPr>
              <w:t>）</w:t>
            </w:r>
          </w:p>
        </w:tc>
        <w:tc>
          <w:tcPr>
            <w:tcW w:w="2750" w:type="dxa"/>
            <w:vAlign w:val="top"/>
          </w:tcPr>
          <w:p>
            <w:pPr>
              <w:pStyle w:val="TableText"/>
              <w:ind w:left="668"/>
              <w:spacing w:before="70" w:line="228" w:lineRule="auto"/>
              <w:rPr/>
            </w:pPr>
            <w:r>
              <w:rPr>
                <w:b/>
                <w:bCs/>
                <w:spacing w:val="-2"/>
              </w:rPr>
              <w:t>采样深度（</w:t>
            </w:r>
            <w:r>
              <w:rPr>
                <w:spacing w:val="-52"/>
              </w:rPr>
              <w:t xml:space="preserve"> </w:t>
            </w:r>
            <w:r>
              <w:rPr>
                <w:rFonts w:ascii="Times New Roman" w:hAnsi="Times New Roman" w:eastAsia="Times New Roman" w:cs="Times New Roman"/>
                <w:b/>
                <w:bCs/>
                <w:spacing w:val="-2"/>
              </w:rPr>
              <w:t>m</w:t>
            </w:r>
            <w:r>
              <w:rPr>
                <w:b/>
                <w:bCs/>
                <w:spacing w:val="-2"/>
              </w:rPr>
              <w:t>）</w:t>
            </w:r>
          </w:p>
        </w:tc>
        <w:tc>
          <w:tcPr>
            <w:tcW w:w="1720" w:type="dxa"/>
            <w:vAlign w:val="top"/>
          </w:tcPr>
          <w:p>
            <w:pPr>
              <w:pStyle w:val="TableText"/>
              <w:ind w:left="134"/>
              <w:spacing w:before="70" w:line="228" w:lineRule="auto"/>
              <w:rPr/>
            </w:pPr>
            <w:r>
              <w:rPr>
                <w:b/>
                <w:bCs/>
                <w:spacing w:val="4"/>
              </w:rPr>
              <w:t>样品数量（个）</w:t>
            </w:r>
          </w:p>
        </w:tc>
      </w:tr>
      <w:tr>
        <w:trPr>
          <w:trHeight w:val="344" w:hRule="atLeast"/>
        </w:trPr>
        <w:tc>
          <w:tcPr>
            <w:tcW w:w="1992" w:type="dxa"/>
            <w:vAlign w:val="top"/>
          </w:tcPr>
          <w:p>
            <w:pPr>
              <w:pStyle w:val="TableText"/>
              <w:ind w:left="274"/>
              <w:spacing w:before="66" w:line="232" w:lineRule="auto"/>
              <w:rPr/>
            </w:pPr>
            <w:r>
              <w:rPr>
                <w:spacing w:val="7"/>
              </w:rPr>
              <w:t>表层土壤监测点</w:t>
            </w:r>
          </w:p>
        </w:tc>
        <w:tc>
          <w:tcPr>
            <w:tcW w:w="1733" w:type="dxa"/>
            <w:vAlign w:val="top"/>
          </w:tcPr>
          <w:p>
            <w:pPr>
              <w:pStyle w:val="TableText"/>
              <w:ind w:left="476"/>
              <w:spacing w:before="65"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AT</w:t>
            </w:r>
            <w:r>
              <w:rPr>
                <w:rFonts w:ascii="Times New Roman" w:hAnsi="Times New Roman" w:eastAsia="Times New Roman" w:cs="Times New Roman"/>
                <w:spacing w:val="6"/>
              </w:rPr>
              <w:t>1</w:t>
            </w:r>
          </w:p>
        </w:tc>
        <w:tc>
          <w:tcPr>
            <w:tcW w:w="1771" w:type="dxa"/>
            <w:vAlign w:val="top"/>
          </w:tcPr>
          <w:p>
            <w:pPr>
              <w:ind w:left="758"/>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c>
          <w:tcPr>
            <w:tcW w:w="2750" w:type="dxa"/>
            <w:vAlign w:val="top"/>
          </w:tcPr>
          <w:p>
            <w:pPr>
              <w:ind w:left="1161"/>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w:t>
            </w:r>
          </w:p>
        </w:tc>
        <w:tc>
          <w:tcPr>
            <w:tcW w:w="1720" w:type="dxa"/>
            <w:vAlign w:val="top"/>
          </w:tcPr>
          <w:p>
            <w:pPr>
              <w:ind w:left="828"/>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rPr>
          <w:trHeight w:val="344" w:hRule="atLeast"/>
        </w:trPr>
        <w:tc>
          <w:tcPr>
            <w:tcW w:w="1992" w:type="dxa"/>
            <w:vAlign w:val="top"/>
          </w:tcPr>
          <w:p>
            <w:pPr>
              <w:pStyle w:val="TableText"/>
              <w:ind w:left="274"/>
              <w:spacing w:before="65" w:line="232" w:lineRule="auto"/>
              <w:rPr/>
            </w:pPr>
            <w:r>
              <w:rPr>
                <w:spacing w:val="7"/>
              </w:rPr>
              <w:t>表层土壤监测点</w:t>
            </w:r>
          </w:p>
        </w:tc>
        <w:tc>
          <w:tcPr>
            <w:tcW w:w="1733" w:type="dxa"/>
            <w:vAlign w:val="top"/>
          </w:tcPr>
          <w:p>
            <w:pPr>
              <w:pStyle w:val="TableText"/>
              <w:ind w:left="476"/>
              <w:spacing w:before="66"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AT</w:t>
            </w:r>
            <w:r>
              <w:rPr>
                <w:rFonts w:ascii="Times New Roman" w:hAnsi="Times New Roman" w:eastAsia="Times New Roman" w:cs="Times New Roman"/>
                <w:spacing w:val="6"/>
              </w:rPr>
              <w:t>2</w:t>
            </w:r>
          </w:p>
        </w:tc>
        <w:tc>
          <w:tcPr>
            <w:tcW w:w="1771" w:type="dxa"/>
            <w:vAlign w:val="top"/>
          </w:tcPr>
          <w:p>
            <w:pPr>
              <w:ind w:left="758"/>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c>
          <w:tcPr>
            <w:tcW w:w="2750" w:type="dxa"/>
            <w:vAlign w:val="top"/>
          </w:tcPr>
          <w:p>
            <w:pPr>
              <w:ind w:left="1161"/>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w:t>
            </w:r>
          </w:p>
        </w:tc>
        <w:tc>
          <w:tcPr>
            <w:tcW w:w="1720" w:type="dxa"/>
            <w:vAlign w:val="top"/>
          </w:tcPr>
          <w:p>
            <w:pPr>
              <w:ind w:left="828"/>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rPr>
          <w:trHeight w:val="344" w:hRule="atLeast"/>
        </w:trPr>
        <w:tc>
          <w:tcPr>
            <w:tcW w:w="1992" w:type="dxa"/>
            <w:vAlign w:val="top"/>
          </w:tcPr>
          <w:p>
            <w:pPr>
              <w:pStyle w:val="TableText"/>
              <w:ind w:left="272"/>
              <w:spacing w:before="67" w:line="231" w:lineRule="auto"/>
              <w:rPr/>
            </w:pPr>
            <w:r>
              <w:rPr>
                <w:b/>
                <w:bCs/>
                <w:spacing w:val="5"/>
              </w:rPr>
              <w:t>深层土壤监测点</w:t>
            </w:r>
          </w:p>
        </w:tc>
        <w:tc>
          <w:tcPr>
            <w:tcW w:w="1733" w:type="dxa"/>
            <w:vAlign w:val="top"/>
          </w:tcPr>
          <w:p>
            <w:pPr>
              <w:pStyle w:val="TableText"/>
              <w:ind w:left="481"/>
              <w:spacing w:before="67" w:line="232" w:lineRule="auto"/>
              <w:rPr>
                <w:rFonts w:ascii="Times New Roman" w:hAnsi="Times New Roman" w:eastAsia="Times New Roman" w:cs="Times New Roman"/>
              </w:rPr>
            </w:pPr>
            <w:r>
              <w:rPr>
                <w:spacing w:val="7"/>
              </w:rPr>
              <w:t>土壤</w:t>
            </w:r>
            <w:r>
              <w:rPr>
                <w:rFonts w:ascii="Times New Roman" w:hAnsi="Times New Roman" w:eastAsia="Times New Roman" w:cs="Times New Roman"/>
              </w:rPr>
              <w:t>BT</w:t>
            </w:r>
            <w:r>
              <w:rPr>
                <w:rFonts w:ascii="Times New Roman" w:hAnsi="Times New Roman" w:eastAsia="Times New Roman" w:cs="Times New Roman"/>
                <w:spacing w:val="7"/>
              </w:rPr>
              <w:t>1</w:t>
            </w:r>
          </w:p>
        </w:tc>
        <w:tc>
          <w:tcPr>
            <w:tcW w:w="1771" w:type="dxa"/>
            <w:vAlign w:val="top"/>
          </w:tcPr>
          <w:p>
            <w:pPr>
              <w:ind w:left="759"/>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3.5</w:t>
            </w:r>
          </w:p>
        </w:tc>
        <w:tc>
          <w:tcPr>
            <w:tcW w:w="2750" w:type="dxa"/>
            <w:vAlign w:val="top"/>
          </w:tcPr>
          <w:p>
            <w:pPr>
              <w:pStyle w:val="TableText"/>
              <w:ind w:left="760"/>
              <w:spacing w:before="103" w:line="187" w:lineRule="auto"/>
              <w:rPr>
                <w:rFonts w:ascii="Times New Roman" w:hAnsi="Times New Roman" w:eastAsia="Times New Roman" w:cs="Times New Roman"/>
              </w:rPr>
            </w:pPr>
            <w:r>
              <w:rPr>
                <w:rFonts w:ascii="Times New Roman" w:hAnsi="Times New Roman" w:eastAsia="Times New Roman" w:cs="Times New Roman"/>
                <w:spacing w:val="1"/>
              </w:rPr>
              <w:t>0-0.5</w:t>
            </w:r>
            <w:r>
              <w:rPr>
                <w:rFonts w:ascii="Times New Roman" w:hAnsi="Times New Roman" w:eastAsia="Times New Roman" w:cs="Times New Roman"/>
                <w:spacing w:val="-16"/>
              </w:rPr>
              <w:t xml:space="preserve"> </w:t>
            </w:r>
            <w:r>
              <w:rPr>
                <w:spacing w:val="1"/>
              </w:rPr>
              <w:t>；</w:t>
            </w:r>
            <w:r>
              <w:rPr>
                <w:rFonts w:ascii="Times New Roman" w:hAnsi="Times New Roman" w:eastAsia="Times New Roman" w:cs="Times New Roman"/>
                <w:spacing w:val="1"/>
              </w:rPr>
              <w:t>3.0-3.5</w:t>
            </w:r>
          </w:p>
        </w:tc>
        <w:tc>
          <w:tcPr>
            <w:tcW w:w="1720" w:type="dxa"/>
            <w:vAlign w:val="top"/>
          </w:tcPr>
          <w:p>
            <w:pPr>
              <w:ind w:left="808"/>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rPr>
          <w:trHeight w:val="344" w:hRule="atLeast"/>
        </w:trPr>
        <w:tc>
          <w:tcPr>
            <w:tcW w:w="1992" w:type="dxa"/>
            <w:vAlign w:val="top"/>
          </w:tcPr>
          <w:p>
            <w:pPr>
              <w:pStyle w:val="TableText"/>
              <w:ind w:left="274"/>
              <w:spacing w:before="68" w:line="232" w:lineRule="auto"/>
              <w:rPr/>
            </w:pPr>
            <w:r>
              <w:rPr>
                <w:spacing w:val="7"/>
              </w:rPr>
              <w:t>表层土壤监测点</w:t>
            </w:r>
          </w:p>
        </w:tc>
        <w:tc>
          <w:tcPr>
            <w:tcW w:w="1733" w:type="dxa"/>
            <w:vAlign w:val="top"/>
          </w:tcPr>
          <w:p>
            <w:pPr>
              <w:pStyle w:val="TableText"/>
              <w:ind w:left="481"/>
              <w:spacing w:before="69" w:line="232" w:lineRule="auto"/>
              <w:rPr>
                <w:rFonts w:ascii="Times New Roman" w:hAnsi="Times New Roman" w:eastAsia="Times New Roman" w:cs="Times New Roman"/>
              </w:rPr>
            </w:pPr>
            <w:r>
              <w:rPr>
                <w:spacing w:val="7"/>
              </w:rPr>
              <w:t>土壤</w:t>
            </w:r>
            <w:r>
              <w:rPr>
                <w:rFonts w:ascii="Times New Roman" w:hAnsi="Times New Roman" w:eastAsia="Times New Roman" w:cs="Times New Roman"/>
              </w:rPr>
              <w:t>BT</w:t>
            </w:r>
            <w:r>
              <w:rPr>
                <w:rFonts w:ascii="Times New Roman" w:hAnsi="Times New Roman" w:eastAsia="Times New Roman" w:cs="Times New Roman"/>
                <w:spacing w:val="7"/>
              </w:rPr>
              <w:t>2</w:t>
            </w:r>
          </w:p>
        </w:tc>
        <w:tc>
          <w:tcPr>
            <w:tcW w:w="1771" w:type="dxa"/>
            <w:vAlign w:val="top"/>
          </w:tcPr>
          <w:p>
            <w:pPr>
              <w:ind w:left="758"/>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c>
          <w:tcPr>
            <w:tcW w:w="2750" w:type="dxa"/>
            <w:vAlign w:val="top"/>
          </w:tcPr>
          <w:p>
            <w:pPr>
              <w:ind w:left="1161"/>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w:t>
            </w:r>
          </w:p>
        </w:tc>
        <w:tc>
          <w:tcPr>
            <w:tcW w:w="1720" w:type="dxa"/>
            <w:vAlign w:val="top"/>
          </w:tcPr>
          <w:p>
            <w:pPr>
              <w:ind w:left="828"/>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rPr>
          <w:trHeight w:val="345" w:hRule="atLeast"/>
        </w:trPr>
        <w:tc>
          <w:tcPr>
            <w:tcW w:w="1992" w:type="dxa"/>
            <w:vAlign w:val="top"/>
          </w:tcPr>
          <w:p>
            <w:pPr>
              <w:pStyle w:val="TableText"/>
              <w:ind w:left="274"/>
              <w:spacing w:before="69" w:line="232" w:lineRule="auto"/>
              <w:rPr/>
            </w:pPr>
            <w:r>
              <w:rPr>
                <w:spacing w:val="7"/>
              </w:rPr>
              <w:t>表层土壤监测点</w:t>
            </w:r>
          </w:p>
        </w:tc>
        <w:tc>
          <w:tcPr>
            <w:tcW w:w="1733" w:type="dxa"/>
            <w:vAlign w:val="top"/>
          </w:tcPr>
          <w:p>
            <w:pPr>
              <w:pStyle w:val="TableText"/>
              <w:ind w:left="481"/>
              <w:spacing w:before="70"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CT</w:t>
            </w:r>
            <w:r>
              <w:rPr>
                <w:rFonts w:ascii="Times New Roman" w:hAnsi="Times New Roman" w:eastAsia="Times New Roman" w:cs="Times New Roman"/>
                <w:spacing w:val="6"/>
              </w:rPr>
              <w:t>1</w:t>
            </w:r>
          </w:p>
        </w:tc>
        <w:tc>
          <w:tcPr>
            <w:tcW w:w="1771" w:type="dxa"/>
            <w:vAlign w:val="top"/>
          </w:tcPr>
          <w:p>
            <w:pPr>
              <w:ind w:left="758"/>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c>
          <w:tcPr>
            <w:tcW w:w="2750" w:type="dxa"/>
            <w:vAlign w:val="top"/>
          </w:tcPr>
          <w:p>
            <w:pPr>
              <w:ind w:left="1161"/>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w:t>
            </w:r>
          </w:p>
        </w:tc>
        <w:tc>
          <w:tcPr>
            <w:tcW w:w="1720" w:type="dxa"/>
            <w:vAlign w:val="top"/>
          </w:tcPr>
          <w:p>
            <w:pPr>
              <w:ind w:left="828"/>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rPr>
          <w:trHeight w:val="345" w:hRule="atLeast"/>
        </w:trPr>
        <w:tc>
          <w:tcPr>
            <w:tcW w:w="1992" w:type="dxa"/>
            <w:vAlign w:val="top"/>
          </w:tcPr>
          <w:p>
            <w:pPr>
              <w:pStyle w:val="TableText"/>
              <w:ind w:left="274"/>
              <w:spacing w:before="70" w:line="232" w:lineRule="auto"/>
              <w:rPr/>
            </w:pPr>
            <w:r>
              <w:rPr>
                <w:spacing w:val="7"/>
              </w:rPr>
              <w:t>表层土壤监测点</w:t>
            </w:r>
          </w:p>
        </w:tc>
        <w:tc>
          <w:tcPr>
            <w:tcW w:w="1733" w:type="dxa"/>
            <w:vAlign w:val="top"/>
          </w:tcPr>
          <w:p>
            <w:pPr>
              <w:pStyle w:val="TableText"/>
              <w:ind w:left="481"/>
              <w:spacing w:before="68"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CT</w:t>
            </w:r>
            <w:r>
              <w:rPr>
                <w:rFonts w:ascii="Times New Roman" w:hAnsi="Times New Roman" w:eastAsia="Times New Roman" w:cs="Times New Roman"/>
                <w:spacing w:val="6"/>
              </w:rPr>
              <w:t>2</w:t>
            </w:r>
          </w:p>
        </w:tc>
        <w:tc>
          <w:tcPr>
            <w:tcW w:w="1771" w:type="dxa"/>
            <w:vAlign w:val="top"/>
          </w:tcPr>
          <w:p>
            <w:pPr>
              <w:ind w:left="758"/>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c>
          <w:tcPr>
            <w:tcW w:w="2750" w:type="dxa"/>
            <w:vAlign w:val="top"/>
          </w:tcPr>
          <w:p>
            <w:pPr>
              <w:ind w:left="1161"/>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w:t>
            </w:r>
          </w:p>
        </w:tc>
        <w:tc>
          <w:tcPr>
            <w:tcW w:w="1720" w:type="dxa"/>
            <w:vAlign w:val="top"/>
          </w:tcPr>
          <w:p>
            <w:pPr>
              <w:ind w:left="828"/>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rPr>
          <w:trHeight w:val="345" w:hRule="atLeast"/>
        </w:trPr>
        <w:tc>
          <w:tcPr>
            <w:tcW w:w="1992" w:type="dxa"/>
            <w:vAlign w:val="top"/>
          </w:tcPr>
          <w:p>
            <w:pPr>
              <w:pStyle w:val="TableText"/>
              <w:ind w:left="272"/>
              <w:spacing w:before="71" w:line="231" w:lineRule="auto"/>
              <w:rPr/>
            </w:pPr>
            <w:r>
              <w:rPr>
                <w:b/>
                <w:bCs/>
                <w:spacing w:val="5"/>
              </w:rPr>
              <w:t>深层土壤监测点</w:t>
            </w:r>
          </w:p>
        </w:tc>
        <w:tc>
          <w:tcPr>
            <w:tcW w:w="1733" w:type="dxa"/>
            <w:vAlign w:val="top"/>
          </w:tcPr>
          <w:p>
            <w:pPr>
              <w:pStyle w:val="TableText"/>
              <w:ind w:left="476"/>
              <w:spacing w:before="69"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DT</w:t>
            </w:r>
            <w:r>
              <w:rPr>
                <w:rFonts w:ascii="Times New Roman" w:hAnsi="Times New Roman" w:eastAsia="Times New Roman" w:cs="Times New Roman"/>
                <w:spacing w:val="6"/>
              </w:rPr>
              <w:t>1</w:t>
            </w:r>
          </w:p>
        </w:tc>
        <w:tc>
          <w:tcPr>
            <w:tcW w:w="1771" w:type="dxa"/>
            <w:vAlign w:val="top"/>
          </w:tcPr>
          <w:p>
            <w:pPr>
              <w:ind w:left="759"/>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3.5</w:t>
            </w:r>
          </w:p>
        </w:tc>
        <w:tc>
          <w:tcPr>
            <w:tcW w:w="2750" w:type="dxa"/>
            <w:vAlign w:val="top"/>
          </w:tcPr>
          <w:p>
            <w:pPr>
              <w:pStyle w:val="TableText"/>
              <w:ind w:left="760"/>
              <w:spacing w:before="107" w:line="187" w:lineRule="auto"/>
              <w:rPr>
                <w:rFonts w:ascii="Times New Roman" w:hAnsi="Times New Roman" w:eastAsia="Times New Roman" w:cs="Times New Roman"/>
              </w:rPr>
            </w:pPr>
            <w:r>
              <w:rPr>
                <w:rFonts w:ascii="Times New Roman" w:hAnsi="Times New Roman" w:eastAsia="Times New Roman" w:cs="Times New Roman"/>
                <w:spacing w:val="1"/>
              </w:rPr>
              <w:t>0-0.5</w:t>
            </w:r>
            <w:r>
              <w:rPr>
                <w:rFonts w:ascii="Times New Roman" w:hAnsi="Times New Roman" w:eastAsia="Times New Roman" w:cs="Times New Roman"/>
                <w:spacing w:val="-16"/>
              </w:rPr>
              <w:t xml:space="preserve"> </w:t>
            </w:r>
            <w:r>
              <w:rPr>
                <w:spacing w:val="1"/>
              </w:rPr>
              <w:t>；</w:t>
            </w:r>
            <w:r>
              <w:rPr>
                <w:rFonts w:ascii="Times New Roman" w:hAnsi="Times New Roman" w:eastAsia="Times New Roman" w:cs="Times New Roman"/>
                <w:spacing w:val="1"/>
              </w:rPr>
              <w:t>3.0-3.5</w:t>
            </w:r>
          </w:p>
        </w:tc>
        <w:tc>
          <w:tcPr>
            <w:tcW w:w="1720" w:type="dxa"/>
            <w:vAlign w:val="top"/>
          </w:tcPr>
          <w:p>
            <w:pPr>
              <w:ind w:left="808"/>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rPr>
          <w:trHeight w:val="345" w:hRule="atLeast"/>
        </w:trPr>
        <w:tc>
          <w:tcPr>
            <w:tcW w:w="1992" w:type="dxa"/>
            <w:vAlign w:val="top"/>
          </w:tcPr>
          <w:p>
            <w:pPr>
              <w:pStyle w:val="TableText"/>
              <w:ind w:left="274"/>
              <w:spacing w:before="68" w:line="232" w:lineRule="auto"/>
              <w:rPr/>
            </w:pPr>
            <w:r>
              <w:rPr>
                <w:spacing w:val="7"/>
              </w:rPr>
              <w:t>表层土壤监测点</w:t>
            </w:r>
          </w:p>
        </w:tc>
        <w:tc>
          <w:tcPr>
            <w:tcW w:w="1733" w:type="dxa"/>
            <w:vAlign w:val="top"/>
          </w:tcPr>
          <w:p>
            <w:pPr>
              <w:pStyle w:val="TableText"/>
              <w:ind w:left="476"/>
              <w:spacing w:before="69"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DT</w:t>
            </w:r>
            <w:r>
              <w:rPr>
                <w:rFonts w:ascii="Times New Roman" w:hAnsi="Times New Roman" w:eastAsia="Times New Roman" w:cs="Times New Roman"/>
                <w:spacing w:val="6"/>
              </w:rPr>
              <w:t>2</w:t>
            </w:r>
          </w:p>
        </w:tc>
        <w:tc>
          <w:tcPr>
            <w:tcW w:w="1771" w:type="dxa"/>
            <w:vAlign w:val="top"/>
          </w:tcPr>
          <w:p>
            <w:pPr>
              <w:ind w:left="758"/>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c>
          <w:tcPr>
            <w:tcW w:w="2750" w:type="dxa"/>
            <w:vAlign w:val="top"/>
          </w:tcPr>
          <w:p>
            <w:pPr>
              <w:ind w:left="1161"/>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w:t>
            </w:r>
          </w:p>
        </w:tc>
        <w:tc>
          <w:tcPr>
            <w:tcW w:w="1720" w:type="dxa"/>
            <w:vAlign w:val="top"/>
          </w:tcPr>
          <w:p>
            <w:pPr>
              <w:ind w:left="828"/>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rPr>
          <w:trHeight w:val="345" w:hRule="atLeast"/>
        </w:trPr>
        <w:tc>
          <w:tcPr>
            <w:tcW w:w="1992" w:type="dxa"/>
            <w:vAlign w:val="top"/>
          </w:tcPr>
          <w:p>
            <w:pPr>
              <w:pStyle w:val="TableText"/>
              <w:ind w:left="274"/>
              <w:spacing w:before="69" w:line="232" w:lineRule="auto"/>
              <w:rPr/>
            </w:pPr>
            <w:r>
              <w:rPr>
                <w:spacing w:val="7"/>
              </w:rPr>
              <w:t>表层土壤监测点</w:t>
            </w:r>
          </w:p>
        </w:tc>
        <w:tc>
          <w:tcPr>
            <w:tcW w:w="1733" w:type="dxa"/>
            <w:vAlign w:val="top"/>
          </w:tcPr>
          <w:p>
            <w:pPr>
              <w:pStyle w:val="TableText"/>
              <w:ind w:left="488"/>
              <w:spacing w:before="69"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ET</w:t>
            </w:r>
            <w:r>
              <w:rPr>
                <w:rFonts w:ascii="Times New Roman" w:hAnsi="Times New Roman" w:eastAsia="Times New Roman" w:cs="Times New Roman"/>
                <w:spacing w:val="6"/>
              </w:rPr>
              <w:t>1</w:t>
            </w:r>
          </w:p>
        </w:tc>
        <w:tc>
          <w:tcPr>
            <w:tcW w:w="1771" w:type="dxa"/>
            <w:vAlign w:val="top"/>
          </w:tcPr>
          <w:p>
            <w:pPr>
              <w:ind w:left="758"/>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c>
          <w:tcPr>
            <w:tcW w:w="2750" w:type="dxa"/>
            <w:vAlign w:val="top"/>
          </w:tcPr>
          <w:p>
            <w:pPr>
              <w:ind w:left="1161"/>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w:t>
            </w:r>
          </w:p>
        </w:tc>
        <w:tc>
          <w:tcPr>
            <w:tcW w:w="1720" w:type="dxa"/>
            <w:vAlign w:val="top"/>
          </w:tcPr>
          <w:p>
            <w:pPr>
              <w:ind w:left="828"/>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rPr>
          <w:trHeight w:val="345" w:hRule="atLeast"/>
        </w:trPr>
        <w:tc>
          <w:tcPr>
            <w:tcW w:w="1992" w:type="dxa"/>
            <w:vAlign w:val="top"/>
          </w:tcPr>
          <w:p>
            <w:pPr>
              <w:pStyle w:val="TableText"/>
              <w:ind w:left="274"/>
              <w:spacing w:before="69" w:line="232" w:lineRule="auto"/>
              <w:rPr/>
            </w:pPr>
            <w:r>
              <w:rPr>
                <w:spacing w:val="7"/>
              </w:rPr>
              <w:t>表层土壤监测点</w:t>
            </w:r>
          </w:p>
        </w:tc>
        <w:tc>
          <w:tcPr>
            <w:tcW w:w="1733" w:type="dxa"/>
            <w:vAlign w:val="top"/>
          </w:tcPr>
          <w:p>
            <w:pPr>
              <w:pStyle w:val="TableText"/>
              <w:ind w:left="493"/>
              <w:spacing w:before="70"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FT</w:t>
            </w:r>
            <w:r>
              <w:rPr>
                <w:rFonts w:ascii="Times New Roman" w:hAnsi="Times New Roman" w:eastAsia="Times New Roman" w:cs="Times New Roman"/>
                <w:spacing w:val="6"/>
              </w:rPr>
              <w:t>1</w:t>
            </w:r>
          </w:p>
        </w:tc>
        <w:tc>
          <w:tcPr>
            <w:tcW w:w="1771" w:type="dxa"/>
            <w:vAlign w:val="top"/>
          </w:tcPr>
          <w:p>
            <w:pPr>
              <w:ind w:left="758"/>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c>
          <w:tcPr>
            <w:tcW w:w="2750" w:type="dxa"/>
            <w:vAlign w:val="top"/>
          </w:tcPr>
          <w:p>
            <w:pPr>
              <w:ind w:left="1161"/>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w:t>
            </w:r>
          </w:p>
        </w:tc>
        <w:tc>
          <w:tcPr>
            <w:tcW w:w="1720" w:type="dxa"/>
            <w:vAlign w:val="top"/>
          </w:tcPr>
          <w:p>
            <w:pPr>
              <w:ind w:left="828"/>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rPr>
          <w:trHeight w:val="345" w:hRule="atLeast"/>
        </w:trPr>
        <w:tc>
          <w:tcPr>
            <w:tcW w:w="1992" w:type="dxa"/>
            <w:vAlign w:val="top"/>
          </w:tcPr>
          <w:p>
            <w:pPr>
              <w:pStyle w:val="TableText"/>
              <w:ind w:left="274"/>
              <w:spacing w:before="69" w:line="232" w:lineRule="auto"/>
              <w:rPr/>
            </w:pPr>
            <w:r>
              <w:rPr>
                <w:spacing w:val="7"/>
              </w:rPr>
              <w:t>表层土壤监测点</w:t>
            </w:r>
          </w:p>
        </w:tc>
        <w:tc>
          <w:tcPr>
            <w:tcW w:w="1733" w:type="dxa"/>
            <w:vAlign w:val="top"/>
          </w:tcPr>
          <w:p>
            <w:pPr>
              <w:pStyle w:val="TableText"/>
              <w:ind w:left="476"/>
              <w:spacing w:before="70"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GT</w:t>
            </w:r>
            <w:r>
              <w:rPr>
                <w:rFonts w:ascii="Times New Roman" w:hAnsi="Times New Roman" w:eastAsia="Times New Roman" w:cs="Times New Roman"/>
                <w:spacing w:val="6"/>
              </w:rPr>
              <w:t>1</w:t>
            </w:r>
          </w:p>
        </w:tc>
        <w:tc>
          <w:tcPr>
            <w:tcW w:w="1771" w:type="dxa"/>
            <w:vAlign w:val="top"/>
          </w:tcPr>
          <w:p>
            <w:pPr>
              <w:ind w:left="758"/>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c>
          <w:tcPr>
            <w:tcW w:w="2750" w:type="dxa"/>
            <w:vAlign w:val="top"/>
          </w:tcPr>
          <w:p>
            <w:pPr>
              <w:ind w:left="1161"/>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w:t>
            </w:r>
          </w:p>
        </w:tc>
        <w:tc>
          <w:tcPr>
            <w:tcW w:w="1720" w:type="dxa"/>
            <w:vAlign w:val="top"/>
          </w:tcPr>
          <w:p>
            <w:pPr>
              <w:ind w:left="828"/>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rPr>
          <w:trHeight w:val="345" w:hRule="atLeast"/>
        </w:trPr>
        <w:tc>
          <w:tcPr>
            <w:tcW w:w="1992" w:type="dxa"/>
            <w:vAlign w:val="top"/>
          </w:tcPr>
          <w:p>
            <w:pPr>
              <w:pStyle w:val="TableText"/>
              <w:ind w:left="274"/>
              <w:spacing w:before="70" w:line="232" w:lineRule="auto"/>
              <w:rPr/>
            </w:pPr>
            <w:r>
              <w:rPr>
                <w:spacing w:val="7"/>
              </w:rPr>
              <w:t>表层土壤监测点</w:t>
            </w:r>
          </w:p>
        </w:tc>
        <w:tc>
          <w:tcPr>
            <w:tcW w:w="1733" w:type="dxa"/>
            <w:vAlign w:val="top"/>
          </w:tcPr>
          <w:p>
            <w:pPr>
              <w:pStyle w:val="TableText"/>
              <w:ind w:left="476"/>
              <w:spacing w:before="68"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GT</w:t>
            </w:r>
            <w:r>
              <w:rPr>
                <w:rFonts w:ascii="Times New Roman" w:hAnsi="Times New Roman" w:eastAsia="Times New Roman" w:cs="Times New Roman"/>
                <w:spacing w:val="6"/>
              </w:rPr>
              <w:t>2</w:t>
            </w:r>
          </w:p>
        </w:tc>
        <w:tc>
          <w:tcPr>
            <w:tcW w:w="1771" w:type="dxa"/>
            <w:vAlign w:val="top"/>
          </w:tcPr>
          <w:p>
            <w:pPr>
              <w:ind w:left="758"/>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c>
          <w:tcPr>
            <w:tcW w:w="2750" w:type="dxa"/>
            <w:vAlign w:val="top"/>
          </w:tcPr>
          <w:p>
            <w:pPr>
              <w:ind w:left="1161"/>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w:t>
            </w:r>
          </w:p>
        </w:tc>
        <w:tc>
          <w:tcPr>
            <w:tcW w:w="1720" w:type="dxa"/>
            <w:vAlign w:val="top"/>
          </w:tcPr>
          <w:p>
            <w:pPr>
              <w:ind w:left="828"/>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rPr>
          <w:trHeight w:val="345" w:hRule="atLeast"/>
        </w:trPr>
        <w:tc>
          <w:tcPr>
            <w:tcW w:w="1992" w:type="dxa"/>
            <w:vAlign w:val="top"/>
          </w:tcPr>
          <w:p>
            <w:pPr>
              <w:pStyle w:val="TableText"/>
              <w:ind w:left="272"/>
              <w:spacing w:before="71" w:line="231" w:lineRule="auto"/>
              <w:rPr/>
            </w:pPr>
            <w:r>
              <w:rPr>
                <w:b/>
                <w:bCs/>
                <w:spacing w:val="5"/>
              </w:rPr>
              <w:t>深层土壤监测点</w:t>
            </w:r>
          </w:p>
        </w:tc>
        <w:tc>
          <w:tcPr>
            <w:tcW w:w="1733" w:type="dxa"/>
            <w:vAlign w:val="top"/>
          </w:tcPr>
          <w:p>
            <w:pPr>
              <w:pStyle w:val="TableText"/>
              <w:ind w:left="476"/>
              <w:spacing w:before="69"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HT</w:t>
            </w:r>
            <w:r>
              <w:rPr>
                <w:rFonts w:ascii="Times New Roman" w:hAnsi="Times New Roman" w:eastAsia="Times New Roman" w:cs="Times New Roman"/>
                <w:spacing w:val="6"/>
              </w:rPr>
              <w:t>1</w:t>
            </w:r>
          </w:p>
        </w:tc>
        <w:tc>
          <w:tcPr>
            <w:tcW w:w="1771" w:type="dxa"/>
            <w:vAlign w:val="top"/>
          </w:tcPr>
          <w:p>
            <w:pPr>
              <w:ind w:left="759"/>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3.5</w:t>
            </w:r>
          </w:p>
        </w:tc>
        <w:tc>
          <w:tcPr>
            <w:tcW w:w="2750" w:type="dxa"/>
            <w:vAlign w:val="top"/>
          </w:tcPr>
          <w:p>
            <w:pPr>
              <w:pStyle w:val="TableText"/>
              <w:ind w:left="760"/>
              <w:spacing w:before="107" w:line="187" w:lineRule="auto"/>
              <w:rPr>
                <w:rFonts w:ascii="Times New Roman" w:hAnsi="Times New Roman" w:eastAsia="Times New Roman" w:cs="Times New Roman"/>
              </w:rPr>
            </w:pPr>
            <w:r>
              <w:rPr>
                <w:rFonts w:ascii="Times New Roman" w:hAnsi="Times New Roman" w:eastAsia="Times New Roman" w:cs="Times New Roman"/>
                <w:spacing w:val="1"/>
              </w:rPr>
              <w:t>0-0.5</w:t>
            </w:r>
            <w:r>
              <w:rPr>
                <w:rFonts w:ascii="Times New Roman" w:hAnsi="Times New Roman" w:eastAsia="Times New Roman" w:cs="Times New Roman"/>
                <w:spacing w:val="-16"/>
              </w:rPr>
              <w:t xml:space="preserve"> </w:t>
            </w:r>
            <w:r>
              <w:rPr>
                <w:spacing w:val="1"/>
              </w:rPr>
              <w:t>；</w:t>
            </w:r>
            <w:r>
              <w:rPr>
                <w:rFonts w:ascii="Times New Roman" w:hAnsi="Times New Roman" w:eastAsia="Times New Roman" w:cs="Times New Roman"/>
                <w:spacing w:val="1"/>
              </w:rPr>
              <w:t>3.0-3.5</w:t>
            </w:r>
          </w:p>
        </w:tc>
        <w:tc>
          <w:tcPr>
            <w:tcW w:w="1720" w:type="dxa"/>
            <w:vAlign w:val="top"/>
          </w:tcPr>
          <w:p>
            <w:pPr>
              <w:ind w:left="808"/>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rPr>
          <w:trHeight w:val="349" w:hRule="atLeast"/>
        </w:trPr>
        <w:tc>
          <w:tcPr>
            <w:tcW w:w="1992" w:type="dxa"/>
            <w:vAlign w:val="top"/>
          </w:tcPr>
          <w:p>
            <w:pPr>
              <w:pStyle w:val="TableText"/>
              <w:ind w:left="274"/>
              <w:spacing w:before="68" w:line="232" w:lineRule="auto"/>
              <w:rPr/>
            </w:pPr>
            <w:r>
              <w:rPr>
                <w:spacing w:val="7"/>
              </w:rPr>
              <w:t>表层土壤监测点</w:t>
            </w:r>
          </w:p>
        </w:tc>
        <w:tc>
          <w:tcPr>
            <w:tcW w:w="1733" w:type="dxa"/>
            <w:vAlign w:val="top"/>
          </w:tcPr>
          <w:p>
            <w:pPr>
              <w:pStyle w:val="TableText"/>
              <w:ind w:left="476"/>
              <w:spacing w:before="69"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HT</w:t>
            </w:r>
            <w:r>
              <w:rPr>
                <w:rFonts w:ascii="Times New Roman" w:hAnsi="Times New Roman" w:eastAsia="Times New Roman" w:cs="Times New Roman"/>
                <w:spacing w:val="6"/>
              </w:rPr>
              <w:t>2</w:t>
            </w:r>
          </w:p>
        </w:tc>
        <w:tc>
          <w:tcPr>
            <w:tcW w:w="1771" w:type="dxa"/>
            <w:vAlign w:val="top"/>
          </w:tcPr>
          <w:p>
            <w:pPr>
              <w:ind w:left="758"/>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c>
          <w:tcPr>
            <w:tcW w:w="2750" w:type="dxa"/>
            <w:vAlign w:val="top"/>
          </w:tcPr>
          <w:p>
            <w:pPr>
              <w:ind w:left="1161"/>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w:t>
            </w:r>
          </w:p>
        </w:tc>
        <w:tc>
          <w:tcPr>
            <w:tcW w:w="1720" w:type="dxa"/>
            <w:vAlign w:val="top"/>
          </w:tcPr>
          <w:p>
            <w:pPr>
              <w:ind w:left="828"/>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bl>
    <w:p>
      <w:pPr>
        <w:pStyle w:val="BodyText"/>
        <w:ind w:left="120"/>
        <w:spacing w:before="116" w:line="219" w:lineRule="auto"/>
        <w:outlineLvl w:val="2"/>
        <w:rPr>
          <w:rFonts w:ascii="FangSong" w:hAnsi="FangSong" w:eastAsia="FangSong" w:cs="FangSong"/>
          <w:sz w:val="24"/>
          <w:szCs w:val="24"/>
        </w:rPr>
      </w:pPr>
      <w:r>
        <w:rPr>
          <w:sz w:val="24"/>
          <w:szCs w:val="24"/>
          <w:b/>
          <w:bCs/>
          <w:spacing w:val="-2"/>
        </w:rPr>
        <w:t>7.1.2  </w:t>
      </w:r>
      <w:r>
        <w:rPr>
          <w:rFonts w:ascii="FangSong" w:hAnsi="FangSong" w:eastAsia="FangSong" w:cs="FangSong"/>
          <w:sz w:val="24"/>
          <w:szCs w:val="24"/>
          <w:b/>
          <w:bCs/>
          <w:spacing w:val="-2"/>
        </w:rPr>
        <w:t>地下水采样位置、数量和深度</w:t>
      </w:r>
    </w:p>
    <w:p>
      <w:pPr>
        <w:pStyle w:val="BodyText"/>
        <w:ind w:left="136" w:right="112" w:firstLine="473"/>
        <w:spacing w:before="183" w:line="360" w:lineRule="auto"/>
        <w:rPr>
          <w:rFonts w:ascii="FangSong" w:hAnsi="FangSong" w:eastAsia="FangSong" w:cs="FangSong"/>
          <w:sz w:val="24"/>
          <w:szCs w:val="24"/>
        </w:rPr>
      </w:pPr>
      <w:r>
        <w:rPr>
          <w:rFonts w:ascii="FangSong" w:hAnsi="FangSong" w:eastAsia="FangSong" w:cs="FangSong"/>
          <w:sz w:val="24"/>
          <w:szCs w:val="24"/>
        </w:rPr>
        <w:t>根据要求，</w:t>
      </w:r>
      <w:r>
        <w:rPr>
          <w:rFonts w:ascii="FangSong" w:hAnsi="FangSong" w:eastAsia="FangSong" w:cs="FangSong"/>
          <w:sz w:val="24"/>
          <w:szCs w:val="24"/>
          <w:spacing w:val="-59"/>
        </w:rPr>
        <w:t xml:space="preserve"> </w:t>
      </w:r>
      <w:r>
        <w:rPr>
          <w:rFonts w:ascii="FangSong" w:hAnsi="FangSong" w:eastAsia="FangSong" w:cs="FangSong"/>
          <w:sz w:val="24"/>
          <w:szCs w:val="24"/>
        </w:rPr>
        <w:t>自行监测原则上只调查潜水，当潜水层厚度大于</w:t>
      </w:r>
      <w:r>
        <w:rPr>
          <w:sz w:val="24"/>
          <w:szCs w:val="24"/>
        </w:rPr>
        <w:t>3m</w:t>
      </w:r>
      <w:r>
        <w:rPr>
          <w:rFonts w:ascii="FangSong" w:hAnsi="FangSong" w:eastAsia="FangSong" w:cs="FangSong"/>
          <w:sz w:val="24"/>
          <w:szCs w:val="24"/>
        </w:rPr>
        <w:t>时，采样井深度应至少达</w:t>
      </w:r>
      <w:r>
        <w:rPr>
          <w:rFonts w:ascii="FangSong" w:hAnsi="FangSong" w:eastAsia="FangSong" w:cs="FangSong"/>
          <w:sz w:val="24"/>
          <w:szCs w:val="24"/>
        </w:rPr>
        <w:t xml:space="preserve"> </w:t>
      </w:r>
      <w:r>
        <w:rPr>
          <w:rFonts w:ascii="FangSong" w:hAnsi="FangSong" w:eastAsia="FangSong" w:cs="FangSong"/>
          <w:sz w:val="24"/>
          <w:szCs w:val="24"/>
          <w:spacing w:val="-1"/>
        </w:rPr>
        <w:t>到地下水水位以下</w:t>
      </w:r>
      <w:r>
        <w:rPr>
          <w:sz w:val="24"/>
          <w:szCs w:val="24"/>
          <w:spacing w:val="-1"/>
        </w:rPr>
        <w:t>3m</w:t>
      </w:r>
      <w:r>
        <w:rPr>
          <w:sz w:val="24"/>
          <w:szCs w:val="24"/>
          <w:spacing w:val="-27"/>
        </w:rPr>
        <w:t xml:space="preserve"> </w:t>
      </w:r>
      <w:r>
        <w:rPr>
          <w:rFonts w:ascii="FangSong" w:hAnsi="FangSong" w:eastAsia="FangSong" w:cs="FangSong"/>
          <w:sz w:val="24"/>
          <w:szCs w:val="24"/>
          <w:spacing w:val="-1"/>
        </w:rPr>
        <w:t>。若潜水层小于</w:t>
      </w:r>
      <w:r>
        <w:rPr>
          <w:sz w:val="24"/>
          <w:szCs w:val="24"/>
          <w:spacing w:val="-1"/>
        </w:rPr>
        <w:t>3m</w:t>
      </w:r>
      <w:r>
        <w:rPr>
          <w:rFonts w:ascii="FangSong" w:hAnsi="FangSong" w:eastAsia="FangSong" w:cs="FangSong"/>
          <w:sz w:val="24"/>
          <w:szCs w:val="24"/>
          <w:spacing w:val="-2"/>
        </w:rPr>
        <w:t>时，建井深度应达到、但不穿透潜水层底板。</w:t>
      </w:r>
    </w:p>
    <w:p>
      <w:pPr>
        <w:ind w:left="133" w:right="112" w:firstLine="479"/>
        <w:spacing w:line="360" w:lineRule="auto"/>
        <w:rPr>
          <w:rFonts w:ascii="FangSong" w:hAnsi="FangSong" w:eastAsia="FangSong" w:cs="FangSong"/>
          <w:sz w:val="24"/>
          <w:szCs w:val="24"/>
        </w:rPr>
      </w:pPr>
      <w:r>
        <w:rPr>
          <w:rFonts w:ascii="FangSong" w:hAnsi="FangSong" w:eastAsia="FangSong" w:cs="FangSong"/>
          <w:sz w:val="24"/>
          <w:szCs w:val="24"/>
          <w:spacing w:val="-3"/>
        </w:rPr>
        <w:t>结合厂区内重点设施情况，地下水采样点位置井深及样品数量见下表。结合工勘资料和往</w:t>
      </w:r>
      <w:r>
        <w:rPr>
          <w:rFonts w:ascii="FangSong" w:hAnsi="FangSong" w:eastAsia="FangSong" w:cs="FangSong"/>
          <w:sz w:val="24"/>
          <w:szCs w:val="24"/>
          <w:spacing w:val="1"/>
        </w:rPr>
        <w:t xml:space="preserve"> </w:t>
      </w:r>
      <w:r>
        <w:rPr>
          <w:rFonts w:ascii="FangSong" w:hAnsi="FangSong" w:eastAsia="FangSong" w:cs="FangSong"/>
          <w:sz w:val="24"/>
          <w:szCs w:val="24"/>
          <w:spacing w:val="-1"/>
        </w:rPr>
        <w:t>年钻探揭露土层情况，建井深度以实际钻探至基岩为止。</w:t>
      </w:r>
    </w:p>
    <w:p>
      <w:pPr>
        <w:pStyle w:val="BodyText"/>
        <w:ind w:left="3579"/>
        <w:spacing w:line="219" w:lineRule="auto"/>
        <w:rPr>
          <w:rFonts w:ascii="FangSong" w:hAnsi="FangSong" w:eastAsia="FangSong" w:cs="FangSong"/>
          <w:sz w:val="24"/>
          <w:szCs w:val="24"/>
        </w:rPr>
      </w:pPr>
      <w:r>
        <w:rPr>
          <w:rFonts w:ascii="FangSong" w:hAnsi="FangSong" w:eastAsia="FangSong" w:cs="FangSong"/>
          <w:sz w:val="24"/>
          <w:szCs w:val="24"/>
          <w:b/>
          <w:bCs/>
          <w:spacing w:val="-3"/>
        </w:rPr>
        <w:t>表</w:t>
      </w:r>
      <w:r>
        <w:rPr>
          <w:sz w:val="24"/>
          <w:szCs w:val="24"/>
          <w:b/>
          <w:bCs/>
          <w:spacing w:val="-3"/>
        </w:rPr>
        <w:t>7-2  </w:t>
      </w:r>
      <w:r>
        <w:rPr>
          <w:rFonts w:ascii="FangSong" w:hAnsi="FangSong" w:eastAsia="FangSong" w:cs="FangSong"/>
          <w:sz w:val="24"/>
          <w:szCs w:val="24"/>
          <w:b/>
          <w:bCs/>
          <w:spacing w:val="-3"/>
        </w:rPr>
        <w:t>地下水布点采样要求</w:t>
      </w:r>
    </w:p>
    <w:p>
      <w:pPr>
        <w:spacing w:line="68" w:lineRule="exact"/>
        <w:rPr/>
      </w:pPr>
      <w:r/>
    </w:p>
    <w:tbl>
      <w:tblPr>
        <w:tblStyle w:val="TableNormal"/>
        <w:tblW w:w="995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00"/>
        <w:gridCol w:w="1986"/>
        <w:gridCol w:w="1986"/>
        <w:gridCol w:w="1988"/>
        <w:gridCol w:w="1996"/>
      </w:tblGrid>
      <w:tr>
        <w:trPr>
          <w:trHeight w:val="349" w:hRule="atLeast"/>
        </w:trPr>
        <w:tc>
          <w:tcPr>
            <w:tcW w:w="2000" w:type="dxa"/>
            <w:vAlign w:val="top"/>
          </w:tcPr>
          <w:p>
            <w:pPr>
              <w:pStyle w:val="TableText"/>
              <w:ind w:left="803"/>
              <w:spacing w:before="69" w:line="233" w:lineRule="auto"/>
              <w:rPr/>
            </w:pPr>
            <w:r>
              <w:rPr>
                <w:b/>
                <w:bCs/>
                <w:spacing w:val="-1"/>
              </w:rPr>
              <w:t>类型</w:t>
            </w:r>
          </w:p>
        </w:tc>
        <w:tc>
          <w:tcPr>
            <w:tcW w:w="1986" w:type="dxa"/>
            <w:vAlign w:val="top"/>
          </w:tcPr>
          <w:p>
            <w:pPr>
              <w:pStyle w:val="TableText"/>
              <w:ind w:left="592"/>
              <w:spacing w:before="69" w:line="230" w:lineRule="auto"/>
              <w:rPr/>
            </w:pPr>
            <w:r>
              <w:rPr>
                <w:b/>
                <w:bCs/>
                <w:spacing w:val="2"/>
              </w:rPr>
              <w:t>点位编号</w:t>
            </w:r>
          </w:p>
        </w:tc>
        <w:tc>
          <w:tcPr>
            <w:tcW w:w="1986" w:type="dxa"/>
            <w:vAlign w:val="top"/>
          </w:tcPr>
          <w:p>
            <w:pPr>
              <w:pStyle w:val="TableText"/>
              <w:ind w:left="498"/>
              <w:spacing w:before="69" w:line="231" w:lineRule="auto"/>
              <w:rPr/>
            </w:pPr>
            <w:r>
              <w:rPr>
                <w:b/>
                <w:bCs/>
                <w:spacing w:val="2"/>
              </w:rPr>
              <w:t>井深（</w:t>
            </w:r>
            <w:r>
              <w:rPr>
                <w:rFonts w:ascii="Times New Roman" w:hAnsi="Times New Roman" w:eastAsia="Times New Roman" w:cs="Times New Roman"/>
                <w:b/>
                <w:bCs/>
                <w:spacing w:val="2"/>
              </w:rPr>
              <w:t>m</w:t>
            </w:r>
            <w:r>
              <w:rPr>
                <w:b/>
                <w:bCs/>
                <w:spacing w:val="2"/>
              </w:rPr>
              <w:t>）</w:t>
            </w:r>
          </w:p>
        </w:tc>
        <w:tc>
          <w:tcPr>
            <w:tcW w:w="1988" w:type="dxa"/>
            <w:vAlign w:val="top"/>
          </w:tcPr>
          <w:p>
            <w:pPr>
              <w:pStyle w:val="TableText"/>
              <w:ind w:left="270"/>
              <w:spacing w:before="69" w:line="228" w:lineRule="auto"/>
              <w:rPr/>
            </w:pPr>
            <w:r>
              <w:rPr>
                <w:b/>
                <w:bCs/>
                <w:spacing w:val="4"/>
              </w:rPr>
              <w:t>样品数量（个）</w:t>
            </w:r>
          </w:p>
        </w:tc>
        <w:tc>
          <w:tcPr>
            <w:tcW w:w="1996" w:type="dxa"/>
            <w:vAlign w:val="top"/>
          </w:tcPr>
          <w:p>
            <w:pPr>
              <w:pStyle w:val="TableText"/>
              <w:ind w:left="124"/>
              <w:spacing w:before="69" w:line="231" w:lineRule="auto"/>
              <w:rPr/>
            </w:pPr>
            <w:r>
              <w:rPr>
                <w:b/>
                <w:bCs/>
                <w:spacing w:val="5"/>
              </w:rPr>
              <w:t>筛管深度范围（</w:t>
            </w:r>
            <w:r>
              <w:rPr>
                <w:rFonts w:ascii="Times New Roman" w:hAnsi="Times New Roman" w:eastAsia="Times New Roman" w:cs="Times New Roman"/>
                <w:b/>
                <w:bCs/>
                <w:spacing w:val="5"/>
              </w:rPr>
              <w:t>m</w:t>
            </w:r>
            <w:r>
              <w:rPr>
                <w:b/>
                <w:bCs/>
                <w:spacing w:val="5"/>
              </w:rPr>
              <w:t>）</w:t>
            </w:r>
          </w:p>
        </w:tc>
      </w:tr>
      <w:tr>
        <w:trPr>
          <w:trHeight w:val="344" w:hRule="atLeast"/>
        </w:trPr>
        <w:tc>
          <w:tcPr>
            <w:tcW w:w="2000" w:type="dxa"/>
            <w:vAlign w:val="top"/>
          </w:tcPr>
          <w:p>
            <w:pPr>
              <w:pStyle w:val="TableText"/>
              <w:ind w:left="699"/>
              <w:spacing w:before="65" w:line="232" w:lineRule="auto"/>
              <w:rPr/>
            </w:pPr>
            <w:r>
              <w:rPr>
                <w:spacing w:val="4"/>
              </w:rPr>
              <w:t>对照井</w:t>
            </w:r>
          </w:p>
        </w:tc>
        <w:tc>
          <w:tcPr>
            <w:tcW w:w="1986" w:type="dxa"/>
            <w:vAlign w:val="top"/>
          </w:tcPr>
          <w:p>
            <w:pPr>
              <w:ind w:left="741"/>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DZS</w:t>
            </w:r>
            <w:r>
              <w:rPr>
                <w:rFonts w:ascii="Times New Roman" w:hAnsi="Times New Roman" w:eastAsia="Times New Roman" w:cs="Times New Roman"/>
                <w:sz w:val="20"/>
                <w:szCs w:val="20"/>
                <w:spacing w:val="19"/>
              </w:rPr>
              <w:t>1</w:t>
            </w:r>
          </w:p>
        </w:tc>
        <w:tc>
          <w:tcPr>
            <w:tcW w:w="1986" w:type="dxa"/>
            <w:vAlign w:val="top"/>
          </w:tcPr>
          <w:p>
            <w:pPr>
              <w:pStyle w:val="TableText"/>
              <w:ind w:left="384"/>
              <w:spacing w:before="65" w:line="231" w:lineRule="auto"/>
              <w:rPr/>
            </w:pPr>
            <w:r>
              <w:rPr>
                <w:rFonts w:ascii="Times New Roman" w:hAnsi="Times New Roman" w:eastAsia="Times New Roman" w:cs="Times New Roman"/>
                <w:spacing w:val="3"/>
              </w:rPr>
              <w:t>15</w:t>
            </w:r>
            <w:r>
              <w:rPr>
                <w:spacing w:val="3"/>
              </w:rPr>
              <w:t>（现有井）</w:t>
            </w:r>
          </w:p>
        </w:tc>
        <w:tc>
          <w:tcPr>
            <w:tcW w:w="1988" w:type="dxa"/>
            <w:vAlign w:val="top"/>
          </w:tcPr>
          <w:p>
            <w:pPr>
              <w:ind w:left="964"/>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96" w:type="dxa"/>
            <w:vAlign w:val="top"/>
          </w:tcPr>
          <w:p>
            <w:pPr>
              <w:ind w:left="723"/>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1.0-4.0</w:t>
            </w:r>
          </w:p>
        </w:tc>
      </w:tr>
      <w:tr>
        <w:trPr>
          <w:trHeight w:val="344" w:hRule="atLeast"/>
        </w:trPr>
        <w:tc>
          <w:tcPr>
            <w:tcW w:w="2000" w:type="dxa"/>
            <w:vAlign w:val="top"/>
          </w:tcPr>
          <w:p>
            <w:pPr>
              <w:pStyle w:val="TableText"/>
              <w:ind w:left="381"/>
              <w:spacing w:before="66" w:line="231" w:lineRule="auto"/>
              <w:rPr/>
            </w:pPr>
            <w:r>
              <w:rPr>
                <w:spacing w:val="7"/>
              </w:rPr>
              <w:t>地下水监测点</w:t>
            </w:r>
          </w:p>
        </w:tc>
        <w:tc>
          <w:tcPr>
            <w:tcW w:w="1986" w:type="dxa"/>
            <w:vAlign w:val="top"/>
          </w:tcPr>
          <w:p>
            <w:pPr>
              <w:ind w:left="804"/>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AS</w:t>
            </w:r>
            <w:r>
              <w:rPr>
                <w:rFonts w:ascii="Times New Roman" w:hAnsi="Times New Roman" w:eastAsia="Times New Roman" w:cs="Times New Roman"/>
                <w:sz w:val="20"/>
                <w:szCs w:val="20"/>
                <w:spacing w:val="15"/>
              </w:rPr>
              <w:t>1</w:t>
            </w:r>
          </w:p>
        </w:tc>
        <w:tc>
          <w:tcPr>
            <w:tcW w:w="1986" w:type="dxa"/>
            <w:vAlign w:val="top"/>
          </w:tcPr>
          <w:p>
            <w:pPr>
              <w:pStyle w:val="TableText"/>
              <w:ind w:left="364"/>
              <w:spacing w:before="66" w:line="231" w:lineRule="auto"/>
              <w:rPr/>
            </w:pPr>
            <w:r>
              <w:rPr>
                <w:rFonts w:ascii="Times New Roman" w:hAnsi="Times New Roman" w:eastAsia="Times New Roman" w:cs="Times New Roman"/>
                <w:spacing w:val="6"/>
              </w:rPr>
              <w:t>20</w:t>
            </w:r>
            <w:r>
              <w:rPr>
                <w:spacing w:val="6"/>
              </w:rPr>
              <w:t>（现有井）</w:t>
            </w:r>
          </w:p>
        </w:tc>
        <w:tc>
          <w:tcPr>
            <w:tcW w:w="1988" w:type="dxa"/>
            <w:vAlign w:val="top"/>
          </w:tcPr>
          <w:p>
            <w:pPr>
              <w:ind w:left="964"/>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96" w:type="dxa"/>
            <w:vAlign w:val="top"/>
          </w:tcPr>
          <w:p>
            <w:pPr>
              <w:ind w:left="967"/>
              <w:spacing w:before="9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4" w:hRule="atLeast"/>
        </w:trPr>
        <w:tc>
          <w:tcPr>
            <w:tcW w:w="2000" w:type="dxa"/>
            <w:vAlign w:val="top"/>
          </w:tcPr>
          <w:p>
            <w:pPr>
              <w:pStyle w:val="TableText"/>
              <w:ind w:left="381"/>
              <w:spacing w:before="68" w:line="231" w:lineRule="auto"/>
              <w:rPr/>
            </w:pPr>
            <w:r>
              <w:rPr>
                <w:spacing w:val="7"/>
              </w:rPr>
              <w:t>地下水监测点</w:t>
            </w:r>
          </w:p>
        </w:tc>
        <w:tc>
          <w:tcPr>
            <w:tcW w:w="1986" w:type="dxa"/>
            <w:vAlign w:val="top"/>
          </w:tcPr>
          <w:p>
            <w:pPr>
              <w:ind w:left="811"/>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BS</w:t>
            </w:r>
            <w:r>
              <w:rPr>
                <w:rFonts w:ascii="Times New Roman" w:hAnsi="Times New Roman" w:eastAsia="Times New Roman" w:cs="Times New Roman"/>
                <w:sz w:val="20"/>
                <w:szCs w:val="20"/>
                <w:spacing w:val="13"/>
              </w:rPr>
              <w:t>1</w:t>
            </w:r>
          </w:p>
        </w:tc>
        <w:tc>
          <w:tcPr>
            <w:tcW w:w="1986" w:type="dxa"/>
            <w:vAlign w:val="top"/>
          </w:tcPr>
          <w:p>
            <w:pPr>
              <w:pStyle w:val="TableText"/>
              <w:ind w:left="421"/>
              <w:spacing w:before="68" w:line="231" w:lineRule="auto"/>
              <w:rPr/>
            </w:pPr>
            <w:r>
              <w:rPr>
                <w:rFonts w:ascii="Times New Roman" w:hAnsi="Times New Roman" w:eastAsia="Times New Roman" w:cs="Times New Roman"/>
                <w:spacing w:val="5"/>
              </w:rPr>
              <w:t>6</w:t>
            </w:r>
            <w:r>
              <w:rPr>
                <w:spacing w:val="5"/>
              </w:rPr>
              <w:t>（现有井）</w:t>
            </w:r>
          </w:p>
        </w:tc>
        <w:tc>
          <w:tcPr>
            <w:tcW w:w="1988" w:type="dxa"/>
            <w:vAlign w:val="top"/>
          </w:tcPr>
          <w:p>
            <w:pPr>
              <w:ind w:left="964"/>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96" w:type="dxa"/>
            <w:vAlign w:val="top"/>
          </w:tcPr>
          <w:p>
            <w:pPr>
              <w:ind w:left="967"/>
              <w:spacing w:before="10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4" w:hRule="atLeast"/>
        </w:trPr>
        <w:tc>
          <w:tcPr>
            <w:tcW w:w="2000" w:type="dxa"/>
            <w:vAlign w:val="top"/>
          </w:tcPr>
          <w:p>
            <w:pPr>
              <w:pStyle w:val="TableText"/>
              <w:ind w:left="381"/>
              <w:spacing w:before="69" w:line="231" w:lineRule="auto"/>
              <w:rPr/>
            </w:pPr>
            <w:r>
              <w:rPr>
                <w:spacing w:val="7"/>
              </w:rPr>
              <w:t>地下水监测点</w:t>
            </w:r>
          </w:p>
        </w:tc>
        <w:tc>
          <w:tcPr>
            <w:tcW w:w="1986" w:type="dxa"/>
            <w:vAlign w:val="top"/>
          </w:tcPr>
          <w:p>
            <w:pPr>
              <w:ind w:left="815"/>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CS</w:t>
            </w:r>
            <w:r>
              <w:rPr>
                <w:rFonts w:ascii="Times New Roman" w:hAnsi="Times New Roman" w:eastAsia="Times New Roman" w:cs="Times New Roman"/>
                <w:sz w:val="20"/>
                <w:szCs w:val="20"/>
                <w:spacing w:val="9"/>
              </w:rPr>
              <w:t>1</w:t>
            </w:r>
          </w:p>
        </w:tc>
        <w:tc>
          <w:tcPr>
            <w:tcW w:w="1986" w:type="dxa"/>
            <w:vAlign w:val="top"/>
          </w:tcPr>
          <w:p>
            <w:pPr>
              <w:pStyle w:val="TableText"/>
              <w:ind w:left="421"/>
              <w:spacing w:before="69" w:line="231" w:lineRule="auto"/>
              <w:rPr/>
            </w:pPr>
            <w:r>
              <w:rPr>
                <w:rFonts w:ascii="Times New Roman" w:hAnsi="Times New Roman" w:eastAsia="Times New Roman" w:cs="Times New Roman"/>
                <w:spacing w:val="5"/>
              </w:rPr>
              <w:t>6</w:t>
            </w:r>
            <w:r>
              <w:rPr>
                <w:spacing w:val="5"/>
              </w:rPr>
              <w:t>（现有井）</w:t>
            </w:r>
          </w:p>
        </w:tc>
        <w:tc>
          <w:tcPr>
            <w:tcW w:w="1988" w:type="dxa"/>
            <w:vAlign w:val="top"/>
          </w:tcPr>
          <w:p>
            <w:pPr>
              <w:ind w:left="964"/>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96" w:type="dxa"/>
            <w:vAlign w:val="top"/>
          </w:tcPr>
          <w:p>
            <w:pPr>
              <w:ind w:left="967"/>
              <w:spacing w:before="1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7" w:hRule="atLeast"/>
        </w:trPr>
        <w:tc>
          <w:tcPr>
            <w:tcW w:w="2000" w:type="dxa"/>
            <w:vAlign w:val="top"/>
          </w:tcPr>
          <w:p>
            <w:pPr>
              <w:pStyle w:val="TableText"/>
              <w:ind w:left="381"/>
              <w:spacing w:before="71" w:line="231" w:lineRule="auto"/>
              <w:rPr/>
            </w:pPr>
            <w:r>
              <w:rPr>
                <w:spacing w:val="7"/>
              </w:rPr>
              <w:t>地下水监测点</w:t>
            </w:r>
          </w:p>
        </w:tc>
        <w:tc>
          <w:tcPr>
            <w:tcW w:w="1986" w:type="dxa"/>
            <w:vAlign w:val="top"/>
          </w:tcPr>
          <w:p>
            <w:pPr>
              <w:ind w:left="806"/>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DS</w:t>
            </w:r>
            <w:r>
              <w:rPr>
                <w:rFonts w:ascii="Times New Roman" w:hAnsi="Times New Roman" w:eastAsia="Times New Roman" w:cs="Times New Roman"/>
                <w:sz w:val="20"/>
                <w:szCs w:val="20"/>
                <w:spacing w:val="11"/>
              </w:rPr>
              <w:t>1</w:t>
            </w:r>
          </w:p>
        </w:tc>
        <w:tc>
          <w:tcPr>
            <w:tcW w:w="1986" w:type="dxa"/>
            <w:vAlign w:val="top"/>
          </w:tcPr>
          <w:p>
            <w:pPr>
              <w:ind w:left="947"/>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988" w:type="dxa"/>
            <w:vAlign w:val="top"/>
          </w:tcPr>
          <w:p>
            <w:pPr>
              <w:ind w:left="964"/>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96" w:type="dxa"/>
            <w:vAlign w:val="top"/>
          </w:tcPr>
          <w:p>
            <w:pPr>
              <w:ind w:left="723"/>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1.0-4.0</w:t>
            </w:r>
          </w:p>
        </w:tc>
      </w:tr>
    </w:tbl>
    <w:p>
      <w:pPr>
        <w:rPr>
          <w:rFonts w:ascii="Arial"/>
          <w:sz w:val="21"/>
        </w:rPr>
      </w:pPr>
      <w:r/>
    </w:p>
    <w:p>
      <w:pPr>
        <w:sectPr>
          <w:footerReference w:type="default" r:id="rId113"/>
          <w:pgSz w:w="11906" w:h="16839"/>
          <w:pgMar w:top="1139" w:right="967" w:bottom="1252" w:left="967" w:header="831" w:footer="1090" w:gutter="0"/>
        </w:sectPr>
        <w:rPr>
          <w:rFonts w:ascii="Arial" w:hAnsi="Arial" w:eastAsia="Arial" w:cs="Arial"/>
          <w:sz w:val="21"/>
          <w:szCs w:val="21"/>
        </w:rPr>
      </w:pPr>
    </w:p>
    <w:p>
      <w:pPr>
        <w:spacing w:before="58"/>
        <w:rPr/>
      </w:pPr>
      <w:r/>
    </w:p>
    <w:tbl>
      <w:tblPr>
        <w:tblStyle w:val="TableNormal"/>
        <w:tblW w:w="99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00"/>
        <w:gridCol w:w="1986"/>
        <w:gridCol w:w="1986"/>
        <w:gridCol w:w="1988"/>
        <w:gridCol w:w="1996"/>
      </w:tblGrid>
      <w:tr>
        <w:trPr>
          <w:trHeight w:val="348" w:hRule="atLeast"/>
        </w:trPr>
        <w:tc>
          <w:tcPr>
            <w:tcW w:w="2000" w:type="dxa"/>
            <w:vAlign w:val="top"/>
          </w:tcPr>
          <w:p>
            <w:pPr>
              <w:pStyle w:val="TableText"/>
              <w:ind w:left="803"/>
              <w:spacing w:before="70" w:line="233" w:lineRule="auto"/>
              <w:rPr/>
            </w:pPr>
            <w:r>
              <w:rPr>
                <w:b/>
                <w:bCs/>
                <w:spacing w:val="-1"/>
              </w:rPr>
              <w:t>类型</w:t>
            </w:r>
          </w:p>
        </w:tc>
        <w:tc>
          <w:tcPr>
            <w:tcW w:w="1986" w:type="dxa"/>
            <w:vAlign w:val="top"/>
          </w:tcPr>
          <w:p>
            <w:pPr>
              <w:pStyle w:val="TableText"/>
              <w:ind w:left="592"/>
              <w:spacing w:before="70" w:line="230" w:lineRule="auto"/>
              <w:rPr/>
            </w:pPr>
            <w:r>
              <w:rPr>
                <w:b/>
                <w:bCs/>
                <w:spacing w:val="2"/>
              </w:rPr>
              <w:t>点位编号</w:t>
            </w:r>
          </w:p>
        </w:tc>
        <w:tc>
          <w:tcPr>
            <w:tcW w:w="1986" w:type="dxa"/>
            <w:vAlign w:val="top"/>
          </w:tcPr>
          <w:p>
            <w:pPr>
              <w:pStyle w:val="TableText"/>
              <w:ind w:left="498"/>
              <w:spacing w:before="70" w:line="231" w:lineRule="auto"/>
              <w:rPr/>
            </w:pPr>
            <w:r>
              <w:rPr>
                <w:b/>
                <w:bCs/>
                <w:spacing w:val="2"/>
              </w:rPr>
              <w:t>井深（</w:t>
            </w:r>
            <w:r>
              <w:rPr>
                <w:rFonts w:ascii="Times New Roman" w:hAnsi="Times New Roman" w:eastAsia="Times New Roman" w:cs="Times New Roman"/>
                <w:b/>
                <w:bCs/>
                <w:spacing w:val="2"/>
              </w:rPr>
              <w:t>m</w:t>
            </w:r>
            <w:r>
              <w:rPr>
                <w:b/>
                <w:bCs/>
                <w:spacing w:val="2"/>
              </w:rPr>
              <w:t>）</w:t>
            </w:r>
          </w:p>
        </w:tc>
        <w:tc>
          <w:tcPr>
            <w:tcW w:w="1988" w:type="dxa"/>
            <w:vAlign w:val="top"/>
          </w:tcPr>
          <w:p>
            <w:pPr>
              <w:pStyle w:val="TableText"/>
              <w:ind w:left="270"/>
              <w:spacing w:before="70" w:line="228" w:lineRule="auto"/>
              <w:rPr/>
            </w:pPr>
            <w:r>
              <w:rPr>
                <w:b/>
                <w:bCs/>
                <w:spacing w:val="4"/>
              </w:rPr>
              <w:t>样品数量（个）</w:t>
            </w:r>
          </w:p>
        </w:tc>
        <w:tc>
          <w:tcPr>
            <w:tcW w:w="1996" w:type="dxa"/>
            <w:vAlign w:val="top"/>
          </w:tcPr>
          <w:p>
            <w:pPr>
              <w:pStyle w:val="TableText"/>
              <w:ind w:left="124"/>
              <w:spacing w:before="70" w:line="231" w:lineRule="auto"/>
              <w:rPr/>
            </w:pPr>
            <w:r>
              <w:rPr>
                <w:b/>
                <w:bCs/>
                <w:spacing w:val="5"/>
              </w:rPr>
              <w:t>筛管深度范围（</w:t>
            </w:r>
            <w:r>
              <w:rPr>
                <w:rFonts w:ascii="Times New Roman" w:hAnsi="Times New Roman" w:eastAsia="Times New Roman" w:cs="Times New Roman"/>
                <w:b/>
                <w:bCs/>
                <w:spacing w:val="5"/>
              </w:rPr>
              <w:t>m</w:t>
            </w:r>
            <w:r>
              <w:rPr>
                <w:b/>
                <w:bCs/>
                <w:spacing w:val="5"/>
              </w:rPr>
              <w:t>）</w:t>
            </w:r>
          </w:p>
        </w:tc>
      </w:tr>
      <w:tr>
        <w:trPr>
          <w:trHeight w:val="344" w:hRule="atLeast"/>
        </w:trPr>
        <w:tc>
          <w:tcPr>
            <w:tcW w:w="2000" w:type="dxa"/>
            <w:vAlign w:val="top"/>
          </w:tcPr>
          <w:p>
            <w:pPr>
              <w:pStyle w:val="TableText"/>
              <w:ind w:left="381"/>
              <w:spacing w:before="68" w:line="231" w:lineRule="auto"/>
              <w:rPr/>
            </w:pPr>
            <w:r>
              <w:rPr>
                <w:spacing w:val="7"/>
              </w:rPr>
              <w:t>地下水监测点</w:t>
            </w:r>
          </w:p>
        </w:tc>
        <w:tc>
          <w:tcPr>
            <w:tcW w:w="1986" w:type="dxa"/>
            <w:vAlign w:val="top"/>
          </w:tcPr>
          <w:p>
            <w:pPr>
              <w:ind w:left="819"/>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ES</w:t>
            </w:r>
            <w:r>
              <w:rPr>
                <w:rFonts w:ascii="Times New Roman" w:hAnsi="Times New Roman" w:eastAsia="Times New Roman" w:cs="Times New Roman"/>
                <w:sz w:val="20"/>
                <w:szCs w:val="20"/>
                <w:spacing w:val="11"/>
              </w:rPr>
              <w:t>1</w:t>
            </w:r>
          </w:p>
        </w:tc>
        <w:tc>
          <w:tcPr>
            <w:tcW w:w="1986" w:type="dxa"/>
            <w:vAlign w:val="top"/>
          </w:tcPr>
          <w:p>
            <w:pPr>
              <w:pStyle w:val="TableText"/>
              <w:ind w:left="364"/>
              <w:spacing w:before="68" w:line="231" w:lineRule="auto"/>
              <w:rPr/>
            </w:pPr>
            <w:r>
              <w:rPr>
                <w:rFonts w:ascii="Times New Roman" w:hAnsi="Times New Roman" w:eastAsia="Times New Roman" w:cs="Times New Roman"/>
                <w:spacing w:val="6"/>
              </w:rPr>
              <w:t>20</w:t>
            </w:r>
            <w:r>
              <w:rPr>
                <w:spacing w:val="6"/>
              </w:rPr>
              <w:t>（现有井）</w:t>
            </w:r>
          </w:p>
        </w:tc>
        <w:tc>
          <w:tcPr>
            <w:tcW w:w="1988" w:type="dxa"/>
            <w:vAlign w:val="top"/>
          </w:tcPr>
          <w:p>
            <w:pPr>
              <w:ind w:left="964"/>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96" w:type="dxa"/>
            <w:vAlign w:val="top"/>
          </w:tcPr>
          <w:p>
            <w:pPr>
              <w:ind w:left="723"/>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1.0-4.0</w:t>
            </w:r>
          </w:p>
        </w:tc>
      </w:tr>
      <w:tr>
        <w:trPr>
          <w:trHeight w:val="344" w:hRule="atLeast"/>
        </w:trPr>
        <w:tc>
          <w:tcPr>
            <w:tcW w:w="2000" w:type="dxa"/>
            <w:vAlign w:val="top"/>
          </w:tcPr>
          <w:p>
            <w:pPr>
              <w:pStyle w:val="TableText"/>
              <w:ind w:left="381"/>
              <w:spacing w:before="67" w:line="231" w:lineRule="auto"/>
              <w:rPr/>
            </w:pPr>
            <w:r>
              <w:rPr>
                <w:spacing w:val="7"/>
              </w:rPr>
              <w:t>地下水监测点</w:t>
            </w:r>
          </w:p>
        </w:tc>
        <w:tc>
          <w:tcPr>
            <w:tcW w:w="1986" w:type="dxa"/>
            <w:vAlign w:val="top"/>
          </w:tcPr>
          <w:p>
            <w:pPr>
              <w:ind w:left="822"/>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FS</w:t>
            </w:r>
            <w:r>
              <w:rPr>
                <w:rFonts w:ascii="Times New Roman" w:hAnsi="Times New Roman" w:eastAsia="Times New Roman" w:cs="Times New Roman"/>
                <w:sz w:val="20"/>
                <w:szCs w:val="20"/>
                <w:spacing w:val="13"/>
              </w:rPr>
              <w:t>1</w:t>
            </w:r>
          </w:p>
        </w:tc>
        <w:tc>
          <w:tcPr>
            <w:tcW w:w="1986" w:type="dxa"/>
            <w:vAlign w:val="top"/>
          </w:tcPr>
          <w:p>
            <w:pPr>
              <w:pStyle w:val="TableText"/>
              <w:ind w:left="421"/>
              <w:spacing w:before="67" w:line="231" w:lineRule="auto"/>
              <w:rPr/>
            </w:pPr>
            <w:r>
              <w:rPr>
                <w:rFonts w:ascii="Times New Roman" w:hAnsi="Times New Roman" w:eastAsia="Times New Roman" w:cs="Times New Roman"/>
                <w:spacing w:val="5"/>
              </w:rPr>
              <w:t>6</w:t>
            </w:r>
            <w:r>
              <w:rPr>
                <w:spacing w:val="5"/>
              </w:rPr>
              <w:t>（现有井）</w:t>
            </w:r>
          </w:p>
        </w:tc>
        <w:tc>
          <w:tcPr>
            <w:tcW w:w="1988" w:type="dxa"/>
            <w:vAlign w:val="top"/>
          </w:tcPr>
          <w:p>
            <w:pPr>
              <w:ind w:left="964"/>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96" w:type="dxa"/>
            <w:vAlign w:val="top"/>
          </w:tcPr>
          <w:p>
            <w:pPr>
              <w:ind w:left="967"/>
              <w:spacing w:before="9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4" w:hRule="atLeast"/>
        </w:trPr>
        <w:tc>
          <w:tcPr>
            <w:tcW w:w="2000" w:type="dxa"/>
            <w:vAlign w:val="top"/>
          </w:tcPr>
          <w:p>
            <w:pPr>
              <w:pStyle w:val="TableText"/>
              <w:ind w:left="381"/>
              <w:spacing w:before="68" w:line="231" w:lineRule="auto"/>
              <w:rPr/>
            </w:pPr>
            <w:r>
              <w:rPr>
                <w:spacing w:val="7"/>
              </w:rPr>
              <w:t>地下水监测点</w:t>
            </w:r>
          </w:p>
        </w:tc>
        <w:tc>
          <w:tcPr>
            <w:tcW w:w="1986" w:type="dxa"/>
            <w:vAlign w:val="top"/>
          </w:tcPr>
          <w:p>
            <w:pPr>
              <w:ind w:left="810"/>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GS</w:t>
            </w:r>
            <w:r>
              <w:rPr>
                <w:rFonts w:ascii="Times New Roman" w:hAnsi="Times New Roman" w:eastAsia="Times New Roman" w:cs="Times New Roman"/>
                <w:sz w:val="20"/>
                <w:szCs w:val="20"/>
                <w:spacing w:val="10"/>
              </w:rPr>
              <w:t>1</w:t>
            </w:r>
          </w:p>
        </w:tc>
        <w:tc>
          <w:tcPr>
            <w:tcW w:w="1986" w:type="dxa"/>
            <w:vAlign w:val="top"/>
          </w:tcPr>
          <w:p>
            <w:pPr>
              <w:ind w:left="947"/>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988" w:type="dxa"/>
            <w:vAlign w:val="top"/>
          </w:tcPr>
          <w:p>
            <w:pPr>
              <w:ind w:left="964"/>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96" w:type="dxa"/>
            <w:vAlign w:val="top"/>
          </w:tcPr>
          <w:p>
            <w:pPr>
              <w:ind w:left="723"/>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1.0-4.0</w:t>
            </w:r>
          </w:p>
        </w:tc>
      </w:tr>
      <w:tr>
        <w:trPr>
          <w:trHeight w:val="349" w:hRule="atLeast"/>
        </w:trPr>
        <w:tc>
          <w:tcPr>
            <w:tcW w:w="2000" w:type="dxa"/>
            <w:vAlign w:val="top"/>
          </w:tcPr>
          <w:p>
            <w:pPr>
              <w:pStyle w:val="TableText"/>
              <w:ind w:left="381"/>
              <w:spacing w:before="69" w:line="231" w:lineRule="auto"/>
              <w:rPr/>
            </w:pPr>
            <w:r>
              <w:rPr>
                <w:spacing w:val="7"/>
              </w:rPr>
              <w:t>地下水监测点</w:t>
            </w:r>
          </w:p>
        </w:tc>
        <w:tc>
          <w:tcPr>
            <w:tcW w:w="1986" w:type="dxa"/>
            <w:vAlign w:val="top"/>
          </w:tcPr>
          <w:p>
            <w:pPr>
              <w:ind w:left="806"/>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HS</w:t>
            </w:r>
            <w:r>
              <w:rPr>
                <w:rFonts w:ascii="Times New Roman" w:hAnsi="Times New Roman" w:eastAsia="Times New Roman" w:cs="Times New Roman"/>
                <w:sz w:val="20"/>
                <w:szCs w:val="20"/>
                <w:spacing w:val="14"/>
              </w:rPr>
              <w:t>1</w:t>
            </w:r>
          </w:p>
        </w:tc>
        <w:tc>
          <w:tcPr>
            <w:tcW w:w="1986" w:type="dxa"/>
            <w:vAlign w:val="top"/>
          </w:tcPr>
          <w:p>
            <w:pPr>
              <w:pStyle w:val="TableText"/>
              <w:ind w:left="421"/>
              <w:spacing w:before="69" w:line="231" w:lineRule="auto"/>
              <w:rPr/>
            </w:pPr>
            <w:r>
              <w:rPr>
                <w:rFonts w:ascii="Times New Roman" w:hAnsi="Times New Roman" w:eastAsia="Times New Roman" w:cs="Times New Roman"/>
                <w:spacing w:val="5"/>
              </w:rPr>
              <w:t>6</w:t>
            </w:r>
            <w:r>
              <w:rPr>
                <w:spacing w:val="5"/>
              </w:rPr>
              <w:t>（现有井）</w:t>
            </w:r>
          </w:p>
        </w:tc>
        <w:tc>
          <w:tcPr>
            <w:tcW w:w="1988" w:type="dxa"/>
            <w:vAlign w:val="top"/>
          </w:tcPr>
          <w:p>
            <w:pPr>
              <w:ind w:left="964"/>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96" w:type="dxa"/>
            <w:vAlign w:val="top"/>
          </w:tcPr>
          <w:p>
            <w:pPr>
              <w:ind w:left="72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1.0-4.0</w:t>
            </w:r>
          </w:p>
        </w:tc>
      </w:tr>
    </w:tbl>
    <w:p>
      <w:pPr>
        <w:pStyle w:val="BodyText"/>
        <w:ind w:left="117"/>
        <w:spacing w:before="172" w:line="220" w:lineRule="auto"/>
        <w:outlineLvl w:val="1"/>
        <w:rPr>
          <w:rFonts w:ascii="FangSong" w:hAnsi="FangSong" w:eastAsia="FangSong" w:cs="FangSong"/>
          <w:sz w:val="28"/>
          <w:szCs w:val="28"/>
        </w:rPr>
      </w:pPr>
      <w:bookmarkStart w:name="bookmark27" w:id="32"/>
      <w:bookmarkEnd w:id="32"/>
      <w:r>
        <w:rPr>
          <w:sz w:val="28"/>
          <w:szCs w:val="28"/>
          <w:b/>
          <w:bCs/>
          <w:spacing w:val="-2"/>
        </w:rPr>
        <w:t>7.2  </w:t>
      </w:r>
      <w:r>
        <w:rPr>
          <w:rFonts w:ascii="FangSong" w:hAnsi="FangSong" w:eastAsia="FangSong" w:cs="FangSong"/>
          <w:sz w:val="28"/>
          <w:szCs w:val="28"/>
          <w:b/>
          <w:bCs/>
          <w:spacing w:val="-2"/>
        </w:rPr>
        <w:t>采样方法及程序</w:t>
      </w:r>
    </w:p>
    <w:p>
      <w:pPr>
        <w:pStyle w:val="BodyText"/>
        <w:ind w:left="115"/>
        <w:spacing w:before="234" w:line="219" w:lineRule="auto"/>
        <w:outlineLvl w:val="2"/>
        <w:rPr>
          <w:rFonts w:ascii="FangSong" w:hAnsi="FangSong" w:eastAsia="FangSong" w:cs="FangSong"/>
          <w:sz w:val="24"/>
          <w:szCs w:val="24"/>
        </w:rPr>
      </w:pPr>
      <w:r>
        <w:rPr>
          <w:sz w:val="24"/>
          <w:szCs w:val="24"/>
          <w:b/>
          <w:bCs/>
          <w:spacing w:val="-4"/>
        </w:rPr>
        <w:t>7.2.1</w:t>
      </w:r>
      <w:r>
        <w:rPr>
          <w:sz w:val="24"/>
          <w:szCs w:val="24"/>
          <w:b/>
          <w:bCs/>
          <w:spacing w:val="9"/>
        </w:rPr>
        <w:t xml:space="preserve">  </w:t>
      </w:r>
      <w:r>
        <w:rPr>
          <w:rFonts w:ascii="FangSong" w:hAnsi="FangSong" w:eastAsia="FangSong" w:cs="FangSong"/>
          <w:sz w:val="24"/>
          <w:szCs w:val="24"/>
          <w:b/>
          <w:bCs/>
          <w:spacing w:val="-4"/>
        </w:rPr>
        <w:t>采样准备</w:t>
      </w:r>
    </w:p>
    <w:p>
      <w:pPr>
        <w:ind w:left="605"/>
        <w:spacing w:before="183" w:line="219" w:lineRule="auto"/>
        <w:rPr>
          <w:rFonts w:ascii="FangSong" w:hAnsi="FangSong" w:eastAsia="FangSong" w:cs="FangSong"/>
          <w:sz w:val="24"/>
          <w:szCs w:val="24"/>
        </w:rPr>
      </w:pPr>
      <w:r>
        <w:rPr>
          <w:rFonts w:ascii="FangSong" w:hAnsi="FangSong" w:eastAsia="FangSong" w:cs="FangSong"/>
          <w:sz w:val="24"/>
          <w:szCs w:val="24"/>
          <w:spacing w:val="-1"/>
        </w:rPr>
        <w:t>在开展土壤和地下水样品采集项目前需进行采样准备，具体内容包括：</w:t>
      </w:r>
    </w:p>
    <w:p>
      <w:pPr>
        <w:pStyle w:val="BodyText"/>
        <w:ind w:left="123" w:right="107" w:firstLine="485"/>
        <w:spacing w:before="183" w:line="291" w:lineRule="auto"/>
        <w:rPr>
          <w:rFonts w:ascii="FangSong" w:hAnsi="FangSong" w:eastAsia="FangSong" w:cs="FangSong"/>
          <w:sz w:val="24"/>
          <w:szCs w:val="24"/>
        </w:rPr>
      </w:pPr>
      <w:r>
        <w:rPr>
          <w:rFonts w:ascii="FangSong" w:hAnsi="FangSong" w:eastAsia="FangSong" w:cs="FangSong"/>
          <w:sz w:val="24"/>
          <w:szCs w:val="24"/>
        </w:rPr>
        <w:t>（</w:t>
      </w:r>
      <w:r>
        <w:rPr>
          <w:sz w:val="24"/>
          <w:szCs w:val="24"/>
        </w:rPr>
        <w:t>1</w:t>
      </w:r>
      <w:r>
        <w:rPr>
          <w:rFonts w:ascii="FangSong" w:hAnsi="FangSong" w:eastAsia="FangSong" w:cs="FangSong"/>
          <w:sz w:val="24"/>
          <w:szCs w:val="24"/>
        </w:rPr>
        <w:t>）召开工作组调查启动会，按照制定好的布点采样方案，明确工作组内人员任务分工</w:t>
      </w:r>
      <w:r>
        <w:rPr>
          <w:rFonts w:ascii="FangSong" w:hAnsi="FangSong" w:eastAsia="FangSong" w:cs="FangSong"/>
          <w:sz w:val="24"/>
          <w:szCs w:val="24"/>
          <w:spacing w:val="4"/>
        </w:rPr>
        <w:t xml:space="preserve"> </w:t>
      </w:r>
      <w:r>
        <w:rPr>
          <w:rFonts w:ascii="FangSong" w:hAnsi="FangSong" w:eastAsia="FangSong" w:cs="FangSong"/>
          <w:sz w:val="24"/>
          <w:szCs w:val="24"/>
          <w:spacing w:val="-2"/>
        </w:rPr>
        <w:t>和质量考核要求。</w:t>
      </w:r>
    </w:p>
    <w:p>
      <w:pPr>
        <w:pStyle w:val="BodyText"/>
        <w:ind w:left="608"/>
        <w:spacing w:before="179" w:line="219" w:lineRule="auto"/>
        <w:rPr>
          <w:rFonts w:ascii="FangSong" w:hAnsi="FangSong" w:eastAsia="FangSong" w:cs="FangSong"/>
          <w:sz w:val="24"/>
          <w:szCs w:val="24"/>
        </w:rPr>
      </w:pPr>
      <w:r>
        <w:rPr>
          <w:rFonts w:ascii="FangSong" w:hAnsi="FangSong" w:eastAsia="FangSong" w:cs="FangSong"/>
          <w:sz w:val="24"/>
          <w:szCs w:val="24"/>
          <w:spacing w:val="-1"/>
        </w:rPr>
        <w:t>（</w:t>
      </w:r>
      <w:r>
        <w:rPr>
          <w:sz w:val="24"/>
          <w:szCs w:val="24"/>
          <w:spacing w:val="-1"/>
        </w:rPr>
        <w:t>2</w:t>
      </w:r>
      <w:r>
        <w:rPr>
          <w:rFonts w:ascii="FangSong" w:hAnsi="FangSong" w:eastAsia="FangSong" w:cs="FangSong"/>
          <w:sz w:val="24"/>
          <w:szCs w:val="24"/>
          <w:spacing w:val="-1"/>
        </w:rPr>
        <w:t>）制定并确认采样计划，提出现场钻探采样协助配合的具体要求。</w:t>
      </w:r>
    </w:p>
    <w:p>
      <w:pPr>
        <w:pStyle w:val="BodyText"/>
        <w:ind w:left="148" w:right="30" w:firstLine="460"/>
        <w:spacing w:before="181" w:line="292" w:lineRule="auto"/>
        <w:rPr>
          <w:rFonts w:ascii="FangSong" w:hAnsi="FangSong" w:eastAsia="FangSong" w:cs="FangSong"/>
          <w:sz w:val="24"/>
          <w:szCs w:val="24"/>
        </w:rPr>
      </w:pPr>
      <w:r>
        <w:rPr>
          <w:rFonts w:ascii="FangSong" w:hAnsi="FangSong" w:eastAsia="FangSong" w:cs="FangSong"/>
          <w:sz w:val="24"/>
          <w:szCs w:val="24"/>
          <w:spacing w:val="-4"/>
        </w:rPr>
        <w:t>（</w:t>
      </w:r>
      <w:r>
        <w:rPr>
          <w:sz w:val="24"/>
          <w:szCs w:val="24"/>
          <w:spacing w:val="-4"/>
        </w:rPr>
        <w:t>3</w:t>
      </w:r>
      <w:r>
        <w:rPr>
          <w:rFonts w:ascii="FangSong" w:hAnsi="FangSong" w:eastAsia="FangSong" w:cs="FangSong"/>
          <w:sz w:val="24"/>
          <w:szCs w:val="24"/>
          <w:spacing w:val="-4"/>
        </w:rPr>
        <w:t>）组织进场前安全培训，包括钻探和采样设备的使用安全、现场采样的健康安全防护、</w:t>
      </w:r>
      <w:r>
        <w:rPr>
          <w:rFonts w:ascii="FangSong" w:hAnsi="FangSong" w:eastAsia="FangSong" w:cs="FangSong"/>
          <w:sz w:val="24"/>
          <w:szCs w:val="24"/>
          <w:spacing w:val="1"/>
        </w:rPr>
        <w:t xml:space="preserve"> </w:t>
      </w:r>
      <w:r>
        <w:rPr>
          <w:rFonts w:ascii="FangSong" w:hAnsi="FangSong" w:eastAsia="FangSong" w:cs="FangSong"/>
          <w:sz w:val="24"/>
          <w:szCs w:val="24"/>
          <w:spacing w:val="-5"/>
        </w:rPr>
        <w:t>以及事故应急演练等。</w:t>
      </w:r>
    </w:p>
    <w:p>
      <w:pPr>
        <w:pStyle w:val="BodyText"/>
        <w:ind w:left="122" w:right="107" w:firstLine="485"/>
        <w:spacing w:before="178" w:line="291" w:lineRule="auto"/>
        <w:rPr>
          <w:rFonts w:ascii="FangSong" w:hAnsi="FangSong" w:eastAsia="FangSong" w:cs="FangSong"/>
          <w:sz w:val="24"/>
          <w:szCs w:val="24"/>
        </w:rPr>
      </w:pPr>
      <w:r>
        <w:rPr>
          <w:rFonts w:ascii="FangSong" w:hAnsi="FangSong" w:eastAsia="FangSong" w:cs="FangSong"/>
          <w:sz w:val="24"/>
          <w:szCs w:val="24"/>
        </w:rPr>
        <w:t>（</w:t>
      </w:r>
      <w:r>
        <w:rPr>
          <w:sz w:val="24"/>
          <w:szCs w:val="24"/>
        </w:rPr>
        <w:t>4</w:t>
      </w:r>
      <w:r>
        <w:rPr>
          <w:rFonts w:ascii="FangSong" w:hAnsi="FangSong" w:eastAsia="FangSong" w:cs="FangSong"/>
          <w:sz w:val="24"/>
          <w:szCs w:val="24"/>
        </w:rPr>
        <w:t>）按照布点检测方案，开展现场踏勘，根据企业生产设施分布实际情况以及便携式仪</w:t>
      </w:r>
      <w:r>
        <w:rPr>
          <w:rFonts w:ascii="FangSong" w:hAnsi="FangSong" w:eastAsia="FangSong" w:cs="FangSong"/>
          <w:sz w:val="24"/>
          <w:szCs w:val="24"/>
          <w:spacing w:val="4"/>
        </w:rPr>
        <w:t xml:space="preserve"> </w:t>
      </w:r>
      <w:r>
        <w:rPr>
          <w:rFonts w:ascii="FangSong" w:hAnsi="FangSong" w:eastAsia="FangSong" w:cs="FangSong"/>
          <w:sz w:val="24"/>
          <w:szCs w:val="24"/>
        </w:rPr>
        <w:t>器速测结果对点位适当调整，采用钉桩、旗帜</w:t>
      </w:r>
      <w:r>
        <w:rPr>
          <w:rFonts w:ascii="FangSong" w:hAnsi="FangSong" w:eastAsia="FangSong" w:cs="FangSong"/>
          <w:sz w:val="24"/>
          <w:szCs w:val="24"/>
          <w:spacing w:val="-1"/>
        </w:rPr>
        <w:t>、喷漆等方式设置钻探点标记和编号。</w:t>
      </w:r>
    </w:p>
    <w:p>
      <w:pPr>
        <w:pStyle w:val="BodyText"/>
        <w:ind w:left="122" w:right="107" w:firstLine="485"/>
        <w:spacing w:before="180" w:line="313" w:lineRule="auto"/>
        <w:rPr>
          <w:rFonts w:ascii="FangSong" w:hAnsi="FangSong" w:eastAsia="FangSong" w:cs="FangSong"/>
          <w:sz w:val="24"/>
          <w:szCs w:val="24"/>
        </w:rPr>
      </w:pPr>
      <w:r>
        <w:rPr>
          <w:rFonts w:ascii="FangSong" w:hAnsi="FangSong" w:eastAsia="FangSong" w:cs="FangSong"/>
          <w:sz w:val="24"/>
          <w:szCs w:val="24"/>
          <w:spacing w:val="-3"/>
        </w:rPr>
        <w:t>（</w:t>
      </w:r>
      <w:r>
        <w:rPr>
          <w:sz w:val="24"/>
          <w:szCs w:val="24"/>
          <w:spacing w:val="-3"/>
        </w:rPr>
        <w:t>5</w:t>
      </w:r>
      <w:r>
        <w:rPr>
          <w:rFonts w:ascii="FangSong" w:hAnsi="FangSong" w:eastAsia="FangSong" w:cs="FangSong"/>
          <w:sz w:val="24"/>
          <w:szCs w:val="24"/>
          <w:spacing w:val="-3"/>
        </w:rPr>
        <w:t>）根据检测项目准备土壤采样工具。非扰动采样器用于检测挥发性有机物（</w:t>
      </w:r>
      <w:r>
        <w:rPr>
          <w:sz w:val="24"/>
          <w:szCs w:val="24"/>
          <w:spacing w:val="-3"/>
        </w:rPr>
        <w:t>VOCs</w:t>
      </w:r>
      <w:r>
        <w:rPr>
          <w:rFonts w:ascii="FangSong" w:hAnsi="FangSong" w:eastAsia="FangSong" w:cs="FangSong"/>
          <w:sz w:val="24"/>
          <w:szCs w:val="24"/>
          <w:spacing w:val="-3"/>
        </w:rPr>
        <w:t>）土</w:t>
      </w:r>
      <w:r>
        <w:rPr>
          <w:rFonts w:ascii="FangSong" w:hAnsi="FangSong" w:eastAsia="FangSong" w:cs="FangSong"/>
          <w:sz w:val="24"/>
          <w:szCs w:val="24"/>
          <w:spacing w:val="7"/>
        </w:rPr>
        <w:t xml:space="preserve"> </w:t>
      </w:r>
      <w:r>
        <w:rPr>
          <w:rFonts w:ascii="FangSong" w:hAnsi="FangSong" w:eastAsia="FangSong" w:cs="FangSong"/>
          <w:sz w:val="24"/>
          <w:szCs w:val="24"/>
          <w:spacing w:val="15"/>
        </w:rPr>
        <w:t>壤样品采集</w:t>
      </w:r>
      <w:r>
        <w:rPr>
          <w:rFonts w:ascii="FangSong" w:hAnsi="FangSong" w:eastAsia="FangSong" w:cs="FangSong"/>
          <w:sz w:val="24"/>
          <w:szCs w:val="24"/>
          <w:spacing w:val="-70"/>
        </w:rPr>
        <w:t xml:space="preserve"> </w:t>
      </w:r>
      <w:r>
        <w:rPr>
          <w:rFonts w:ascii="FangSong" w:hAnsi="FangSong" w:eastAsia="FangSong" w:cs="FangSong"/>
          <w:sz w:val="24"/>
          <w:szCs w:val="24"/>
          <w:spacing w:val="15"/>
        </w:rPr>
        <w:t>，不锈钢铲或表面镀特氟龙膜的采样铲用于检测非挥</w:t>
      </w:r>
      <w:r>
        <w:rPr>
          <w:rFonts w:ascii="FangSong" w:hAnsi="FangSong" w:eastAsia="FangSong" w:cs="FangSong"/>
          <w:sz w:val="24"/>
          <w:szCs w:val="24"/>
          <w:spacing w:val="14"/>
        </w:rPr>
        <w:t>发性和半挥发性有机物</w:t>
      </w:r>
      <w:r>
        <w:rPr>
          <w:rFonts w:ascii="FangSong" w:hAnsi="FangSong" w:eastAsia="FangSong" w:cs="FangSong"/>
          <w:sz w:val="24"/>
          <w:szCs w:val="24"/>
        </w:rPr>
        <w:t xml:space="preserve"> </w:t>
      </w:r>
      <w:r>
        <w:rPr>
          <w:rFonts w:ascii="FangSong" w:hAnsi="FangSong" w:eastAsia="FangSong" w:cs="FangSong"/>
          <w:sz w:val="24"/>
          <w:szCs w:val="24"/>
          <w:spacing w:val="-1"/>
        </w:rPr>
        <w:t>（</w:t>
      </w:r>
      <w:r>
        <w:rPr>
          <w:sz w:val="24"/>
          <w:szCs w:val="24"/>
          <w:spacing w:val="-1"/>
        </w:rPr>
        <w:t>SVOCs</w:t>
      </w:r>
      <w:r>
        <w:rPr>
          <w:rFonts w:ascii="FangSong" w:hAnsi="FangSong" w:eastAsia="FangSong" w:cs="FangSong"/>
          <w:sz w:val="24"/>
          <w:szCs w:val="24"/>
          <w:spacing w:val="-1"/>
        </w:rPr>
        <w:t>）土壤眼皮采集；塑料铲或竹铲可用于检测重金属土壤样品采集。</w:t>
      </w:r>
    </w:p>
    <w:p>
      <w:pPr>
        <w:pStyle w:val="BodyText"/>
        <w:ind w:left="122" w:right="107" w:firstLine="485"/>
        <w:spacing w:before="182" w:line="290" w:lineRule="auto"/>
        <w:rPr>
          <w:rFonts w:ascii="FangSong" w:hAnsi="FangSong" w:eastAsia="FangSong" w:cs="FangSong"/>
          <w:sz w:val="24"/>
          <w:szCs w:val="24"/>
        </w:rPr>
      </w:pPr>
      <w:r>
        <w:rPr>
          <w:rFonts w:ascii="FangSong" w:hAnsi="FangSong" w:eastAsia="FangSong" w:cs="FangSong"/>
          <w:sz w:val="24"/>
          <w:szCs w:val="24"/>
        </w:rPr>
        <w:t>（</w:t>
      </w:r>
      <w:r>
        <w:rPr>
          <w:sz w:val="24"/>
          <w:szCs w:val="24"/>
        </w:rPr>
        <w:t>6</w:t>
      </w:r>
      <w:r>
        <w:rPr>
          <w:rFonts w:ascii="FangSong" w:hAnsi="FangSong" w:eastAsia="FangSong" w:cs="FangSong"/>
          <w:sz w:val="24"/>
          <w:szCs w:val="24"/>
        </w:rPr>
        <w:t>）准备适合的地下水采样工具。根据调查地块水文地质特征和地下水污染特征，选择</w:t>
      </w:r>
      <w:r>
        <w:rPr>
          <w:rFonts w:ascii="FangSong" w:hAnsi="FangSong" w:eastAsia="FangSong" w:cs="FangSong"/>
          <w:sz w:val="24"/>
          <w:szCs w:val="24"/>
          <w:spacing w:val="4"/>
        </w:rPr>
        <w:t xml:space="preserve"> </w:t>
      </w:r>
      <w:r>
        <w:rPr>
          <w:rFonts w:ascii="FangSong" w:hAnsi="FangSong" w:eastAsia="FangSong" w:cs="FangSong"/>
          <w:sz w:val="24"/>
          <w:szCs w:val="24"/>
          <w:spacing w:val="-1"/>
        </w:rPr>
        <w:t>适用的洗井设备和地下水采样设备。</w:t>
      </w:r>
    </w:p>
    <w:p>
      <w:pPr>
        <w:pStyle w:val="BodyText"/>
        <w:ind w:left="608"/>
        <w:spacing w:before="184" w:line="219" w:lineRule="auto"/>
        <w:rPr>
          <w:rFonts w:ascii="FangSong" w:hAnsi="FangSong" w:eastAsia="FangSong" w:cs="FangSong"/>
          <w:sz w:val="24"/>
          <w:szCs w:val="24"/>
        </w:rPr>
      </w:pPr>
      <w:r>
        <w:rPr>
          <w:rFonts w:ascii="FangSong" w:hAnsi="FangSong" w:eastAsia="FangSong" w:cs="FangSong"/>
          <w:sz w:val="24"/>
          <w:szCs w:val="24"/>
          <w:spacing w:val="-2"/>
        </w:rPr>
        <w:t>（</w:t>
      </w:r>
      <w:r>
        <w:rPr>
          <w:sz w:val="24"/>
          <w:szCs w:val="24"/>
          <w:spacing w:val="-2"/>
        </w:rPr>
        <w:t>7</w:t>
      </w:r>
      <w:r>
        <w:rPr>
          <w:rFonts w:ascii="FangSong" w:hAnsi="FangSong" w:eastAsia="FangSong" w:cs="FangSong"/>
          <w:sz w:val="24"/>
          <w:szCs w:val="24"/>
          <w:spacing w:val="-2"/>
        </w:rPr>
        <w:t>）准备适合的大气和地表水采样工具。</w:t>
      </w:r>
    </w:p>
    <w:p>
      <w:pPr>
        <w:pStyle w:val="BodyText"/>
        <w:ind w:left="122" w:right="107" w:firstLine="485"/>
        <w:spacing w:before="182" w:line="292" w:lineRule="auto"/>
        <w:rPr>
          <w:rFonts w:ascii="FangSong" w:hAnsi="FangSong" w:eastAsia="FangSong" w:cs="FangSong"/>
          <w:sz w:val="24"/>
          <w:szCs w:val="24"/>
        </w:rPr>
      </w:pPr>
      <w:r>
        <w:rPr>
          <w:rFonts w:ascii="FangSong" w:hAnsi="FangSong" w:eastAsia="FangSong" w:cs="FangSong"/>
          <w:sz w:val="24"/>
          <w:szCs w:val="24"/>
          <w:spacing w:val="-1"/>
        </w:rPr>
        <w:t>（</w:t>
      </w:r>
      <w:r>
        <w:rPr>
          <w:sz w:val="24"/>
          <w:szCs w:val="24"/>
          <w:spacing w:val="-1"/>
        </w:rPr>
        <w:t>8</w:t>
      </w:r>
      <w:r>
        <w:rPr>
          <w:rFonts w:ascii="FangSong" w:hAnsi="FangSong" w:eastAsia="FangSong" w:cs="FangSong"/>
          <w:sz w:val="24"/>
          <w:szCs w:val="24"/>
          <w:spacing w:val="-1"/>
        </w:rPr>
        <w:t>）准备适合的现场便携式设备。准备</w:t>
      </w:r>
      <w:r>
        <w:rPr>
          <w:sz w:val="24"/>
          <w:szCs w:val="24"/>
          <w:spacing w:val="-1"/>
        </w:rPr>
        <w:t>pH</w:t>
      </w:r>
      <w:r>
        <w:rPr>
          <w:rFonts w:ascii="FangSong" w:hAnsi="FangSong" w:eastAsia="FangSong" w:cs="FangSong"/>
          <w:sz w:val="24"/>
          <w:szCs w:val="24"/>
          <w:spacing w:val="-1"/>
        </w:rPr>
        <w:t>计、电导率和氧化还原电</w:t>
      </w:r>
      <w:r>
        <w:rPr>
          <w:rFonts w:ascii="FangSong" w:hAnsi="FangSong" w:eastAsia="FangSong" w:cs="FangSong"/>
          <w:sz w:val="24"/>
          <w:szCs w:val="24"/>
          <w:spacing w:val="-2"/>
        </w:rPr>
        <w:t>位仪等现场快速检测</w:t>
      </w:r>
      <w:r>
        <w:rPr>
          <w:rFonts w:ascii="FangSong" w:hAnsi="FangSong" w:eastAsia="FangSong" w:cs="FangSong"/>
          <w:sz w:val="24"/>
          <w:szCs w:val="24"/>
        </w:rPr>
        <w:t xml:space="preserve"> </w:t>
      </w:r>
      <w:r>
        <w:rPr>
          <w:rFonts w:ascii="FangSong" w:hAnsi="FangSong" w:eastAsia="FangSong" w:cs="FangSong"/>
          <w:sz w:val="24"/>
          <w:szCs w:val="24"/>
          <w:spacing w:val="-6"/>
        </w:rPr>
        <w:t>设备。</w:t>
      </w:r>
    </w:p>
    <w:p>
      <w:pPr>
        <w:pStyle w:val="BodyText"/>
        <w:ind w:left="125" w:right="107" w:firstLine="483"/>
        <w:spacing w:before="177" w:line="290" w:lineRule="auto"/>
        <w:rPr>
          <w:rFonts w:ascii="FangSong" w:hAnsi="FangSong" w:eastAsia="FangSong" w:cs="FangSong"/>
          <w:sz w:val="24"/>
          <w:szCs w:val="24"/>
        </w:rPr>
      </w:pPr>
      <w:r>
        <w:rPr>
          <w:rFonts w:ascii="FangSong" w:hAnsi="FangSong" w:eastAsia="FangSong" w:cs="FangSong"/>
          <w:sz w:val="24"/>
          <w:szCs w:val="24"/>
        </w:rPr>
        <w:t>（</w:t>
      </w:r>
      <w:r>
        <w:rPr>
          <w:sz w:val="24"/>
          <w:szCs w:val="24"/>
        </w:rPr>
        <w:t>9</w:t>
      </w:r>
      <w:r>
        <w:rPr>
          <w:rFonts w:ascii="FangSong" w:hAnsi="FangSong" w:eastAsia="FangSong" w:cs="FangSong"/>
          <w:sz w:val="24"/>
          <w:szCs w:val="24"/>
        </w:rPr>
        <w:t>）准备适合的样品保存设备。包括样品瓶、样品箱、蓝冰等，同时检查样品箱保温效</w:t>
      </w:r>
      <w:r>
        <w:rPr>
          <w:rFonts w:ascii="FangSong" w:hAnsi="FangSong" w:eastAsia="FangSong" w:cs="FangSong"/>
          <w:sz w:val="24"/>
          <w:szCs w:val="24"/>
          <w:spacing w:val="4"/>
        </w:rPr>
        <w:t xml:space="preserve"> </w:t>
      </w:r>
      <w:r>
        <w:rPr>
          <w:rFonts w:ascii="FangSong" w:hAnsi="FangSong" w:eastAsia="FangSong" w:cs="FangSong"/>
          <w:sz w:val="24"/>
          <w:szCs w:val="24"/>
          <w:spacing w:val="-1"/>
        </w:rPr>
        <w:t>果、样品瓶种类和数量、样品固定剂数量等。</w:t>
      </w:r>
    </w:p>
    <w:p>
      <w:pPr>
        <w:pStyle w:val="BodyText"/>
        <w:ind w:left="608"/>
        <w:spacing w:before="183" w:line="220" w:lineRule="auto"/>
        <w:rPr>
          <w:rFonts w:ascii="FangSong" w:hAnsi="FangSong" w:eastAsia="FangSong" w:cs="FangSong"/>
          <w:sz w:val="24"/>
          <w:szCs w:val="24"/>
        </w:rPr>
      </w:pPr>
      <w:r>
        <w:rPr>
          <w:rFonts w:ascii="FangSong" w:hAnsi="FangSong" w:eastAsia="FangSong" w:cs="FangSong"/>
          <w:sz w:val="24"/>
          <w:szCs w:val="24"/>
          <w:spacing w:val="-1"/>
        </w:rPr>
        <w:t>（</w:t>
      </w:r>
      <w:r>
        <w:rPr>
          <w:sz w:val="24"/>
          <w:szCs w:val="24"/>
          <w:spacing w:val="-1"/>
        </w:rPr>
        <w:t>10</w:t>
      </w:r>
      <w:r>
        <w:rPr>
          <w:rFonts w:ascii="FangSong" w:hAnsi="FangSong" w:eastAsia="FangSong" w:cs="FangSong"/>
          <w:sz w:val="24"/>
          <w:szCs w:val="24"/>
          <w:spacing w:val="-1"/>
        </w:rPr>
        <w:t>）准备人员防护用品。包括安全防护口罩、一次性防护手套、安全帽等。</w:t>
      </w:r>
    </w:p>
    <w:p>
      <w:pPr>
        <w:pStyle w:val="BodyText"/>
        <w:ind w:left="132" w:right="107" w:firstLine="476"/>
        <w:spacing w:before="181" w:line="292" w:lineRule="auto"/>
        <w:rPr>
          <w:rFonts w:ascii="FangSong" w:hAnsi="FangSong" w:eastAsia="FangSong" w:cs="FangSong"/>
          <w:sz w:val="24"/>
          <w:szCs w:val="24"/>
        </w:rPr>
      </w:pPr>
      <w:r>
        <w:rPr>
          <w:rFonts w:ascii="FangSong" w:hAnsi="FangSong" w:eastAsia="FangSong" w:cs="FangSong"/>
          <w:sz w:val="24"/>
          <w:szCs w:val="24"/>
          <w:spacing w:val="-3"/>
        </w:rPr>
        <w:t>（</w:t>
      </w:r>
      <w:r>
        <w:rPr>
          <w:sz w:val="24"/>
          <w:szCs w:val="24"/>
          <w:spacing w:val="-3"/>
        </w:rPr>
        <w:t>11</w:t>
      </w:r>
      <w:r>
        <w:rPr>
          <w:rFonts w:ascii="FangSong" w:hAnsi="FangSong" w:eastAsia="FangSong" w:cs="FangSong"/>
          <w:sz w:val="24"/>
          <w:szCs w:val="24"/>
          <w:spacing w:val="-3"/>
        </w:rPr>
        <w:t>）准备其他采样物品。包括签字笔、采样记录单、摄像机、防雨器具、现场通讯工具</w:t>
      </w:r>
      <w:r>
        <w:rPr>
          <w:rFonts w:ascii="FangSong" w:hAnsi="FangSong" w:eastAsia="FangSong" w:cs="FangSong"/>
          <w:sz w:val="24"/>
          <w:szCs w:val="24"/>
          <w:spacing w:val="4"/>
        </w:rPr>
        <w:t xml:space="preserve"> </w:t>
      </w:r>
      <w:r>
        <w:rPr>
          <w:rFonts w:ascii="FangSong" w:hAnsi="FangSong" w:eastAsia="FangSong" w:cs="FangSong"/>
          <w:sz w:val="24"/>
          <w:szCs w:val="24"/>
          <w:spacing w:val="-13"/>
        </w:rPr>
        <w:t>等。</w:t>
      </w:r>
    </w:p>
    <w:p>
      <w:pPr>
        <w:pStyle w:val="BodyText"/>
        <w:ind w:left="115"/>
        <w:spacing w:before="177" w:line="224" w:lineRule="auto"/>
        <w:outlineLvl w:val="2"/>
        <w:rPr>
          <w:rFonts w:ascii="FangSong" w:hAnsi="FangSong" w:eastAsia="FangSong" w:cs="FangSong"/>
          <w:sz w:val="24"/>
          <w:szCs w:val="24"/>
        </w:rPr>
      </w:pPr>
      <w:r>
        <w:rPr>
          <w:sz w:val="24"/>
          <w:szCs w:val="24"/>
          <w:b/>
          <w:bCs/>
          <w:spacing w:val="-5"/>
        </w:rPr>
        <w:t>7.2.2</w:t>
      </w:r>
      <w:r>
        <w:rPr>
          <w:sz w:val="24"/>
          <w:szCs w:val="24"/>
          <w:b/>
          <w:bCs/>
          <w:spacing w:val="10"/>
        </w:rPr>
        <w:t xml:space="preserve">  </w:t>
      </w:r>
      <w:r>
        <w:rPr>
          <w:rFonts w:ascii="FangSong" w:hAnsi="FangSong" w:eastAsia="FangSong" w:cs="FangSong"/>
          <w:sz w:val="24"/>
          <w:szCs w:val="24"/>
          <w:b/>
          <w:bCs/>
          <w:spacing w:val="-5"/>
        </w:rPr>
        <w:t>土壤</w:t>
      </w:r>
    </w:p>
    <w:p>
      <w:pPr>
        <w:spacing w:line="224" w:lineRule="auto"/>
        <w:sectPr>
          <w:headerReference w:type="default" r:id="rId114"/>
          <w:footerReference w:type="default" r:id="rId115"/>
          <w:pgSz w:w="11906" w:h="16839"/>
          <w:pgMar w:top="1139" w:right="972" w:bottom="1252" w:left="972" w:header="831" w:footer="1090" w:gutter="0"/>
        </w:sectPr>
        <w:rPr>
          <w:rFonts w:ascii="FangSong" w:hAnsi="FangSong" w:eastAsia="FangSong" w:cs="FangSong"/>
          <w:sz w:val="24"/>
          <w:szCs w:val="24"/>
        </w:rPr>
      </w:pPr>
    </w:p>
    <w:p>
      <w:pPr>
        <w:spacing w:line="334" w:lineRule="auto"/>
        <w:rPr>
          <w:rFonts w:ascii="Arial"/>
          <w:sz w:val="21"/>
        </w:rPr>
      </w:pPr>
      <w:r/>
    </w:p>
    <w:p>
      <w:pPr>
        <w:pStyle w:val="BodyText"/>
        <w:ind w:left="8"/>
        <w:spacing w:before="78" w:line="223" w:lineRule="auto"/>
        <w:outlineLvl w:val="3"/>
        <w:rPr>
          <w:rFonts w:ascii="FangSong" w:hAnsi="FangSong" w:eastAsia="FangSong" w:cs="FangSong"/>
          <w:sz w:val="24"/>
          <w:szCs w:val="24"/>
        </w:rPr>
      </w:pPr>
      <w:r>
        <w:rPr>
          <w:sz w:val="24"/>
          <w:szCs w:val="24"/>
          <w:b/>
          <w:bCs/>
          <w:spacing w:val="-4"/>
        </w:rPr>
        <w:t>7.2.2.1</w:t>
      </w:r>
      <w:r>
        <w:rPr>
          <w:sz w:val="24"/>
          <w:szCs w:val="24"/>
          <w:b/>
          <w:bCs/>
          <w:spacing w:val="13"/>
        </w:rPr>
        <w:t xml:space="preserve">  </w:t>
      </w:r>
      <w:r>
        <w:rPr>
          <w:rFonts w:ascii="FangSong" w:hAnsi="FangSong" w:eastAsia="FangSong" w:cs="FangSong"/>
          <w:sz w:val="24"/>
          <w:szCs w:val="24"/>
          <w:b/>
          <w:bCs/>
          <w:spacing w:val="-4"/>
        </w:rPr>
        <w:t>土孔钻探</w:t>
      </w:r>
    </w:p>
    <w:p>
      <w:pPr>
        <w:ind w:left="15" w:right="83" w:firstLine="482"/>
        <w:spacing w:before="176" w:line="360" w:lineRule="auto"/>
        <w:jc w:val="both"/>
        <w:rPr>
          <w:rFonts w:ascii="FangSong" w:hAnsi="FangSong" w:eastAsia="FangSong" w:cs="FangSong"/>
          <w:sz w:val="24"/>
          <w:szCs w:val="24"/>
        </w:rPr>
      </w:pPr>
      <w:r>
        <w:rPr>
          <w:rFonts w:ascii="FangSong" w:hAnsi="FangSong" w:eastAsia="FangSong" w:cs="FangSong"/>
          <w:sz w:val="24"/>
          <w:szCs w:val="24"/>
          <w:spacing w:val="-3"/>
        </w:rPr>
        <w:t>在开展土孔钻探前，需根据信息采集结果并在企业相关负责人的带领下，探查已拟定采样</w:t>
      </w:r>
      <w:r>
        <w:rPr>
          <w:rFonts w:ascii="FangSong" w:hAnsi="FangSong" w:eastAsia="FangSong" w:cs="FangSong"/>
          <w:sz w:val="24"/>
          <w:szCs w:val="24"/>
          <w:spacing w:val="4"/>
        </w:rPr>
        <w:t xml:space="preserve"> </w:t>
      </w:r>
      <w:r>
        <w:rPr>
          <w:rFonts w:ascii="FangSong" w:hAnsi="FangSong" w:eastAsia="FangSong" w:cs="FangSong"/>
          <w:sz w:val="24"/>
          <w:szCs w:val="24"/>
          <w:spacing w:val="-3"/>
        </w:rPr>
        <w:t>点下部的地下罐槽、管线、集水井和检查井等地下情况，若存在上述情况，需要对采样点进行</w:t>
      </w:r>
      <w:r>
        <w:rPr>
          <w:rFonts w:ascii="FangSong" w:hAnsi="FangSong" w:eastAsia="FangSong" w:cs="FangSong"/>
          <w:sz w:val="24"/>
          <w:szCs w:val="24"/>
          <w:spacing w:val="13"/>
        </w:rPr>
        <w:t xml:space="preserve"> </w:t>
      </w:r>
      <w:r>
        <w:rPr>
          <w:rFonts w:ascii="FangSong" w:hAnsi="FangSong" w:eastAsia="FangSong" w:cs="FangSong"/>
          <w:sz w:val="24"/>
          <w:szCs w:val="24"/>
        </w:rPr>
        <w:t>针对性调整；若地下情况不明，可在现场选</w:t>
      </w:r>
      <w:r>
        <w:rPr>
          <w:rFonts w:ascii="FangSong" w:hAnsi="FangSong" w:eastAsia="FangSong" w:cs="FangSong"/>
          <w:sz w:val="24"/>
          <w:szCs w:val="24"/>
          <w:spacing w:val="-1"/>
        </w:rPr>
        <w:t>用手工钻探或物探设备探明地下情况。</w:t>
      </w:r>
    </w:p>
    <w:p>
      <w:pPr>
        <w:pStyle w:val="BodyText"/>
        <w:ind w:left="500"/>
        <w:spacing w:before="1" w:line="223" w:lineRule="auto"/>
        <w:rPr>
          <w:rFonts w:ascii="FangSong" w:hAnsi="FangSong" w:eastAsia="FangSong" w:cs="FangSong"/>
          <w:sz w:val="24"/>
          <w:szCs w:val="24"/>
        </w:rPr>
      </w:pPr>
      <w:r>
        <w:rPr>
          <w:rFonts w:ascii="FangSong" w:hAnsi="FangSong" w:eastAsia="FangSong" w:cs="FangSong"/>
          <w:sz w:val="24"/>
          <w:szCs w:val="24"/>
          <w:spacing w:val="-3"/>
        </w:rPr>
        <w:t>（</w:t>
      </w:r>
      <w:r>
        <w:rPr>
          <w:sz w:val="24"/>
          <w:szCs w:val="24"/>
          <w:spacing w:val="-3"/>
        </w:rPr>
        <w:t>1</w:t>
      </w:r>
      <w:r>
        <w:rPr>
          <w:rFonts w:ascii="FangSong" w:hAnsi="FangSong" w:eastAsia="FangSong" w:cs="FangSong"/>
          <w:sz w:val="24"/>
          <w:szCs w:val="24"/>
          <w:spacing w:val="-3"/>
        </w:rPr>
        <w:t>）土壤钻探设备</w:t>
      </w:r>
    </w:p>
    <w:p>
      <w:pPr>
        <w:pStyle w:val="BodyText"/>
        <w:ind w:left="18" w:firstLine="485"/>
        <w:spacing w:before="177" w:line="353" w:lineRule="auto"/>
        <w:rPr>
          <w:rFonts w:ascii="FangSong" w:hAnsi="FangSong" w:eastAsia="FangSong" w:cs="FangSong"/>
          <w:sz w:val="24"/>
          <w:szCs w:val="24"/>
        </w:rPr>
      </w:pPr>
      <w:r>
        <w:rPr>
          <w:rFonts w:ascii="FangSong" w:hAnsi="FangSong" w:eastAsia="FangSong" w:cs="FangSong"/>
          <w:sz w:val="24"/>
          <w:szCs w:val="24"/>
          <w:spacing w:val="-6"/>
        </w:rPr>
        <w:t>为减少采样对企业正常生产的影响，本地块使用</w:t>
      </w:r>
      <w:r>
        <w:rPr>
          <w:sz w:val="24"/>
          <w:szCs w:val="24"/>
          <w:spacing w:val="-6"/>
        </w:rPr>
        <w:t>Geoprobe</w:t>
      </w:r>
      <w:r>
        <w:rPr>
          <w:rFonts w:ascii="FangSong" w:hAnsi="FangSong" w:eastAsia="FangSong" w:cs="FangSong"/>
          <w:sz w:val="24"/>
          <w:szCs w:val="24"/>
          <w:spacing w:val="-6"/>
        </w:rPr>
        <w:t>设备等专业设备（若卵石层过厚，</w:t>
      </w:r>
      <w:r>
        <w:rPr>
          <w:rFonts w:ascii="FangSong" w:hAnsi="FangSong" w:eastAsia="FangSong" w:cs="FangSong"/>
          <w:sz w:val="24"/>
          <w:szCs w:val="24"/>
          <w:spacing w:val="1"/>
        </w:rPr>
        <w:t xml:space="preserve"> </w:t>
      </w:r>
      <w:r>
        <w:rPr>
          <w:rFonts w:ascii="FangSong" w:hAnsi="FangSong" w:eastAsia="FangSong" w:cs="FangSong"/>
          <w:sz w:val="24"/>
          <w:szCs w:val="24"/>
          <w:spacing w:val="-6"/>
        </w:rPr>
        <w:t>则采用</w:t>
      </w:r>
      <w:r>
        <w:rPr>
          <w:sz w:val="24"/>
          <w:szCs w:val="24"/>
          <w:spacing w:val="-6"/>
        </w:rPr>
        <w:t>30</w:t>
      </w:r>
      <w:r>
        <w:rPr>
          <w:rFonts w:ascii="FangSong" w:hAnsi="FangSong" w:eastAsia="FangSong" w:cs="FangSong"/>
          <w:sz w:val="24"/>
          <w:szCs w:val="24"/>
          <w:spacing w:val="-6"/>
        </w:rPr>
        <w:t>钻机，同下）进行钻孔取样。采样设备的操作与现场钻孔</w:t>
      </w:r>
      <w:r>
        <w:rPr>
          <w:rFonts w:ascii="FangSong" w:hAnsi="FangSong" w:eastAsia="FangSong" w:cs="FangSong"/>
          <w:sz w:val="24"/>
          <w:szCs w:val="24"/>
          <w:spacing w:val="-7"/>
        </w:rPr>
        <w:t>取样均由专业人员负责完成。</w:t>
      </w:r>
    </w:p>
    <w:p>
      <w:pPr>
        <w:pStyle w:val="BodyText"/>
        <w:ind w:left="500"/>
        <w:spacing w:before="18" w:line="223" w:lineRule="auto"/>
        <w:rPr>
          <w:rFonts w:ascii="FangSong" w:hAnsi="FangSong" w:eastAsia="FangSong" w:cs="FangSong"/>
          <w:sz w:val="24"/>
          <w:szCs w:val="24"/>
        </w:rPr>
      </w:pPr>
      <w:r>
        <w:rPr>
          <w:rFonts w:ascii="FangSong" w:hAnsi="FangSong" w:eastAsia="FangSong" w:cs="FangSong"/>
          <w:sz w:val="24"/>
          <w:szCs w:val="24"/>
          <w:spacing w:val="-3"/>
        </w:rPr>
        <w:t>（</w:t>
      </w:r>
      <w:r>
        <w:rPr>
          <w:sz w:val="24"/>
          <w:szCs w:val="24"/>
          <w:spacing w:val="-3"/>
        </w:rPr>
        <w:t>2</w:t>
      </w:r>
      <w:r>
        <w:rPr>
          <w:rFonts w:ascii="FangSong" w:hAnsi="FangSong" w:eastAsia="FangSong" w:cs="FangSong"/>
          <w:sz w:val="24"/>
          <w:szCs w:val="24"/>
          <w:spacing w:val="-3"/>
        </w:rPr>
        <w:t>）土壤钻探过程</w:t>
      </w:r>
    </w:p>
    <w:p>
      <w:pPr>
        <w:ind w:left="495"/>
        <w:spacing w:before="179" w:line="219" w:lineRule="auto"/>
        <w:rPr>
          <w:rFonts w:ascii="FangSong" w:hAnsi="FangSong" w:eastAsia="FangSong" w:cs="FangSong"/>
          <w:sz w:val="24"/>
          <w:szCs w:val="24"/>
        </w:rPr>
      </w:pPr>
      <w:r>
        <w:rPr>
          <w:rFonts w:ascii="FangSong" w:hAnsi="FangSong" w:eastAsia="FangSong" w:cs="FangSong"/>
          <w:sz w:val="24"/>
          <w:szCs w:val="24"/>
          <w:spacing w:val="-1"/>
        </w:rPr>
        <w:t>钻探技术要求参照采样技术规定中土孔钻探的相关要求，具体包括以下内容：</w:t>
      </w:r>
    </w:p>
    <w:p>
      <w:pPr>
        <w:ind w:left="488"/>
        <w:spacing w:before="182" w:line="222" w:lineRule="auto"/>
        <w:rPr>
          <w:rFonts w:ascii="FangSong" w:hAnsi="FangSong" w:eastAsia="FangSong" w:cs="FangSong"/>
          <w:sz w:val="24"/>
          <w:szCs w:val="24"/>
        </w:rPr>
      </w:pPr>
      <w:r>
        <w:rPr>
          <w:rFonts w:ascii="FangSong" w:hAnsi="FangSong" w:eastAsia="FangSong" w:cs="FangSong"/>
          <w:sz w:val="24"/>
          <w:szCs w:val="24"/>
          <w:spacing w:val="-2"/>
        </w:rPr>
        <w:t>①钻机架设</w:t>
      </w:r>
    </w:p>
    <w:p>
      <w:pPr>
        <w:ind w:left="496"/>
        <w:spacing w:before="180" w:line="220" w:lineRule="auto"/>
        <w:rPr>
          <w:rFonts w:ascii="FangSong" w:hAnsi="FangSong" w:eastAsia="FangSong" w:cs="FangSong"/>
          <w:sz w:val="24"/>
          <w:szCs w:val="24"/>
        </w:rPr>
      </w:pPr>
      <w:r>
        <w:rPr>
          <w:rFonts w:ascii="FangSong" w:hAnsi="FangSong" w:eastAsia="FangSong" w:cs="FangSong"/>
          <w:sz w:val="24"/>
          <w:szCs w:val="24"/>
          <w:spacing w:val="-1"/>
        </w:rPr>
        <w:t>根据钻探设备要求实际需要清理厂区钻探作业面，架设钻机。</w:t>
      </w:r>
    </w:p>
    <w:p>
      <w:pPr>
        <w:ind w:left="487"/>
        <w:spacing w:before="181" w:line="222" w:lineRule="auto"/>
        <w:rPr>
          <w:rFonts w:ascii="FangSong" w:hAnsi="FangSong" w:eastAsia="FangSong" w:cs="FangSong"/>
          <w:sz w:val="24"/>
          <w:szCs w:val="24"/>
        </w:rPr>
      </w:pPr>
      <w:r>
        <w:rPr>
          <w:rFonts w:ascii="FangSong" w:hAnsi="FangSong" w:eastAsia="FangSong" w:cs="FangSong"/>
          <w:sz w:val="24"/>
          <w:szCs w:val="24"/>
          <w:spacing w:val="-3"/>
        </w:rPr>
        <w:t>②开孔</w:t>
      </w:r>
    </w:p>
    <w:p>
      <w:pPr>
        <w:ind w:left="495"/>
        <w:spacing w:before="180" w:line="222" w:lineRule="auto"/>
        <w:rPr>
          <w:rFonts w:ascii="FangSong" w:hAnsi="FangSong" w:eastAsia="FangSong" w:cs="FangSong"/>
          <w:sz w:val="24"/>
          <w:szCs w:val="24"/>
        </w:rPr>
      </w:pPr>
      <w:r>
        <w:rPr>
          <w:rFonts w:ascii="FangSong" w:hAnsi="FangSong" w:eastAsia="FangSong" w:cs="FangSong"/>
          <w:sz w:val="24"/>
          <w:szCs w:val="24"/>
          <w:spacing w:val="-1"/>
        </w:rPr>
        <w:t>开孔直径应大于正常钻探的钻头直径，开孔深度应超过钻具长度。</w:t>
      </w:r>
    </w:p>
    <w:p>
      <w:pPr>
        <w:ind w:left="487"/>
        <w:spacing w:before="179" w:line="222" w:lineRule="auto"/>
        <w:rPr>
          <w:rFonts w:ascii="FangSong" w:hAnsi="FangSong" w:eastAsia="FangSong" w:cs="FangSong"/>
          <w:sz w:val="24"/>
          <w:szCs w:val="24"/>
        </w:rPr>
      </w:pPr>
      <w:r>
        <w:rPr>
          <w:rFonts w:ascii="FangSong" w:hAnsi="FangSong" w:eastAsia="FangSong" w:cs="FangSong"/>
          <w:sz w:val="24"/>
          <w:szCs w:val="24"/>
          <w:spacing w:val="-3"/>
        </w:rPr>
        <w:t>③钻进</w:t>
      </w:r>
    </w:p>
    <w:p>
      <w:pPr>
        <w:ind w:left="13" w:right="83" w:firstLine="487"/>
        <w:spacing w:before="180" w:line="360" w:lineRule="auto"/>
        <w:rPr>
          <w:rFonts w:ascii="FangSong" w:hAnsi="FangSong" w:eastAsia="FangSong" w:cs="FangSong"/>
          <w:sz w:val="24"/>
          <w:szCs w:val="24"/>
        </w:rPr>
      </w:pPr>
      <w:r>
        <w:rPr>
          <w:rFonts w:ascii="FangSong" w:hAnsi="FangSong" w:eastAsia="FangSong" w:cs="FangSong"/>
          <w:sz w:val="24"/>
          <w:szCs w:val="24"/>
          <w:spacing w:val="-1"/>
        </w:rPr>
        <w:t>通过连续密闭直推式的方式采集地块内的土柱。选择无浆液钻进，全程套管跟进，</w:t>
      </w:r>
      <w:r>
        <w:rPr>
          <w:rFonts w:ascii="FangSong" w:hAnsi="FangSong" w:eastAsia="FangSong" w:cs="FangSong"/>
          <w:sz w:val="24"/>
          <w:szCs w:val="24"/>
          <w:spacing w:val="40"/>
        </w:rPr>
        <w:t xml:space="preserve"> </w:t>
      </w:r>
      <w:r>
        <w:rPr>
          <w:rFonts w:ascii="FangSong" w:hAnsi="FangSong" w:eastAsia="FangSong" w:cs="FangSong"/>
          <w:sz w:val="24"/>
          <w:szCs w:val="24"/>
          <w:spacing w:val="-1"/>
        </w:rPr>
        <w:t>防止</w:t>
      </w:r>
      <w:r>
        <w:rPr>
          <w:rFonts w:ascii="FangSong" w:hAnsi="FangSong" w:eastAsia="FangSong" w:cs="FangSong"/>
          <w:sz w:val="24"/>
          <w:szCs w:val="24"/>
        </w:rPr>
        <w:t xml:space="preserve"> </w:t>
      </w:r>
      <w:r>
        <w:rPr>
          <w:rFonts w:ascii="FangSong" w:hAnsi="FangSong" w:eastAsia="FangSong" w:cs="FangSong"/>
          <w:sz w:val="24"/>
          <w:szCs w:val="24"/>
          <w:spacing w:val="-3"/>
        </w:rPr>
        <w:t>钻孔坍塌和上下层交叉污染；钻进过程中揭露地下水时，要停钻等水，待水位稳定后，测量并</w:t>
      </w:r>
      <w:r>
        <w:rPr>
          <w:rFonts w:ascii="FangSong" w:hAnsi="FangSong" w:eastAsia="FangSong" w:cs="FangSong"/>
          <w:sz w:val="24"/>
          <w:szCs w:val="24"/>
          <w:spacing w:val="15"/>
        </w:rPr>
        <w:t xml:space="preserve"> </w:t>
      </w:r>
      <w:r>
        <w:rPr>
          <w:rFonts w:ascii="FangSong" w:hAnsi="FangSong" w:eastAsia="FangSong" w:cs="FangSong"/>
          <w:sz w:val="24"/>
          <w:szCs w:val="24"/>
          <w:spacing w:val="-2"/>
        </w:rPr>
        <w:t>记录初见水位及静止水位。</w:t>
      </w:r>
    </w:p>
    <w:p>
      <w:pPr>
        <w:ind w:left="487"/>
        <w:spacing w:line="219" w:lineRule="auto"/>
        <w:rPr>
          <w:rFonts w:ascii="FangSong" w:hAnsi="FangSong" w:eastAsia="FangSong" w:cs="FangSong"/>
          <w:sz w:val="24"/>
          <w:szCs w:val="24"/>
        </w:rPr>
      </w:pPr>
      <w:r>
        <w:rPr>
          <w:rFonts w:ascii="FangSong" w:hAnsi="FangSong" w:eastAsia="FangSong" w:cs="FangSong"/>
          <w:sz w:val="24"/>
          <w:szCs w:val="24"/>
          <w:spacing w:val="-3"/>
        </w:rPr>
        <w:t>④取样</w:t>
      </w:r>
    </w:p>
    <w:p>
      <w:pPr>
        <w:pStyle w:val="BodyText"/>
        <w:ind w:left="15" w:right="83" w:firstLine="481"/>
        <w:spacing w:before="183" w:line="360" w:lineRule="auto"/>
        <w:rPr>
          <w:rFonts w:ascii="FangSong" w:hAnsi="FangSong" w:eastAsia="FangSong" w:cs="FangSong"/>
          <w:sz w:val="24"/>
          <w:szCs w:val="24"/>
        </w:rPr>
      </w:pPr>
      <w:r>
        <w:rPr>
          <w:rFonts w:ascii="FangSong" w:hAnsi="FangSong" w:eastAsia="FangSong" w:cs="FangSong"/>
          <w:sz w:val="24"/>
          <w:szCs w:val="24"/>
          <w:spacing w:val="-3"/>
        </w:rPr>
        <w:t>取样设备在专业人士的操作下进行，采样管取出后根据取样深度，截取合适的长度，两端</w:t>
      </w:r>
      <w:r>
        <w:rPr>
          <w:rFonts w:ascii="FangSong" w:hAnsi="FangSong" w:eastAsia="FangSong" w:cs="FangSong"/>
          <w:sz w:val="24"/>
          <w:szCs w:val="24"/>
          <w:spacing w:val="5"/>
        </w:rPr>
        <w:t xml:space="preserve"> </w:t>
      </w:r>
      <w:r>
        <w:rPr>
          <w:rFonts w:ascii="FangSong" w:hAnsi="FangSong" w:eastAsia="FangSong" w:cs="FangSong"/>
          <w:sz w:val="24"/>
          <w:szCs w:val="24"/>
          <w:spacing w:val="-3"/>
        </w:rPr>
        <w:t>加盖密封保存（若采用</w:t>
      </w:r>
      <w:r>
        <w:rPr>
          <w:sz w:val="24"/>
          <w:szCs w:val="24"/>
          <w:spacing w:val="-3"/>
        </w:rPr>
        <w:t>30</w:t>
      </w:r>
      <w:r>
        <w:rPr>
          <w:rFonts w:ascii="FangSong" w:hAnsi="FangSong" w:eastAsia="FangSong" w:cs="FangSong"/>
          <w:sz w:val="24"/>
          <w:szCs w:val="24"/>
          <w:spacing w:val="-3"/>
        </w:rPr>
        <w:t>钻机，则用采样铲将土壤转移至广口瓶内，加盖保存）。同时，钻孔</w:t>
      </w:r>
      <w:r>
        <w:rPr>
          <w:rFonts w:ascii="FangSong" w:hAnsi="FangSong" w:eastAsia="FangSong" w:cs="FangSong"/>
          <w:sz w:val="24"/>
          <w:szCs w:val="24"/>
          <w:spacing w:val="13"/>
        </w:rPr>
        <w:t xml:space="preserve"> </w:t>
      </w:r>
      <w:r>
        <w:rPr>
          <w:rFonts w:ascii="FangSong" w:hAnsi="FangSong" w:eastAsia="FangSong" w:cs="FangSong"/>
          <w:sz w:val="24"/>
          <w:szCs w:val="24"/>
          <w:spacing w:val="-1"/>
        </w:rPr>
        <w:t>过程中参照“附件</w:t>
      </w:r>
      <w:r>
        <w:rPr>
          <w:sz w:val="24"/>
          <w:szCs w:val="24"/>
          <w:spacing w:val="-1"/>
        </w:rPr>
        <w:t>1</w:t>
      </w:r>
      <w:r>
        <w:rPr>
          <w:rFonts w:ascii="FangSong" w:hAnsi="FangSong" w:eastAsia="FangSong" w:cs="FangSong"/>
          <w:sz w:val="24"/>
          <w:szCs w:val="24"/>
          <w:spacing w:val="-1"/>
        </w:rPr>
        <w:t>土壤钻孔采样记录单</w:t>
      </w:r>
      <w:r>
        <w:rPr>
          <w:rFonts w:ascii="FangSong" w:hAnsi="FangSong" w:eastAsia="FangSong" w:cs="FangSong"/>
          <w:sz w:val="24"/>
          <w:szCs w:val="24"/>
          <w:spacing w:val="-69"/>
        </w:rPr>
        <w:t xml:space="preserve"> </w:t>
      </w:r>
      <w:r>
        <w:rPr>
          <w:rFonts w:ascii="FangSong" w:hAnsi="FangSong" w:eastAsia="FangSong" w:cs="FangSong"/>
          <w:sz w:val="24"/>
          <w:szCs w:val="24"/>
          <w:spacing w:val="-1"/>
        </w:rPr>
        <w:t>”要求填写土壤钻孔采样记录单，对采样点、钻进操</w:t>
      </w:r>
      <w:r>
        <w:rPr>
          <w:rFonts w:ascii="FangSong" w:hAnsi="FangSong" w:eastAsia="FangSong" w:cs="FangSong"/>
          <w:sz w:val="24"/>
          <w:szCs w:val="24"/>
        </w:rPr>
        <w:t xml:space="preserve"> </w:t>
      </w:r>
      <w:r>
        <w:rPr>
          <w:rFonts w:ascii="FangSong" w:hAnsi="FangSong" w:eastAsia="FangSong" w:cs="FangSong"/>
          <w:sz w:val="24"/>
          <w:szCs w:val="24"/>
          <w:spacing w:val="-1"/>
        </w:rPr>
        <w:t>作、岩芯箱、钻孔记录单等环节进行拍照记录。</w:t>
      </w:r>
    </w:p>
    <w:p>
      <w:pPr>
        <w:spacing w:line="360" w:lineRule="auto"/>
        <w:sectPr>
          <w:headerReference w:type="default" r:id="rId38"/>
          <w:footerReference w:type="default" r:id="rId116"/>
          <w:pgSz w:w="11906" w:h="16839"/>
          <w:pgMar w:top="1139" w:right="996" w:bottom="1252" w:left="1080" w:header="831" w:footer="1090" w:gutter="0"/>
        </w:sectPr>
        <w:rPr>
          <w:rFonts w:ascii="FangSong" w:hAnsi="FangSong" w:eastAsia="FangSong" w:cs="FangSong"/>
          <w:sz w:val="24"/>
          <w:szCs w:val="24"/>
        </w:rPr>
      </w:pPr>
    </w:p>
    <w:p>
      <w:pPr>
        <w:spacing w:line="357" w:lineRule="auto"/>
        <w:rPr>
          <w:rFonts w:ascii="Arial"/>
          <w:sz w:val="21"/>
        </w:rPr>
      </w:pPr>
      <w:r/>
    </w:p>
    <w:p>
      <w:pPr>
        <w:ind w:firstLine="400"/>
        <w:spacing w:line="4539" w:lineRule="exact"/>
        <w:rPr/>
      </w:pPr>
      <w:r>
        <w:rPr>
          <w:position w:val="-90"/>
        </w:rPr>
        <w:drawing>
          <wp:inline distT="0" distB="0" distL="0" distR="0">
            <wp:extent cx="5443728" cy="2881883"/>
            <wp:effectExtent l="0" t="0" r="0" b="0"/>
            <wp:docPr id="86" name="IM 86"/>
            <wp:cNvGraphicFramePr/>
            <a:graphic>
              <a:graphicData uri="http://schemas.openxmlformats.org/drawingml/2006/picture">
                <pic:pic>
                  <pic:nvPicPr>
                    <pic:cNvPr id="86" name="IM 86"/>
                    <pic:cNvPicPr/>
                  </pic:nvPicPr>
                  <pic:blipFill>
                    <a:blip r:embed="rId118"/>
                    <a:stretch>
                      <a:fillRect/>
                    </a:stretch>
                  </pic:blipFill>
                  <pic:spPr>
                    <a:xfrm rot="0">
                      <a:off x="0" y="0"/>
                      <a:ext cx="5443728" cy="2881883"/>
                    </a:xfrm>
                    <a:prstGeom prst="rect">
                      <a:avLst/>
                    </a:prstGeom>
                  </pic:spPr>
                </pic:pic>
              </a:graphicData>
            </a:graphic>
          </wp:inline>
        </w:drawing>
      </w:r>
    </w:p>
    <w:p>
      <w:pPr>
        <w:pStyle w:val="BodyText"/>
        <w:ind w:left="3579"/>
        <w:spacing w:before="119" w:line="219" w:lineRule="auto"/>
        <w:rPr>
          <w:rFonts w:ascii="FangSong" w:hAnsi="FangSong" w:eastAsia="FangSong" w:cs="FangSong"/>
          <w:sz w:val="24"/>
          <w:szCs w:val="24"/>
        </w:rPr>
      </w:pPr>
      <w:r>
        <w:rPr>
          <w:rFonts w:ascii="FangSong" w:hAnsi="FangSong" w:eastAsia="FangSong" w:cs="FangSong"/>
          <w:sz w:val="24"/>
          <w:szCs w:val="24"/>
          <w:b/>
          <w:bCs/>
          <w:spacing w:val="-6"/>
        </w:rPr>
        <w:t>图</w:t>
      </w:r>
      <w:r>
        <w:rPr>
          <w:sz w:val="24"/>
          <w:szCs w:val="24"/>
          <w:b/>
          <w:bCs/>
          <w:spacing w:val="-6"/>
        </w:rPr>
        <w:t>7.2-1</w:t>
      </w:r>
      <w:r>
        <w:rPr>
          <w:sz w:val="24"/>
          <w:szCs w:val="24"/>
          <w:b/>
          <w:bCs/>
          <w:spacing w:val="5"/>
        </w:rPr>
        <w:t xml:space="preserve">    </w:t>
      </w:r>
      <w:r>
        <w:rPr>
          <w:rFonts w:ascii="FangSong" w:hAnsi="FangSong" w:eastAsia="FangSong" w:cs="FangSong"/>
          <w:sz w:val="24"/>
          <w:szCs w:val="24"/>
          <w:b/>
          <w:bCs/>
          <w:spacing w:val="-6"/>
        </w:rPr>
        <w:t>土壤取样示意图</w:t>
      </w:r>
    </w:p>
    <w:p>
      <w:pPr>
        <w:ind w:left="487"/>
        <w:spacing w:before="103" w:line="222" w:lineRule="auto"/>
        <w:rPr>
          <w:rFonts w:ascii="FangSong" w:hAnsi="FangSong" w:eastAsia="FangSong" w:cs="FangSong"/>
          <w:sz w:val="24"/>
          <w:szCs w:val="24"/>
        </w:rPr>
      </w:pPr>
      <w:r>
        <w:rPr>
          <w:rFonts w:ascii="FangSong" w:hAnsi="FangSong" w:eastAsia="FangSong" w:cs="FangSong"/>
          <w:sz w:val="24"/>
          <w:szCs w:val="24"/>
          <w:spacing w:val="-3"/>
        </w:rPr>
        <w:t>⑤封孔</w:t>
      </w:r>
    </w:p>
    <w:p>
      <w:pPr>
        <w:ind w:left="495"/>
        <w:spacing w:before="180" w:line="219" w:lineRule="auto"/>
        <w:rPr>
          <w:rFonts w:ascii="FangSong" w:hAnsi="FangSong" w:eastAsia="FangSong" w:cs="FangSong"/>
          <w:sz w:val="24"/>
          <w:szCs w:val="24"/>
        </w:rPr>
      </w:pPr>
      <w:r>
        <w:rPr>
          <w:rFonts w:ascii="FangSong" w:hAnsi="FangSong" w:eastAsia="FangSong" w:cs="FangSong"/>
          <w:sz w:val="24"/>
          <w:szCs w:val="24"/>
        </w:rPr>
        <w:t>钻孔结束后，对于不需要设立地下水采样井的钻</w:t>
      </w:r>
      <w:r>
        <w:rPr>
          <w:rFonts w:ascii="FangSong" w:hAnsi="FangSong" w:eastAsia="FangSong" w:cs="FangSong"/>
          <w:sz w:val="24"/>
          <w:szCs w:val="24"/>
          <w:spacing w:val="-1"/>
        </w:rPr>
        <w:t>孔应立即封孔并清理恢复作业区地面。</w:t>
      </w:r>
    </w:p>
    <w:p>
      <w:pPr>
        <w:ind w:left="487"/>
        <w:spacing w:before="182" w:line="222" w:lineRule="auto"/>
        <w:rPr>
          <w:rFonts w:ascii="FangSong" w:hAnsi="FangSong" w:eastAsia="FangSong" w:cs="FangSong"/>
          <w:sz w:val="24"/>
          <w:szCs w:val="24"/>
        </w:rPr>
      </w:pPr>
      <w:r>
        <w:rPr>
          <w:rFonts w:ascii="FangSong" w:hAnsi="FangSong" w:eastAsia="FangSong" w:cs="FangSong"/>
          <w:sz w:val="24"/>
          <w:szCs w:val="24"/>
          <w:spacing w:val="-2"/>
        </w:rPr>
        <w:t>⑥点位复测</w:t>
      </w:r>
    </w:p>
    <w:p>
      <w:pPr>
        <w:pStyle w:val="BodyText"/>
        <w:ind w:left="495"/>
        <w:spacing w:before="180" w:line="220" w:lineRule="auto"/>
        <w:rPr>
          <w:rFonts w:ascii="FangSong" w:hAnsi="FangSong" w:eastAsia="FangSong" w:cs="FangSong"/>
          <w:sz w:val="24"/>
          <w:szCs w:val="24"/>
        </w:rPr>
      </w:pPr>
      <w:r>
        <w:rPr>
          <w:rFonts w:ascii="FangSong" w:hAnsi="FangSong" w:eastAsia="FangSong" w:cs="FangSong"/>
          <w:sz w:val="24"/>
          <w:szCs w:val="24"/>
          <w:spacing w:val="-1"/>
        </w:rPr>
        <w:t>钻孔结束后，使用手持式</w:t>
      </w:r>
      <w:r>
        <w:rPr>
          <w:sz w:val="24"/>
          <w:szCs w:val="24"/>
          <w:spacing w:val="-1"/>
        </w:rPr>
        <w:t>GPS</w:t>
      </w:r>
      <w:r>
        <w:rPr>
          <w:rFonts w:ascii="FangSong" w:hAnsi="FangSong" w:eastAsia="FangSong" w:cs="FangSong"/>
          <w:sz w:val="24"/>
          <w:szCs w:val="24"/>
          <w:spacing w:val="-1"/>
        </w:rPr>
        <w:t>定位仪对钻孔的坐标进行复测，记录坐标和高程。</w:t>
      </w:r>
    </w:p>
    <w:p>
      <w:pPr>
        <w:ind w:left="487"/>
        <w:spacing w:before="181" w:line="222" w:lineRule="auto"/>
        <w:rPr>
          <w:rFonts w:ascii="FangSong" w:hAnsi="FangSong" w:eastAsia="FangSong" w:cs="FangSong"/>
          <w:sz w:val="24"/>
          <w:szCs w:val="24"/>
        </w:rPr>
      </w:pPr>
      <w:r>
        <w:rPr>
          <w:rFonts w:ascii="FangSong" w:hAnsi="FangSong" w:eastAsia="FangSong" w:cs="FangSong"/>
          <w:sz w:val="24"/>
          <w:szCs w:val="24"/>
          <w:spacing w:val="-3"/>
        </w:rPr>
        <w:t>⑦其他</w:t>
      </w:r>
    </w:p>
    <w:p>
      <w:pPr>
        <w:ind w:left="13" w:right="65" w:firstLine="484"/>
        <w:spacing w:before="179" w:line="360" w:lineRule="auto"/>
        <w:rPr>
          <w:rFonts w:ascii="FangSong" w:hAnsi="FangSong" w:eastAsia="FangSong" w:cs="FangSong"/>
          <w:sz w:val="24"/>
          <w:szCs w:val="24"/>
        </w:rPr>
      </w:pPr>
      <w:r>
        <w:rPr>
          <w:rFonts w:ascii="FangSong" w:hAnsi="FangSong" w:eastAsia="FangSong" w:cs="FangSong"/>
          <w:sz w:val="24"/>
          <w:szCs w:val="24"/>
          <w:spacing w:val="-3"/>
        </w:rPr>
        <w:t>采样单位按照要求填写采样记录，拍照记录，并向采样指控单位提供相关原始记录和照片</w:t>
      </w:r>
      <w:r>
        <w:rPr>
          <w:rFonts w:ascii="FangSong" w:hAnsi="FangSong" w:eastAsia="FangSong" w:cs="FangSong"/>
          <w:sz w:val="24"/>
          <w:szCs w:val="24"/>
          <w:spacing w:val="4"/>
        </w:rPr>
        <w:t xml:space="preserve"> </w:t>
      </w:r>
      <w:r>
        <w:rPr>
          <w:rFonts w:ascii="FangSong" w:hAnsi="FangSong" w:eastAsia="FangSong" w:cs="FangSong"/>
          <w:sz w:val="24"/>
          <w:szCs w:val="24"/>
          <w:spacing w:val="-3"/>
        </w:rPr>
        <w:t>等资料。我单位成立采样质控组对采样单位样品采集工作进行现场监督、检查，填写现场检查</w:t>
      </w:r>
      <w:r>
        <w:rPr>
          <w:rFonts w:ascii="FangSong" w:hAnsi="FangSong" w:eastAsia="FangSong" w:cs="FangSong"/>
          <w:sz w:val="24"/>
          <w:szCs w:val="24"/>
          <w:spacing w:val="15"/>
        </w:rPr>
        <w:t xml:space="preserve"> </w:t>
      </w:r>
      <w:r>
        <w:rPr>
          <w:rFonts w:ascii="FangSong" w:hAnsi="FangSong" w:eastAsia="FangSong" w:cs="FangSong"/>
          <w:sz w:val="24"/>
          <w:szCs w:val="24"/>
          <w:spacing w:val="-2"/>
        </w:rPr>
        <w:t>记录单并拍照记录。</w:t>
      </w:r>
    </w:p>
    <w:p>
      <w:pPr>
        <w:ind w:left="17" w:right="65" w:firstLine="477"/>
        <w:spacing w:line="360" w:lineRule="auto"/>
        <w:jc w:val="both"/>
        <w:rPr>
          <w:rFonts w:ascii="FangSong" w:hAnsi="FangSong" w:eastAsia="FangSong" w:cs="FangSong"/>
          <w:sz w:val="24"/>
          <w:szCs w:val="24"/>
        </w:rPr>
      </w:pPr>
      <w:r>
        <w:rPr>
          <w:rFonts w:ascii="FangSong" w:hAnsi="FangSong" w:eastAsia="FangSong" w:cs="FangSong"/>
          <w:sz w:val="24"/>
          <w:szCs w:val="24"/>
          <w:spacing w:val="-3"/>
        </w:rPr>
        <w:t>现场采样过程中需要对原采样点进行微调或重复取样的，由现场采样负责人填写点位变动</w:t>
      </w:r>
      <w:r>
        <w:rPr>
          <w:rFonts w:ascii="FangSong" w:hAnsi="FangSong" w:eastAsia="FangSong" w:cs="FangSong"/>
          <w:sz w:val="24"/>
          <w:szCs w:val="24"/>
          <w:spacing w:val="7"/>
        </w:rPr>
        <w:t xml:space="preserve"> </w:t>
      </w:r>
      <w:r>
        <w:rPr>
          <w:rFonts w:ascii="FangSong" w:hAnsi="FangSong" w:eastAsia="FangSong" w:cs="FangSong"/>
          <w:sz w:val="24"/>
          <w:szCs w:val="24"/>
          <w:spacing w:val="-3"/>
        </w:rPr>
        <w:t>备案表并经布点采样方案制定人、采样单位、现场质控负责人三方签字确认后实施，变动表进</w:t>
      </w:r>
      <w:r>
        <w:rPr>
          <w:rFonts w:ascii="FangSong" w:hAnsi="FangSong" w:eastAsia="FangSong" w:cs="FangSong"/>
          <w:sz w:val="24"/>
          <w:szCs w:val="24"/>
          <w:spacing w:val="10"/>
        </w:rPr>
        <w:t xml:space="preserve"> </w:t>
      </w:r>
      <w:r>
        <w:rPr>
          <w:rFonts w:ascii="FangSong" w:hAnsi="FangSong" w:eastAsia="FangSong" w:cs="FangSong"/>
          <w:sz w:val="24"/>
          <w:szCs w:val="24"/>
          <w:spacing w:val="-3"/>
        </w:rPr>
        <w:t>行电子归档。</w:t>
      </w:r>
    </w:p>
    <w:p>
      <w:pPr>
        <w:ind w:left="15" w:firstLine="483"/>
        <w:spacing w:before="2" w:line="359" w:lineRule="auto"/>
        <w:rPr>
          <w:rFonts w:ascii="FangSong" w:hAnsi="FangSong" w:eastAsia="FangSong" w:cs="FangSong"/>
          <w:sz w:val="24"/>
          <w:szCs w:val="24"/>
        </w:rPr>
      </w:pPr>
      <w:r>
        <w:rPr>
          <w:rFonts w:ascii="FangSong" w:hAnsi="FangSong" w:eastAsia="FangSong" w:cs="FangSong"/>
          <w:sz w:val="24"/>
          <w:szCs w:val="24"/>
          <w:spacing w:val="-7"/>
        </w:rPr>
        <w:t>土壤采样过程中严格按照技术规定做好地下情况探查、钻孔深度确认、</w:t>
      </w:r>
      <w:r>
        <w:rPr>
          <w:rFonts w:ascii="FangSong" w:hAnsi="FangSong" w:eastAsia="FangSong" w:cs="FangSong"/>
          <w:sz w:val="24"/>
          <w:szCs w:val="24"/>
          <w:spacing w:val="-8"/>
        </w:rPr>
        <w:t>钻井、取样等工作，</w:t>
      </w:r>
      <w:r>
        <w:rPr>
          <w:rFonts w:ascii="FangSong" w:hAnsi="FangSong" w:eastAsia="FangSong" w:cs="FangSong"/>
          <w:sz w:val="24"/>
          <w:szCs w:val="24"/>
        </w:rPr>
        <w:t xml:space="preserve"> </w:t>
      </w:r>
      <w:r>
        <w:rPr>
          <w:rFonts w:ascii="FangSong" w:hAnsi="FangSong" w:eastAsia="FangSong" w:cs="FangSong"/>
          <w:sz w:val="24"/>
          <w:szCs w:val="24"/>
          <w:spacing w:val="-1"/>
        </w:rPr>
        <w:t>现场钻井结束后由我单位采样质控组做好质控记录并拍照。</w:t>
      </w:r>
    </w:p>
    <w:p>
      <w:pPr>
        <w:pStyle w:val="BodyText"/>
        <w:ind w:left="8"/>
        <w:spacing w:before="1" w:line="219" w:lineRule="auto"/>
        <w:outlineLvl w:val="3"/>
        <w:rPr>
          <w:rFonts w:ascii="FangSong" w:hAnsi="FangSong" w:eastAsia="FangSong" w:cs="FangSong"/>
          <w:sz w:val="24"/>
          <w:szCs w:val="24"/>
        </w:rPr>
      </w:pPr>
      <w:r>
        <w:rPr>
          <w:sz w:val="24"/>
          <w:szCs w:val="24"/>
          <w:b/>
          <w:bCs/>
          <w:spacing w:val="-3"/>
        </w:rPr>
        <w:t>7.2.2.2</w:t>
      </w:r>
      <w:r>
        <w:rPr>
          <w:sz w:val="24"/>
          <w:szCs w:val="24"/>
          <w:b/>
          <w:bCs/>
          <w:spacing w:val="9"/>
        </w:rPr>
        <w:t xml:space="preserve">  </w:t>
      </w:r>
      <w:r>
        <w:rPr>
          <w:rFonts w:ascii="FangSong" w:hAnsi="FangSong" w:eastAsia="FangSong" w:cs="FangSong"/>
          <w:sz w:val="24"/>
          <w:szCs w:val="24"/>
          <w:b/>
          <w:bCs/>
          <w:spacing w:val="-3"/>
        </w:rPr>
        <w:t>土壤样品采集</w:t>
      </w:r>
    </w:p>
    <w:p>
      <w:pPr>
        <w:pStyle w:val="BodyText"/>
        <w:ind w:left="500"/>
        <w:spacing w:before="184" w:line="219" w:lineRule="auto"/>
        <w:rPr>
          <w:rFonts w:ascii="FangSong" w:hAnsi="FangSong" w:eastAsia="FangSong" w:cs="FangSong"/>
          <w:sz w:val="24"/>
          <w:szCs w:val="24"/>
        </w:rPr>
      </w:pPr>
      <w:r>
        <w:rPr>
          <w:rFonts w:ascii="FangSong" w:hAnsi="FangSong" w:eastAsia="FangSong" w:cs="FangSong"/>
          <w:sz w:val="24"/>
          <w:szCs w:val="24"/>
          <w:spacing w:val="-3"/>
        </w:rPr>
        <w:t>（</w:t>
      </w:r>
      <w:r>
        <w:rPr>
          <w:sz w:val="24"/>
          <w:szCs w:val="24"/>
          <w:spacing w:val="-3"/>
        </w:rPr>
        <w:t>1</w:t>
      </w:r>
      <w:r>
        <w:rPr>
          <w:rFonts w:ascii="FangSong" w:hAnsi="FangSong" w:eastAsia="FangSong" w:cs="FangSong"/>
          <w:sz w:val="24"/>
          <w:szCs w:val="24"/>
          <w:spacing w:val="-3"/>
        </w:rPr>
        <w:t>）样品采集操作</w:t>
      </w:r>
    </w:p>
    <w:p>
      <w:pPr>
        <w:ind w:left="13" w:right="8" w:firstLine="490"/>
        <w:spacing w:before="181" w:line="360" w:lineRule="auto"/>
        <w:rPr>
          <w:rFonts w:ascii="FangSong" w:hAnsi="FangSong" w:eastAsia="FangSong" w:cs="FangSong"/>
          <w:sz w:val="24"/>
          <w:szCs w:val="24"/>
        </w:rPr>
      </w:pPr>
      <w:r>
        <w:rPr>
          <w:rFonts w:ascii="FangSong" w:hAnsi="FangSong" w:eastAsia="FangSong" w:cs="FangSong"/>
          <w:sz w:val="24"/>
          <w:szCs w:val="24"/>
          <w:spacing w:val="-3"/>
        </w:rPr>
        <w:t>重金属样品采集采用塑料铲或竹铲，挥发性有机物用非扰动采样器，非挥发性和半挥</w:t>
      </w:r>
      <w:r>
        <w:rPr>
          <w:rFonts w:ascii="FangSong" w:hAnsi="FangSong" w:eastAsia="FangSong" w:cs="FangSong"/>
          <w:sz w:val="24"/>
          <w:szCs w:val="24"/>
          <w:spacing w:val="-4"/>
        </w:rPr>
        <w:t>发性</w:t>
      </w:r>
      <w:r>
        <w:rPr>
          <w:rFonts w:ascii="FangSong" w:hAnsi="FangSong" w:eastAsia="FangSong" w:cs="FangSong"/>
          <w:sz w:val="24"/>
          <w:szCs w:val="24"/>
        </w:rPr>
        <w:t xml:space="preserve"> </w:t>
      </w:r>
      <w:r>
        <w:rPr>
          <w:rFonts w:ascii="FangSong" w:hAnsi="FangSong" w:eastAsia="FangSong" w:cs="FangSong"/>
          <w:sz w:val="24"/>
          <w:szCs w:val="24"/>
          <w:spacing w:val="-1"/>
        </w:rPr>
        <w:t>有机物采用不锈钢铲或用表面镀特氧龙膜的采样铲。为避免扰动的影</w:t>
      </w:r>
      <w:r>
        <w:rPr>
          <w:rFonts w:ascii="FangSong" w:hAnsi="FangSong" w:eastAsia="FangSong" w:cs="FangSong"/>
          <w:sz w:val="24"/>
          <w:szCs w:val="24"/>
          <w:spacing w:val="-2"/>
        </w:rPr>
        <w:t>响，由浅及深逐一取样。</w:t>
      </w:r>
      <w:r>
        <w:rPr>
          <w:rFonts w:ascii="FangSong" w:hAnsi="FangSong" w:eastAsia="FangSong" w:cs="FangSong"/>
          <w:sz w:val="24"/>
          <w:szCs w:val="24"/>
        </w:rPr>
        <w:t xml:space="preserve"> </w:t>
      </w:r>
      <w:r>
        <w:rPr>
          <w:rFonts w:ascii="FangSong" w:hAnsi="FangSong" w:eastAsia="FangSong" w:cs="FangSong"/>
          <w:sz w:val="24"/>
          <w:szCs w:val="24"/>
        </w:rPr>
        <w:t>采样管密封后，在标签纸上记录样品编码、采样日期和采样人员等信息，</w:t>
      </w:r>
      <w:r>
        <w:rPr>
          <w:rFonts w:ascii="FangSong" w:hAnsi="FangSong" w:eastAsia="FangSong" w:cs="FangSong"/>
          <w:sz w:val="24"/>
          <w:szCs w:val="24"/>
        </w:rPr>
        <w:t xml:space="preserve"> </w:t>
      </w:r>
      <w:r>
        <w:rPr>
          <w:rFonts w:ascii="FangSong" w:hAnsi="FangSong" w:eastAsia="FangSong" w:cs="FangSong"/>
          <w:sz w:val="24"/>
          <w:szCs w:val="24"/>
        </w:rPr>
        <w:t>贴到样采样管上，</w:t>
      </w:r>
    </w:p>
    <w:p>
      <w:pPr>
        <w:spacing w:line="360" w:lineRule="auto"/>
        <w:sectPr>
          <w:headerReference w:type="default" r:id="rId62"/>
          <w:footerReference w:type="default" r:id="rId117"/>
          <w:pgSz w:w="11906" w:h="16839"/>
          <w:pgMar w:top="1139" w:right="1014" w:bottom="1252" w:left="1080" w:header="831" w:footer="1090" w:gutter="0"/>
        </w:sectPr>
        <w:rPr>
          <w:rFonts w:ascii="FangSong" w:hAnsi="FangSong" w:eastAsia="FangSong" w:cs="FangSong"/>
          <w:sz w:val="24"/>
          <w:szCs w:val="24"/>
        </w:rPr>
      </w:pPr>
    </w:p>
    <w:p>
      <w:pPr>
        <w:spacing w:line="332" w:lineRule="auto"/>
        <w:rPr>
          <w:rFonts w:ascii="Arial"/>
          <w:sz w:val="21"/>
        </w:rPr>
      </w:pPr>
      <w:r/>
    </w:p>
    <w:p>
      <w:pPr>
        <w:ind w:left="15" w:right="30" w:firstLine="11"/>
        <w:spacing w:before="78" w:line="360" w:lineRule="auto"/>
        <w:rPr>
          <w:rFonts w:ascii="FangSong" w:hAnsi="FangSong" w:eastAsia="FangSong" w:cs="FangSong"/>
          <w:sz w:val="24"/>
          <w:szCs w:val="24"/>
        </w:rPr>
      </w:pPr>
      <w:r>
        <w:rPr>
          <w:rFonts w:ascii="FangSong" w:hAnsi="FangSong" w:eastAsia="FangSong" w:cs="FangSong"/>
          <w:sz w:val="24"/>
          <w:szCs w:val="24"/>
          <w:spacing w:val="-3"/>
        </w:rPr>
        <w:t>随即放入现场带有冷冻蓝冰的样品箱内进行临时保存。含挥发性有机物的样品要优先采集、单</w:t>
      </w:r>
      <w:r>
        <w:rPr>
          <w:rFonts w:ascii="FangSong" w:hAnsi="FangSong" w:eastAsia="FangSong" w:cs="FangSong"/>
          <w:sz w:val="24"/>
          <w:szCs w:val="24"/>
          <w:spacing w:val="1"/>
        </w:rPr>
        <w:t xml:space="preserve"> </w:t>
      </w:r>
      <w:r>
        <w:rPr>
          <w:rFonts w:ascii="FangSong" w:hAnsi="FangSong" w:eastAsia="FangSong" w:cs="FangSong"/>
          <w:sz w:val="24"/>
          <w:szCs w:val="24"/>
          <w:spacing w:val="-1"/>
        </w:rPr>
        <w:t>独采集、不得均质化处理、不得采集混合样、应采集双份。</w:t>
      </w:r>
    </w:p>
    <w:p>
      <w:pPr>
        <w:pStyle w:val="BodyText"/>
        <w:ind w:left="16" w:right="30" w:firstLine="481"/>
        <w:spacing w:before="1" w:line="360" w:lineRule="auto"/>
        <w:jc w:val="both"/>
        <w:rPr>
          <w:rFonts w:ascii="FangSong" w:hAnsi="FangSong" w:eastAsia="FangSong" w:cs="FangSong"/>
          <w:sz w:val="24"/>
          <w:szCs w:val="24"/>
        </w:rPr>
      </w:pPr>
      <w:r>
        <w:rPr>
          <w:rFonts w:ascii="FangSong" w:hAnsi="FangSong" w:eastAsia="FangSong" w:cs="FangSong"/>
          <w:sz w:val="24"/>
          <w:szCs w:val="24"/>
          <w:spacing w:val="-2"/>
        </w:rPr>
        <w:t>土壤装入密封塑料袋中用于</w:t>
      </w:r>
      <w:r>
        <w:rPr>
          <w:sz w:val="24"/>
          <w:szCs w:val="24"/>
          <w:spacing w:val="-2"/>
        </w:rPr>
        <w:t>XRF</w:t>
      </w:r>
      <w:r>
        <w:rPr>
          <w:rFonts w:ascii="FangSong" w:hAnsi="FangSong" w:eastAsia="FangSong" w:cs="FangSong"/>
          <w:sz w:val="24"/>
          <w:szCs w:val="24"/>
          <w:spacing w:val="-2"/>
        </w:rPr>
        <w:t>分别检测</w:t>
      </w:r>
      <w:r>
        <w:rPr>
          <w:rFonts w:ascii="FangSong" w:hAnsi="FangSong" w:eastAsia="FangSong" w:cs="FangSong"/>
          <w:sz w:val="24"/>
          <w:szCs w:val="24"/>
          <w:spacing w:val="-3"/>
        </w:rPr>
        <w:t>土样中重金属的存在情况。同时通过目测判断该</w:t>
      </w:r>
      <w:r>
        <w:rPr>
          <w:rFonts w:ascii="FangSong" w:hAnsi="FangSong" w:eastAsia="FangSong" w:cs="FangSong"/>
          <w:sz w:val="24"/>
          <w:szCs w:val="24"/>
        </w:rPr>
        <w:t xml:space="preserve"> </w:t>
      </w:r>
      <w:r>
        <w:rPr>
          <w:rFonts w:ascii="FangSong" w:hAnsi="FangSong" w:eastAsia="FangSong" w:cs="FangSong"/>
          <w:sz w:val="24"/>
          <w:szCs w:val="24"/>
          <w:spacing w:val="-3"/>
        </w:rPr>
        <w:t>间隔段的土壤是否存在污染痕迹，现场污染观察结果和快速检测仪器分析的数据作为选择送检</w:t>
      </w:r>
      <w:r>
        <w:rPr>
          <w:rFonts w:ascii="FangSong" w:hAnsi="FangSong" w:eastAsia="FangSong" w:cs="FangSong"/>
          <w:sz w:val="24"/>
          <w:szCs w:val="24"/>
          <w:spacing w:val="11"/>
        </w:rPr>
        <w:t xml:space="preserve"> </w:t>
      </w:r>
      <w:r>
        <w:rPr>
          <w:rFonts w:ascii="FangSong" w:hAnsi="FangSong" w:eastAsia="FangSong" w:cs="FangSong"/>
          <w:sz w:val="24"/>
          <w:szCs w:val="24"/>
          <w:spacing w:val="-2"/>
        </w:rPr>
        <w:t>样品的参考条件。</w:t>
      </w:r>
      <w:r>
        <w:rPr>
          <w:sz w:val="24"/>
          <w:szCs w:val="24"/>
          <w:spacing w:val="-2"/>
        </w:rPr>
        <w:t>XRF</w:t>
      </w:r>
      <w:r>
        <w:rPr>
          <w:rFonts w:ascii="FangSong" w:hAnsi="FangSong" w:eastAsia="FangSong" w:cs="FangSong"/>
          <w:sz w:val="24"/>
          <w:szCs w:val="24"/>
          <w:spacing w:val="-2"/>
        </w:rPr>
        <w:t>可用于污染土壤中重金属的快速检测</w:t>
      </w:r>
      <w:r>
        <w:rPr>
          <w:rFonts w:ascii="FangSong" w:hAnsi="FangSong" w:eastAsia="FangSong" w:cs="FangSong"/>
          <w:sz w:val="24"/>
          <w:szCs w:val="24"/>
          <w:spacing w:val="-3"/>
        </w:rPr>
        <w:t>，不同土壤中重金属元素发出的特</w:t>
      </w:r>
      <w:r>
        <w:rPr>
          <w:rFonts w:ascii="FangSong" w:hAnsi="FangSong" w:eastAsia="FangSong" w:cs="FangSong"/>
          <w:sz w:val="24"/>
          <w:szCs w:val="24"/>
        </w:rPr>
        <w:t xml:space="preserve"> </w:t>
      </w:r>
      <w:r>
        <w:rPr>
          <w:rFonts w:ascii="FangSong" w:hAnsi="FangSong" w:eastAsia="FangSong" w:cs="FangSong"/>
          <w:sz w:val="24"/>
          <w:szCs w:val="24"/>
          <w:spacing w:val="1"/>
        </w:rPr>
        <w:t>征</w:t>
      </w:r>
      <w:r>
        <w:rPr>
          <w:sz w:val="24"/>
          <w:szCs w:val="24"/>
          <w:spacing w:val="1"/>
        </w:rPr>
        <w:t>X</w:t>
      </w:r>
      <w:r>
        <w:rPr>
          <w:rFonts w:ascii="FangSong" w:hAnsi="FangSong" w:eastAsia="FangSong" w:cs="FangSong"/>
          <w:sz w:val="24"/>
          <w:szCs w:val="24"/>
          <w:spacing w:val="1"/>
        </w:rPr>
        <w:t>射线能量和波长各不相同，因此通过对</w:t>
      </w:r>
      <w:r>
        <w:rPr>
          <w:rFonts w:ascii="FangSong" w:hAnsi="FangSong" w:eastAsia="FangSong" w:cs="FangSong"/>
          <w:sz w:val="24"/>
          <w:szCs w:val="24"/>
        </w:rPr>
        <w:t>特征</w:t>
      </w:r>
      <w:r>
        <w:rPr>
          <w:sz w:val="24"/>
          <w:szCs w:val="24"/>
        </w:rPr>
        <w:t>X</w:t>
      </w:r>
      <w:r>
        <w:rPr>
          <w:rFonts w:ascii="FangSong" w:hAnsi="FangSong" w:eastAsia="FangSong" w:cs="FangSong"/>
          <w:sz w:val="24"/>
          <w:szCs w:val="24"/>
        </w:rPr>
        <w:t>射线的能量的强弱检测，即可以得到土壤中</w:t>
      </w:r>
      <w:r>
        <w:rPr>
          <w:rFonts w:ascii="FangSong" w:hAnsi="FangSong" w:eastAsia="FangSong" w:cs="FangSong"/>
          <w:sz w:val="24"/>
          <w:szCs w:val="24"/>
        </w:rPr>
        <w:t xml:space="preserve"> </w:t>
      </w:r>
      <w:r>
        <w:rPr>
          <w:rFonts w:ascii="FangSong" w:hAnsi="FangSong" w:eastAsia="FangSong" w:cs="FangSong"/>
          <w:sz w:val="24"/>
          <w:szCs w:val="24"/>
          <w:spacing w:val="-2"/>
        </w:rPr>
        <w:t>重金属污染的浓度。</w:t>
      </w:r>
    </w:p>
    <w:p>
      <w:pPr>
        <w:pStyle w:val="BodyText"/>
        <w:ind w:left="500"/>
        <w:spacing w:line="219" w:lineRule="auto"/>
        <w:rPr>
          <w:rFonts w:ascii="FangSong" w:hAnsi="FangSong" w:eastAsia="FangSong" w:cs="FangSong"/>
          <w:sz w:val="24"/>
          <w:szCs w:val="24"/>
        </w:rPr>
      </w:pPr>
      <w:r>
        <w:rPr>
          <w:rFonts w:ascii="FangSong" w:hAnsi="FangSong" w:eastAsia="FangSong" w:cs="FangSong"/>
          <w:sz w:val="24"/>
          <w:szCs w:val="24"/>
          <w:spacing w:val="-3"/>
        </w:rPr>
        <w:t>（</w:t>
      </w:r>
      <w:r>
        <w:rPr>
          <w:sz w:val="24"/>
          <w:szCs w:val="24"/>
          <w:spacing w:val="-3"/>
        </w:rPr>
        <w:t>2</w:t>
      </w:r>
      <w:r>
        <w:rPr>
          <w:rFonts w:ascii="FangSong" w:hAnsi="FangSong" w:eastAsia="FangSong" w:cs="FangSong"/>
          <w:sz w:val="24"/>
          <w:szCs w:val="24"/>
          <w:spacing w:val="-3"/>
        </w:rPr>
        <w:t>）土壤平行样采集</w:t>
      </w:r>
    </w:p>
    <w:p>
      <w:pPr>
        <w:pStyle w:val="BodyText"/>
        <w:ind w:left="17" w:right="30" w:firstLine="479"/>
        <w:spacing w:before="181" w:line="360" w:lineRule="auto"/>
        <w:rPr>
          <w:rFonts w:ascii="FangSong" w:hAnsi="FangSong" w:eastAsia="FangSong" w:cs="FangSong"/>
          <w:sz w:val="24"/>
          <w:szCs w:val="24"/>
        </w:rPr>
      </w:pPr>
      <w:r>
        <w:rPr>
          <w:rFonts w:ascii="FangSong" w:hAnsi="FangSong" w:eastAsia="FangSong" w:cs="FangSong"/>
          <w:sz w:val="24"/>
          <w:szCs w:val="24"/>
        </w:rPr>
        <w:t>根据要求，地块内设</w:t>
      </w:r>
      <w:r>
        <w:rPr>
          <w:sz w:val="24"/>
          <w:szCs w:val="24"/>
        </w:rPr>
        <w:t>8</w:t>
      </w:r>
      <w:r>
        <w:rPr>
          <w:rFonts w:ascii="FangSong" w:hAnsi="FangSong" w:eastAsia="FangSong" w:cs="FangSong"/>
          <w:sz w:val="24"/>
          <w:szCs w:val="24"/>
        </w:rPr>
        <w:t>个监测点，其中</w:t>
      </w:r>
      <w:r>
        <w:rPr>
          <w:sz w:val="24"/>
          <w:szCs w:val="24"/>
        </w:rPr>
        <w:t>6</w:t>
      </w:r>
      <w:r>
        <w:rPr>
          <w:rFonts w:ascii="FangSong" w:hAnsi="FangSong" w:eastAsia="FangSong" w:cs="FangSong"/>
          <w:sz w:val="24"/>
          <w:szCs w:val="24"/>
        </w:rPr>
        <w:t>个表层土监测点，</w:t>
      </w:r>
      <w:r>
        <w:rPr>
          <w:sz w:val="24"/>
          <w:szCs w:val="24"/>
        </w:rPr>
        <w:t>2</w:t>
      </w:r>
      <w:r>
        <w:rPr>
          <w:rFonts w:ascii="FangSong" w:hAnsi="FangSong" w:eastAsia="FangSong" w:cs="FangSong"/>
          <w:sz w:val="24"/>
          <w:szCs w:val="24"/>
        </w:rPr>
        <w:t>个深层图监测点。土壤平行样</w:t>
      </w:r>
      <w:r>
        <w:rPr>
          <w:rFonts w:ascii="FangSong" w:hAnsi="FangSong" w:eastAsia="FangSong" w:cs="FangSong"/>
          <w:sz w:val="24"/>
          <w:szCs w:val="24"/>
          <w:spacing w:val="8"/>
        </w:rPr>
        <w:t xml:space="preserve"> </w:t>
      </w:r>
      <w:r>
        <w:rPr>
          <w:rFonts w:ascii="FangSong" w:hAnsi="FangSong" w:eastAsia="FangSong" w:cs="FangSong"/>
          <w:sz w:val="24"/>
          <w:szCs w:val="24"/>
          <w:spacing w:val="-2"/>
        </w:rPr>
        <w:t>不少于地块总样品数的</w:t>
      </w:r>
      <w:r>
        <w:rPr>
          <w:sz w:val="24"/>
          <w:szCs w:val="24"/>
          <w:spacing w:val="-2"/>
        </w:rPr>
        <w:t>10%</w:t>
      </w:r>
      <w:r>
        <w:rPr>
          <w:rFonts w:ascii="FangSong" w:hAnsi="FangSong" w:eastAsia="FangSong" w:cs="FangSong"/>
          <w:sz w:val="24"/>
          <w:szCs w:val="24"/>
          <w:spacing w:val="-2"/>
        </w:rPr>
        <w:t>，平行样在土样同一位置采集，在采样记录单中标注平行样编号及</w:t>
      </w:r>
      <w:r>
        <w:rPr>
          <w:rFonts w:ascii="FangSong" w:hAnsi="FangSong" w:eastAsia="FangSong" w:cs="FangSong"/>
          <w:sz w:val="24"/>
          <w:szCs w:val="24"/>
          <w:spacing w:val="11"/>
        </w:rPr>
        <w:t xml:space="preserve"> </w:t>
      </w:r>
      <w:r>
        <w:rPr>
          <w:rFonts w:ascii="FangSong" w:hAnsi="FangSong" w:eastAsia="FangSong" w:cs="FangSong"/>
          <w:sz w:val="24"/>
          <w:szCs w:val="24"/>
          <w:spacing w:val="-2"/>
        </w:rPr>
        <w:t>对应的土壤样品编号。</w:t>
      </w:r>
    </w:p>
    <w:p>
      <w:pPr>
        <w:pStyle w:val="BodyText"/>
        <w:ind w:left="500"/>
        <w:spacing w:before="1" w:line="219" w:lineRule="auto"/>
        <w:rPr>
          <w:rFonts w:ascii="FangSong" w:hAnsi="FangSong" w:eastAsia="FangSong" w:cs="FangSong"/>
          <w:sz w:val="24"/>
          <w:szCs w:val="24"/>
        </w:rPr>
      </w:pPr>
      <w:r>
        <w:rPr>
          <w:rFonts w:ascii="FangSong" w:hAnsi="FangSong" w:eastAsia="FangSong" w:cs="FangSong"/>
          <w:sz w:val="24"/>
          <w:szCs w:val="24"/>
          <w:spacing w:val="-2"/>
        </w:rPr>
        <w:t>（</w:t>
      </w:r>
      <w:r>
        <w:rPr>
          <w:sz w:val="24"/>
          <w:szCs w:val="24"/>
          <w:spacing w:val="-2"/>
        </w:rPr>
        <w:t>3</w:t>
      </w:r>
      <w:r>
        <w:rPr>
          <w:rFonts w:ascii="FangSong" w:hAnsi="FangSong" w:eastAsia="FangSong" w:cs="FangSong"/>
          <w:sz w:val="24"/>
          <w:szCs w:val="24"/>
          <w:spacing w:val="-2"/>
        </w:rPr>
        <w:t>）土壤样品采集拍照记录</w:t>
      </w:r>
    </w:p>
    <w:p>
      <w:pPr>
        <w:pStyle w:val="BodyText"/>
        <w:ind w:left="16" w:right="30" w:firstLine="481"/>
        <w:spacing w:before="183" w:line="360" w:lineRule="auto"/>
        <w:rPr>
          <w:rFonts w:ascii="FangSong" w:hAnsi="FangSong" w:eastAsia="FangSong" w:cs="FangSong"/>
          <w:sz w:val="24"/>
          <w:szCs w:val="24"/>
        </w:rPr>
      </w:pPr>
      <w:r>
        <w:rPr>
          <w:rFonts w:ascii="FangSong" w:hAnsi="FangSong" w:eastAsia="FangSong" w:cs="FangSong"/>
          <w:sz w:val="24"/>
          <w:szCs w:val="24"/>
          <w:spacing w:val="-6"/>
        </w:rPr>
        <w:t>土壤样品采集过程应针对采样工具、采集位置、取样过程、样品信息编号、</w:t>
      </w:r>
      <w:r>
        <w:rPr>
          <w:sz w:val="24"/>
          <w:szCs w:val="24"/>
          <w:spacing w:val="-6"/>
        </w:rPr>
        <w:t>VOCs</w:t>
      </w:r>
      <w:r>
        <w:rPr>
          <w:rFonts w:ascii="FangSong" w:hAnsi="FangSong" w:eastAsia="FangSong" w:cs="FangSong"/>
          <w:sz w:val="24"/>
          <w:szCs w:val="24"/>
          <w:spacing w:val="-6"/>
        </w:rPr>
        <w:t>和</w:t>
      </w:r>
      <w:r>
        <w:rPr>
          <w:sz w:val="24"/>
          <w:szCs w:val="24"/>
          <w:spacing w:val="-6"/>
        </w:rPr>
        <w:t>SVOCs</w:t>
      </w:r>
      <w:r>
        <w:rPr>
          <w:sz w:val="24"/>
          <w:szCs w:val="24"/>
          <w:spacing w:val="10"/>
        </w:rPr>
        <w:t xml:space="preserve"> </w:t>
      </w:r>
      <w:r>
        <w:rPr>
          <w:rFonts w:ascii="FangSong" w:hAnsi="FangSong" w:eastAsia="FangSong" w:cs="FangSong"/>
          <w:sz w:val="24"/>
          <w:szCs w:val="24"/>
          <w:spacing w:val="-3"/>
        </w:rPr>
        <w:t>采样瓶土壤装样过程、盛放岩芯样的岩芯箱、现场快速检测仪器使用等关键信息拍照记录，每</w:t>
      </w:r>
      <w:r>
        <w:rPr>
          <w:rFonts w:ascii="FangSong" w:hAnsi="FangSong" w:eastAsia="FangSong" w:cs="FangSong"/>
          <w:sz w:val="24"/>
          <w:szCs w:val="24"/>
          <w:spacing w:val="11"/>
        </w:rPr>
        <w:t xml:space="preserve"> </w:t>
      </w:r>
      <w:r>
        <w:rPr>
          <w:rFonts w:ascii="FangSong" w:hAnsi="FangSong" w:eastAsia="FangSong" w:cs="FangSong"/>
          <w:sz w:val="24"/>
          <w:szCs w:val="24"/>
        </w:rPr>
        <w:t>个关键信息拍摄</w:t>
      </w:r>
      <w:r>
        <w:rPr>
          <w:sz w:val="24"/>
          <w:szCs w:val="24"/>
        </w:rPr>
        <w:t>1</w:t>
      </w:r>
      <w:r>
        <w:rPr>
          <w:rFonts w:ascii="FangSong" w:hAnsi="FangSong" w:eastAsia="FangSong" w:cs="FangSong"/>
          <w:sz w:val="24"/>
          <w:szCs w:val="24"/>
        </w:rPr>
        <w:t>张照片，以备质量控制。在样品采集过程中，现场采样人员及时记录土壤样</w:t>
      </w:r>
      <w:r>
        <w:rPr>
          <w:rFonts w:ascii="FangSong" w:hAnsi="FangSong" w:eastAsia="FangSong" w:cs="FangSong"/>
          <w:sz w:val="24"/>
          <w:szCs w:val="24"/>
          <w:spacing w:val="8"/>
        </w:rPr>
        <w:t xml:space="preserve"> </w:t>
      </w:r>
      <w:r>
        <w:rPr>
          <w:rFonts w:ascii="FangSong" w:hAnsi="FangSong" w:eastAsia="FangSong" w:cs="FangSong"/>
          <w:sz w:val="24"/>
          <w:szCs w:val="24"/>
          <w:spacing w:val="-1"/>
        </w:rPr>
        <w:t>品现场观测情况，包括深度，土壤类型、颜色和气味等表观性状。</w:t>
      </w:r>
    </w:p>
    <w:p>
      <w:pPr>
        <w:pStyle w:val="BodyText"/>
        <w:ind w:left="500"/>
        <w:spacing w:before="1" w:line="221" w:lineRule="auto"/>
        <w:rPr>
          <w:rFonts w:ascii="FangSong" w:hAnsi="FangSong" w:eastAsia="FangSong" w:cs="FangSong"/>
          <w:sz w:val="24"/>
          <w:szCs w:val="24"/>
        </w:rPr>
      </w:pPr>
      <w:r>
        <w:rPr>
          <w:rFonts w:ascii="FangSong" w:hAnsi="FangSong" w:eastAsia="FangSong" w:cs="FangSong"/>
          <w:sz w:val="24"/>
          <w:szCs w:val="24"/>
          <w:spacing w:val="-3"/>
        </w:rPr>
        <w:t>（</w:t>
      </w:r>
      <w:r>
        <w:rPr>
          <w:sz w:val="24"/>
          <w:szCs w:val="24"/>
          <w:spacing w:val="-3"/>
        </w:rPr>
        <w:t>4</w:t>
      </w:r>
      <w:r>
        <w:rPr>
          <w:rFonts w:ascii="FangSong" w:hAnsi="FangSong" w:eastAsia="FangSong" w:cs="FangSong"/>
          <w:sz w:val="24"/>
          <w:szCs w:val="24"/>
          <w:spacing w:val="-3"/>
        </w:rPr>
        <w:t>）其他要求</w:t>
      </w:r>
    </w:p>
    <w:p>
      <w:pPr>
        <w:ind w:left="15" w:right="30" w:firstLine="482"/>
        <w:spacing w:before="179" w:line="360" w:lineRule="auto"/>
        <w:rPr>
          <w:rFonts w:ascii="FangSong" w:hAnsi="FangSong" w:eastAsia="FangSong" w:cs="FangSong"/>
          <w:sz w:val="24"/>
          <w:szCs w:val="24"/>
        </w:rPr>
      </w:pPr>
      <w:r>
        <w:rPr>
          <w:rFonts w:ascii="FangSong" w:hAnsi="FangSong" w:eastAsia="FangSong" w:cs="FangSong"/>
          <w:sz w:val="24"/>
          <w:szCs w:val="24"/>
          <w:spacing w:val="-3"/>
        </w:rPr>
        <w:t>土壤采样过程中做好人员安全和健康防护，佩戴安全帽和一次性的口罩、手套，严禁用手</w:t>
      </w:r>
      <w:r>
        <w:rPr>
          <w:rFonts w:ascii="FangSong" w:hAnsi="FangSong" w:eastAsia="FangSong" w:cs="FangSong"/>
          <w:sz w:val="24"/>
          <w:szCs w:val="24"/>
          <w:spacing w:val="3"/>
        </w:rPr>
        <w:t xml:space="preserve"> </w:t>
      </w:r>
      <w:r>
        <w:rPr>
          <w:rFonts w:ascii="FangSong" w:hAnsi="FangSong" w:eastAsia="FangSong" w:cs="FangSong"/>
          <w:sz w:val="24"/>
          <w:szCs w:val="24"/>
          <w:spacing w:val="-3"/>
        </w:rPr>
        <w:t>直接采集土样，使用后废弃的个人防护用品应统一收集处置；采样前后应对采样器进行除污和</w:t>
      </w:r>
      <w:r>
        <w:rPr>
          <w:rFonts w:ascii="FangSong" w:hAnsi="FangSong" w:eastAsia="FangSong" w:cs="FangSong"/>
          <w:sz w:val="24"/>
          <w:szCs w:val="24"/>
          <w:spacing w:val="12"/>
        </w:rPr>
        <w:t xml:space="preserve"> </w:t>
      </w:r>
      <w:r>
        <w:rPr>
          <w:rFonts w:ascii="FangSong" w:hAnsi="FangSong" w:eastAsia="FangSong" w:cs="FangSong"/>
          <w:sz w:val="24"/>
          <w:szCs w:val="24"/>
          <w:spacing w:val="-1"/>
        </w:rPr>
        <w:t>清洗，不同土壤样品采集应更换手套，避免交叉污染。</w:t>
      </w:r>
    </w:p>
    <w:p>
      <w:pPr>
        <w:pStyle w:val="BodyText"/>
        <w:ind w:left="8"/>
        <w:spacing w:before="1" w:line="222" w:lineRule="auto"/>
        <w:outlineLvl w:val="2"/>
        <w:rPr>
          <w:rFonts w:ascii="FangSong" w:hAnsi="FangSong" w:eastAsia="FangSong" w:cs="FangSong"/>
          <w:sz w:val="24"/>
          <w:szCs w:val="24"/>
        </w:rPr>
      </w:pPr>
      <w:r>
        <w:rPr>
          <w:sz w:val="24"/>
          <w:szCs w:val="24"/>
          <w:b/>
          <w:bCs/>
          <w:spacing w:val="-4"/>
        </w:rPr>
        <w:t>7.2.3</w:t>
      </w:r>
      <w:r>
        <w:rPr>
          <w:sz w:val="24"/>
          <w:szCs w:val="24"/>
          <w:b/>
          <w:bCs/>
          <w:spacing w:val="8"/>
        </w:rPr>
        <w:t xml:space="preserve">  </w:t>
      </w:r>
      <w:r>
        <w:rPr>
          <w:rFonts w:ascii="FangSong" w:hAnsi="FangSong" w:eastAsia="FangSong" w:cs="FangSong"/>
          <w:sz w:val="24"/>
          <w:szCs w:val="24"/>
          <w:b/>
          <w:bCs/>
          <w:spacing w:val="-4"/>
        </w:rPr>
        <w:t>地下水</w:t>
      </w:r>
    </w:p>
    <w:p>
      <w:pPr>
        <w:pStyle w:val="BodyText"/>
        <w:ind w:left="8"/>
        <w:spacing w:before="180" w:line="219" w:lineRule="auto"/>
        <w:outlineLvl w:val="3"/>
        <w:rPr>
          <w:rFonts w:ascii="FangSong" w:hAnsi="FangSong" w:eastAsia="FangSong" w:cs="FangSong"/>
          <w:sz w:val="24"/>
          <w:szCs w:val="24"/>
        </w:rPr>
      </w:pPr>
      <w:r>
        <w:rPr>
          <w:sz w:val="24"/>
          <w:szCs w:val="24"/>
          <w:b/>
          <w:bCs/>
          <w:spacing w:val="-2"/>
        </w:rPr>
        <w:t>7.2.3.1  </w:t>
      </w:r>
      <w:r>
        <w:rPr>
          <w:rFonts w:ascii="FangSong" w:hAnsi="FangSong" w:eastAsia="FangSong" w:cs="FangSong"/>
          <w:sz w:val="24"/>
          <w:szCs w:val="24"/>
          <w:b/>
          <w:bCs/>
          <w:spacing w:val="-2"/>
        </w:rPr>
        <w:t>地下水采样井建设</w:t>
      </w:r>
    </w:p>
    <w:p>
      <w:pPr>
        <w:ind w:left="500"/>
        <w:spacing w:before="183" w:line="222" w:lineRule="auto"/>
        <w:rPr>
          <w:rFonts w:ascii="FangSong" w:hAnsi="FangSong" w:eastAsia="FangSong" w:cs="FangSong"/>
          <w:sz w:val="24"/>
          <w:szCs w:val="24"/>
        </w:rPr>
      </w:pPr>
      <w:r>
        <w:rPr>
          <w:rFonts w:ascii="FangSong" w:hAnsi="FangSong" w:eastAsia="FangSong" w:cs="FangSong"/>
          <w:sz w:val="24"/>
          <w:szCs w:val="24"/>
          <w:spacing w:val="-3"/>
        </w:rPr>
        <w:t>（一）地下水钻探设备</w:t>
      </w:r>
    </w:p>
    <w:p>
      <w:pPr>
        <w:pStyle w:val="BodyText"/>
        <w:spacing w:before="179" w:line="219" w:lineRule="auto"/>
        <w:jc w:val="right"/>
        <w:rPr>
          <w:rFonts w:ascii="FangSong" w:hAnsi="FangSong" w:eastAsia="FangSong" w:cs="FangSong"/>
          <w:sz w:val="24"/>
          <w:szCs w:val="24"/>
        </w:rPr>
      </w:pPr>
      <w:r>
        <w:rPr>
          <w:rFonts w:ascii="FangSong" w:hAnsi="FangSong" w:eastAsia="FangSong" w:cs="FangSong"/>
          <w:sz w:val="24"/>
          <w:szCs w:val="24"/>
          <w:spacing w:val="-2"/>
        </w:rPr>
        <w:t>同土壤样品采样一样，选择</w:t>
      </w:r>
      <w:r>
        <w:rPr>
          <w:sz w:val="24"/>
          <w:szCs w:val="24"/>
          <w:spacing w:val="-2"/>
        </w:rPr>
        <w:t>GEOPROBE</w:t>
      </w:r>
      <w:r>
        <w:rPr>
          <w:rFonts w:ascii="FangSong" w:hAnsi="FangSong" w:eastAsia="FangSong" w:cs="FangSong"/>
          <w:sz w:val="24"/>
          <w:szCs w:val="24"/>
          <w:spacing w:val="-2"/>
        </w:rPr>
        <w:t>（</w:t>
      </w:r>
      <w:r>
        <w:rPr>
          <w:sz w:val="24"/>
          <w:szCs w:val="24"/>
          <w:spacing w:val="-2"/>
        </w:rPr>
        <w:t>GP</w:t>
      </w:r>
      <w:r>
        <w:rPr>
          <w:rFonts w:ascii="FangSong" w:hAnsi="FangSong" w:eastAsia="FangSong" w:cs="FangSong"/>
          <w:sz w:val="24"/>
          <w:szCs w:val="24"/>
          <w:spacing w:val="-2"/>
        </w:rPr>
        <w:t>）</w:t>
      </w:r>
      <w:r>
        <w:rPr>
          <w:sz w:val="24"/>
          <w:szCs w:val="24"/>
          <w:spacing w:val="-2"/>
        </w:rPr>
        <w:t>7822DT</w:t>
      </w:r>
      <w:r>
        <w:rPr>
          <w:rFonts w:ascii="FangSong" w:hAnsi="FangSong" w:eastAsia="FangSong" w:cs="FangSong"/>
          <w:sz w:val="24"/>
          <w:szCs w:val="24"/>
          <w:spacing w:val="-2"/>
        </w:rPr>
        <w:t>等直推式钻机进行地下水孔钻探。</w:t>
      </w:r>
    </w:p>
    <w:p>
      <w:pPr>
        <w:ind w:left="500"/>
        <w:spacing w:before="184" w:line="219" w:lineRule="auto"/>
        <w:rPr>
          <w:rFonts w:ascii="FangSong" w:hAnsi="FangSong" w:eastAsia="FangSong" w:cs="FangSong"/>
          <w:sz w:val="24"/>
          <w:szCs w:val="24"/>
        </w:rPr>
      </w:pPr>
      <w:r>
        <w:rPr>
          <w:rFonts w:ascii="FangSong" w:hAnsi="FangSong" w:eastAsia="FangSong" w:cs="FangSong"/>
          <w:sz w:val="24"/>
          <w:szCs w:val="24"/>
          <w:spacing w:val="-3"/>
        </w:rPr>
        <w:t>（二）采样井建设</w:t>
      </w:r>
    </w:p>
    <w:p>
      <w:pPr>
        <w:pStyle w:val="BodyText"/>
        <w:ind w:left="15" w:right="32" w:firstLine="482"/>
        <w:spacing w:before="182" w:line="360" w:lineRule="auto"/>
        <w:rPr>
          <w:rFonts w:ascii="FangSong" w:hAnsi="FangSong" w:eastAsia="FangSong" w:cs="FangSong"/>
          <w:sz w:val="24"/>
          <w:szCs w:val="24"/>
        </w:rPr>
      </w:pPr>
      <w:r>
        <w:rPr>
          <w:rFonts w:ascii="FangSong" w:hAnsi="FangSong" w:eastAsia="FangSong" w:cs="FangSong"/>
          <w:sz w:val="24"/>
          <w:szCs w:val="24"/>
          <w:spacing w:val="-4"/>
        </w:rPr>
        <w:t>采样井设计：采样井结构示意图见图</w:t>
      </w:r>
      <w:r>
        <w:rPr>
          <w:sz w:val="24"/>
          <w:szCs w:val="24"/>
          <w:spacing w:val="-4"/>
        </w:rPr>
        <w:t>7.2-2</w:t>
      </w:r>
      <w:r>
        <w:rPr>
          <w:sz w:val="24"/>
          <w:szCs w:val="24"/>
          <w:spacing w:val="-27"/>
        </w:rPr>
        <w:t xml:space="preserve"> </w:t>
      </w:r>
      <w:r>
        <w:rPr>
          <w:rFonts w:ascii="FangSong" w:hAnsi="FangSong" w:eastAsia="FangSong" w:cs="FangSong"/>
          <w:sz w:val="24"/>
          <w:szCs w:val="24"/>
          <w:spacing w:val="-4"/>
        </w:rPr>
        <w:t>，具体包括井管、滤水管、过滤管、沉淀管、填</w:t>
      </w:r>
      <w:r>
        <w:rPr>
          <w:rFonts w:ascii="FangSong" w:hAnsi="FangSong" w:eastAsia="FangSong" w:cs="FangSong"/>
          <w:sz w:val="24"/>
          <w:szCs w:val="24"/>
        </w:rPr>
        <w:t xml:space="preserve"> </w:t>
      </w:r>
      <w:r>
        <w:rPr>
          <w:rFonts w:ascii="FangSong" w:hAnsi="FangSong" w:eastAsia="FangSong" w:cs="FangSong"/>
          <w:sz w:val="24"/>
          <w:szCs w:val="24"/>
          <w:spacing w:val="-3"/>
        </w:rPr>
        <w:t>料、管盖等。</w:t>
      </w:r>
    </w:p>
    <w:p>
      <w:pPr>
        <w:spacing w:line="360" w:lineRule="auto"/>
        <w:sectPr>
          <w:headerReference w:type="default" r:id="rId119"/>
          <w:footerReference w:type="default" r:id="rId120"/>
          <w:pgSz w:w="11906" w:h="16839"/>
          <w:pgMar w:top="1139" w:right="1049" w:bottom="1252" w:left="1080" w:header="831" w:footer="1090" w:gutter="0"/>
        </w:sectPr>
        <w:rPr>
          <w:rFonts w:ascii="FangSong" w:hAnsi="FangSong" w:eastAsia="FangSong" w:cs="FangSong"/>
          <w:sz w:val="24"/>
          <w:szCs w:val="24"/>
        </w:rPr>
      </w:pPr>
    </w:p>
    <w:p>
      <w:pPr>
        <w:spacing w:line="322" w:lineRule="auto"/>
        <w:rPr>
          <w:rFonts w:ascii="Arial"/>
          <w:sz w:val="21"/>
        </w:rPr>
      </w:pPr>
      <w:r/>
    </w:p>
    <w:p>
      <w:pPr>
        <w:ind w:firstLine="2337"/>
        <w:spacing w:line="7428" w:lineRule="exact"/>
        <w:rPr/>
      </w:pPr>
      <w:r>
        <w:rPr>
          <w:position w:val="-148"/>
        </w:rPr>
        <w:drawing>
          <wp:inline distT="0" distB="0" distL="0" distR="0">
            <wp:extent cx="3204971" cy="4716779"/>
            <wp:effectExtent l="0" t="0" r="0" b="0"/>
            <wp:docPr id="88" name="IM 88"/>
            <wp:cNvGraphicFramePr/>
            <a:graphic>
              <a:graphicData uri="http://schemas.openxmlformats.org/drawingml/2006/picture">
                <pic:pic>
                  <pic:nvPicPr>
                    <pic:cNvPr id="88" name="IM 88"/>
                    <pic:cNvPicPr/>
                  </pic:nvPicPr>
                  <pic:blipFill>
                    <a:blip r:embed="rId122"/>
                    <a:stretch>
                      <a:fillRect/>
                    </a:stretch>
                  </pic:blipFill>
                  <pic:spPr>
                    <a:xfrm rot="0">
                      <a:off x="0" y="0"/>
                      <a:ext cx="3204971" cy="4716779"/>
                    </a:xfrm>
                    <a:prstGeom prst="rect">
                      <a:avLst/>
                    </a:prstGeom>
                  </pic:spPr>
                </pic:pic>
              </a:graphicData>
            </a:graphic>
          </wp:inline>
        </w:drawing>
      </w:r>
    </w:p>
    <w:p>
      <w:pPr>
        <w:pStyle w:val="BodyText"/>
        <w:ind w:left="3096"/>
        <w:spacing w:before="150" w:line="219" w:lineRule="auto"/>
        <w:rPr>
          <w:rFonts w:ascii="FangSong" w:hAnsi="FangSong" w:eastAsia="FangSong" w:cs="FangSong"/>
          <w:sz w:val="24"/>
          <w:szCs w:val="24"/>
        </w:rPr>
      </w:pPr>
      <w:r>
        <w:rPr>
          <w:rFonts w:ascii="FangSong" w:hAnsi="FangSong" w:eastAsia="FangSong" w:cs="FangSong"/>
          <w:sz w:val="24"/>
          <w:szCs w:val="24"/>
          <w:b/>
          <w:bCs/>
          <w:spacing w:val="-3"/>
        </w:rPr>
        <w:t>图</w:t>
      </w:r>
      <w:r>
        <w:rPr>
          <w:sz w:val="24"/>
          <w:szCs w:val="24"/>
          <w:b/>
          <w:bCs/>
          <w:spacing w:val="-3"/>
        </w:rPr>
        <w:t>7.2-2    </w:t>
      </w:r>
      <w:r>
        <w:rPr>
          <w:rFonts w:ascii="FangSong" w:hAnsi="FangSong" w:eastAsia="FangSong" w:cs="FangSong"/>
          <w:sz w:val="24"/>
          <w:szCs w:val="24"/>
          <w:b/>
          <w:bCs/>
          <w:spacing w:val="-3"/>
        </w:rPr>
        <w:t>地下水采样井结构示意图</w:t>
      </w:r>
    </w:p>
    <w:p>
      <w:pPr>
        <w:pStyle w:val="BodyText"/>
        <w:ind w:left="15" w:right="17" w:firstLine="481"/>
        <w:spacing w:before="182" w:line="360" w:lineRule="auto"/>
        <w:jc w:val="both"/>
        <w:rPr>
          <w:rFonts w:ascii="FangSong" w:hAnsi="FangSong" w:eastAsia="FangSong" w:cs="FangSong"/>
          <w:sz w:val="24"/>
          <w:szCs w:val="24"/>
        </w:rPr>
      </w:pPr>
      <w:r>
        <w:rPr>
          <w:rFonts w:ascii="FangSong" w:hAnsi="FangSong" w:eastAsia="FangSong" w:cs="FangSong"/>
          <w:sz w:val="24"/>
          <w:szCs w:val="24"/>
          <w:spacing w:val="-3"/>
        </w:rPr>
        <w:t>使用直推式钻机开展地下水采样井钻探，该类设备能够满足本场地的水文地质特点。地下</w:t>
      </w:r>
      <w:r>
        <w:rPr>
          <w:rFonts w:ascii="FangSong" w:hAnsi="FangSong" w:eastAsia="FangSong" w:cs="FangSong"/>
          <w:sz w:val="24"/>
          <w:szCs w:val="24"/>
          <w:spacing w:val="5"/>
        </w:rPr>
        <w:t xml:space="preserve"> </w:t>
      </w:r>
      <w:r>
        <w:rPr>
          <w:rFonts w:ascii="FangSong" w:hAnsi="FangSong" w:eastAsia="FangSong" w:cs="FangSong"/>
          <w:sz w:val="24"/>
          <w:szCs w:val="24"/>
          <w:spacing w:val="-4"/>
        </w:rPr>
        <w:t>水采样井井管内径不小于</w:t>
      </w:r>
      <w:r>
        <w:rPr>
          <w:sz w:val="24"/>
          <w:szCs w:val="24"/>
          <w:spacing w:val="-4"/>
        </w:rPr>
        <w:t>50mm</w:t>
      </w:r>
      <w:r>
        <w:rPr>
          <w:rFonts w:ascii="FangSong" w:hAnsi="FangSong" w:eastAsia="FangSong" w:cs="FangSong"/>
          <w:sz w:val="24"/>
          <w:szCs w:val="24"/>
          <w:spacing w:val="-4"/>
        </w:rPr>
        <w:t>，采用聚氯乙烯（</w:t>
      </w:r>
      <w:r>
        <w:rPr>
          <w:sz w:val="24"/>
          <w:szCs w:val="24"/>
          <w:spacing w:val="-4"/>
        </w:rPr>
        <w:t>PVC</w:t>
      </w:r>
      <w:r>
        <w:rPr>
          <w:rFonts w:ascii="FangSong" w:hAnsi="FangSong" w:eastAsia="FangSong" w:cs="FangSong"/>
          <w:sz w:val="24"/>
          <w:szCs w:val="24"/>
          <w:spacing w:val="-4"/>
        </w:rPr>
        <w:t>）材质管件，井管连接采用螺纹或卡扣，</w:t>
      </w:r>
      <w:r>
        <w:rPr>
          <w:rFonts w:ascii="FangSong" w:hAnsi="FangSong" w:eastAsia="FangSong" w:cs="FangSong"/>
          <w:sz w:val="24"/>
          <w:szCs w:val="24"/>
          <w:spacing w:val="11"/>
        </w:rPr>
        <w:t xml:space="preserve"> </w:t>
      </w:r>
      <w:r>
        <w:rPr>
          <w:rFonts w:ascii="FangSong" w:hAnsi="FangSong" w:eastAsia="FangSong" w:cs="FangSong"/>
          <w:sz w:val="24"/>
          <w:szCs w:val="24"/>
          <w:spacing w:val="-1"/>
        </w:rPr>
        <w:t>不使用粘结剂。井管连接后，各井管轴心线应保持一致。</w:t>
      </w:r>
    </w:p>
    <w:p>
      <w:pPr>
        <w:pStyle w:val="BodyText"/>
        <w:ind w:left="15" w:firstLine="481"/>
        <w:spacing w:before="4" w:line="359" w:lineRule="auto"/>
        <w:jc w:val="both"/>
        <w:rPr>
          <w:rFonts w:ascii="FangSong" w:hAnsi="FangSong" w:eastAsia="FangSong" w:cs="FangSong"/>
          <w:sz w:val="24"/>
          <w:szCs w:val="24"/>
        </w:rPr>
      </w:pPr>
      <w:r>
        <w:rPr>
          <w:rFonts w:ascii="FangSong" w:hAnsi="FangSong" w:eastAsia="FangSong" w:cs="FangSong"/>
          <w:sz w:val="24"/>
          <w:szCs w:val="24"/>
          <w:spacing w:val="1"/>
        </w:rPr>
        <w:t>地下水水位以下的滤水管长度不宜超过</w:t>
      </w:r>
      <w:r>
        <w:rPr>
          <w:sz w:val="24"/>
          <w:szCs w:val="24"/>
          <w:spacing w:val="1"/>
        </w:rPr>
        <w:t>3m</w:t>
      </w:r>
      <w:r>
        <w:rPr>
          <w:sz w:val="24"/>
          <w:szCs w:val="24"/>
          <w:spacing w:val="-24"/>
        </w:rPr>
        <w:t xml:space="preserve"> </w:t>
      </w:r>
      <w:r>
        <w:rPr>
          <w:rFonts w:ascii="FangSong" w:hAnsi="FangSong" w:eastAsia="FangSong" w:cs="FangSong"/>
          <w:sz w:val="24"/>
          <w:szCs w:val="24"/>
          <w:spacing w:val="1"/>
        </w:rPr>
        <w:t>，地下水水位</w:t>
      </w:r>
      <w:r>
        <w:rPr>
          <w:rFonts w:ascii="FangSong" w:hAnsi="FangSong" w:eastAsia="FangSong" w:cs="FangSong"/>
          <w:sz w:val="24"/>
          <w:szCs w:val="24"/>
        </w:rPr>
        <w:t>以上的滤水管长度根据地下水水</w:t>
      </w:r>
      <w:r>
        <w:rPr>
          <w:rFonts w:ascii="FangSong" w:hAnsi="FangSong" w:eastAsia="FangSong" w:cs="FangSong"/>
          <w:sz w:val="24"/>
          <w:szCs w:val="24"/>
        </w:rPr>
        <w:t xml:space="preserve"> </w:t>
      </w:r>
      <w:r>
        <w:rPr>
          <w:rFonts w:ascii="FangSong" w:hAnsi="FangSong" w:eastAsia="FangSong" w:cs="FangSong"/>
          <w:sz w:val="24"/>
          <w:szCs w:val="24"/>
          <w:spacing w:val="-3"/>
        </w:rPr>
        <w:t>位情况现场确定。滤水管应置于拟取样含水层中以取得代表性水样。若地下水中可能或已经发</w:t>
      </w:r>
      <w:r>
        <w:rPr>
          <w:rFonts w:ascii="FangSong" w:hAnsi="FangSong" w:eastAsia="FangSong" w:cs="FangSong"/>
          <w:sz w:val="24"/>
          <w:szCs w:val="24"/>
          <w:spacing w:val="13"/>
        </w:rPr>
        <w:t xml:space="preserve"> </w:t>
      </w:r>
      <w:r>
        <w:rPr>
          <w:rFonts w:ascii="FangSong" w:hAnsi="FangSong" w:eastAsia="FangSong" w:cs="FangSong"/>
          <w:sz w:val="24"/>
          <w:szCs w:val="24"/>
          <w:spacing w:val="1"/>
        </w:rPr>
        <w:t>现存在低密度非水相液体（</w:t>
      </w:r>
      <w:r>
        <w:rPr>
          <w:sz w:val="24"/>
          <w:szCs w:val="24"/>
        </w:rPr>
        <w:t>LNAPL</w:t>
      </w:r>
      <w:r>
        <w:rPr>
          <w:rFonts w:ascii="FangSong" w:hAnsi="FangSong" w:eastAsia="FangSong" w:cs="FangSong"/>
          <w:sz w:val="24"/>
          <w:szCs w:val="24"/>
          <w:spacing w:val="19"/>
        </w:rPr>
        <w:t>），</w:t>
      </w:r>
      <w:r>
        <w:rPr>
          <w:rFonts w:ascii="FangSong" w:hAnsi="FangSong" w:eastAsia="FangSong" w:cs="FangSong"/>
          <w:sz w:val="24"/>
          <w:szCs w:val="24"/>
          <w:spacing w:val="1"/>
        </w:rPr>
        <w:t>滤水管位置应达到潜水面处；若地下水中可能或已经</w:t>
      </w:r>
      <w:r>
        <w:rPr>
          <w:rFonts w:ascii="FangSong" w:hAnsi="FangSong" w:eastAsia="FangSong" w:cs="FangSong"/>
          <w:sz w:val="24"/>
          <w:szCs w:val="24"/>
          <w:spacing w:val="1"/>
        </w:rPr>
        <w:t xml:space="preserve"> </w:t>
      </w:r>
      <w:r>
        <w:rPr>
          <w:rFonts w:ascii="FangSong" w:hAnsi="FangSong" w:eastAsia="FangSong" w:cs="FangSong"/>
          <w:sz w:val="24"/>
          <w:szCs w:val="24"/>
          <w:spacing w:val="-2"/>
        </w:rPr>
        <w:t>发现存在高密度非水相液体（</w:t>
      </w:r>
      <w:r>
        <w:rPr>
          <w:sz w:val="24"/>
          <w:szCs w:val="24"/>
          <w:spacing w:val="-2"/>
        </w:rPr>
        <w:t>DNAPL</w:t>
      </w:r>
      <w:r>
        <w:rPr>
          <w:rFonts w:ascii="FangSong" w:hAnsi="FangSong" w:eastAsia="FangSong" w:cs="FangSong"/>
          <w:sz w:val="24"/>
          <w:szCs w:val="24"/>
          <w:spacing w:val="-4"/>
        </w:rPr>
        <w:t>），</w:t>
      </w:r>
      <w:r>
        <w:rPr>
          <w:rFonts w:ascii="FangSong" w:hAnsi="FangSong" w:eastAsia="FangSong" w:cs="FangSong"/>
          <w:sz w:val="24"/>
          <w:szCs w:val="24"/>
          <w:spacing w:val="-2"/>
        </w:rPr>
        <w:t>滤水管应达到</w:t>
      </w:r>
      <w:r>
        <w:rPr>
          <w:rFonts w:ascii="FangSong" w:hAnsi="FangSong" w:eastAsia="FangSong" w:cs="FangSong"/>
          <w:sz w:val="24"/>
          <w:szCs w:val="24"/>
          <w:spacing w:val="-3"/>
        </w:rPr>
        <w:t>潜水层的底部，但应避免穿透隔水层。</w:t>
      </w:r>
    </w:p>
    <w:p>
      <w:pPr>
        <w:pStyle w:val="BodyText"/>
        <w:ind w:left="15" w:right="83" w:firstLine="481"/>
        <w:spacing w:before="1" w:line="360" w:lineRule="auto"/>
        <w:jc w:val="both"/>
        <w:rPr>
          <w:rFonts w:ascii="FangSong" w:hAnsi="FangSong" w:eastAsia="FangSong" w:cs="FangSong"/>
          <w:sz w:val="24"/>
          <w:szCs w:val="24"/>
        </w:rPr>
      </w:pPr>
      <w:r>
        <w:rPr>
          <w:rFonts w:ascii="FangSong" w:hAnsi="FangSong" w:eastAsia="FangSong" w:cs="FangSong"/>
          <w:sz w:val="24"/>
          <w:szCs w:val="24"/>
          <w:spacing w:val="-2"/>
        </w:rPr>
        <w:t>滤水管选用缝宽</w:t>
      </w:r>
      <w:r>
        <w:rPr>
          <w:sz w:val="24"/>
          <w:szCs w:val="24"/>
          <w:spacing w:val="-2"/>
        </w:rPr>
        <w:t>0.2mm~0.5mm</w:t>
      </w:r>
      <w:r>
        <w:rPr>
          <w:rFonts w:ascii="FangSong" w:hAnsi="FangSong" w:eastAsia="FangSong" w:cs="FangSong"/>
          <w:sz w:val="24"/>
          <w:szCs w:val="24"/>
          <w:spacing w:val="-2"/>
        </w:rPr>
        <w:t>的割缝管，要求孔</w:t>
      </w:r>
      <w:r>
        <w:rPr>
          <w:rFonts w:ascii="FangSong" w:hAnsi="FangSong" w:eastAsia="FangSong" w:cs="FangSong"/>
          <w:sz w:val="24"/>
          <w:szCs w:val="24"/>
          <w:spacing w:val="-3"/>
        </w:rPr>
        <w:t>隙能够阻挡</w:t>
      </w:r>
      <w:r>
        <w:rPr>
          <w:sz w:val="24"/>
          <w:szCs w:val="24"/>
          <w:spacing w:val="-3"/>
        </w:rPr>
        <w:t>90%</w:t>
      </w:r>
      <w:r>
        <w:rPr>
          <w:rFonts w:ascii="FangSong" w:hAnsi="FangSong" w:eastAsia="FangSong" w:cs="FangSong"/>
          <w:sz w:val="24"/>
          <w:szCs w:val="24"/>
          <w:spacing w:val="-3"/>
        </w:rPr>
        <w:t>的滤层材料。沉淀管的长</w:t>
      </w:r>
      <w:r>
        <w:rPr>
          <w:rFonts w:ascii="FangSong" w:hAnsi="FangSong" w:eastAsia="FangSong" w:cs="FangSong"/>
          <w:sz w:val="24"/>
          <w:szCs w:val="24"/>
        </w:rPr>
        <w:t xml:space="preserve"> </w:t>
      </w:r>
      <w:r>
        <w:rPr>
          <w:rFonts w:ascii="FangSong" w:hAnsi="FangSong" w:eastAsia="FangSong" w:cs="FangSong"/>
          <w:sz w:val="24"/>
          <w:szCs w:val="24"/>
          <w:spacing w:val="-2"/>
        </w:rPr>
        <w:t>度一般为</w:t>
      </w:r>
      <w:r>
        <w:rPr>
          <w:sz w:val="24"/>
          <w:szCs w:val="24"/>
          <w:spacing w:val="-2"/>
        </w:rPr>
        <w:t>50cm</w:t>
      </w:r>
      <w:r>
        <w:rPr>
          <w:rFonts w:ascii="FangSong" w:hAnsi="FangSong" w:eastAsia="FangSong" w:cs="FangSong"/>
          <w:sz w:val="24"/>
          <w:szCs w:val="24"/>
          <w:spacing w:val="-2"/>
        </w:rPr>
        <w:t>。若含水层厚度超过</w:t>
      </w:r>
      <w:r>
        <w:rPr>
          <w:rFonts w:ascii="FangSong" w:hAnsi="FangSong" w:eastAsia="FangSong" w:cs="FangSong"/>
          <w:sz w:val="24"/>
          <w:szCs w:val="24"/>
          <w:spacing w:val="-2"/>
        </w:rPr>
        <w:t xml:space="preserve"> </w:t>
      </w:r>
      <w:r>
        <w:rPr>
          <w:sz w:val="24"/>
          <w:szCs w:val="24"/>
          <w:spacing w:val="-2"/>
        </w:rPr>
        <w:t>3m</w:t>
      </w:r>
      <w:r>
        <w:rPr>
          <w:rFonts w:ascii="FangSong" w:hAnsi="FangSong" w:eastAsia="FangSong" w:cs="FangSong"/>
          <w:sz w:val="24"/>
          <w:szCs w:val="24"/>
          <w:spacing w:val="-2"/>
        </w:rPr>
        <w:t>，</w:t>
      </w:r>
      <w:r>
        <w:rPr>
          <w:rFonts w:ascii="FangSong" w:hAnsi="FangSong" w:eastAsia="FangSong" w:cs="FangSong"/>
          <w:sz w:val="24"/>
          <w:szCs w:val="24"/>
          <w:spacing w:val="-3"/>
        </w:rPr>
        <w:t>地下水采样井原则上可以不设沉淀管，但滤水管底部</w:t>
      </w:r>
      <w:r>
        <w:rPr>
          <w:rFonts w:ascii="FangSong" w:hAnsi="FangSong" w:eastAsia="FangSong" w:cs="FangSong"/>
          <w:sz w:val="24"/>
          <w:szCs w:val="24"/>
        </w:rPr>
        <w:t xml:space="preserve"> </w:t>
      </w:r>
      <w:r>
        <w:rPr>
          <w:rFonts w:ascii="FangSong" w:hAnsi="FangSong" w:eastAsia="FangSong" w:cs="FangSong"/>
          <w:sz w:val="24"/>
          <w:szCs w:val="24"/>
          <w:spacing w:val="-2"/>
        </w:rPr>
        <w:t>必须用管堵密封。</w:t>
      </w:r>
    </w:p>
    <w:p>
      <w:pPr>
        <w:ind w:left="496"/>
        <w:spacing w:line="219" w:lineRule="auto"/>
        <w:rPr>
          <w:rFonts w:ascii="FangSong" w:hAnsi="FangSong" w:eastAsia="FangSong" w:cs="FangSong"/>
          <w:sz w:val="24"/>
          <w:szCs w:val="24"/>
        </w:rPr>
      </w:pPr>
      <w:r>
        <w:rPr>
          <w:rFonts w:ascii="FangSong" w:hAnsi="FangSong" w:eastAsia="FangSong" w:cs="FangSong"/>
          <w:sz w:val="24"/>
          <w:szCs w:val="24"/>
          <w:spacing w:val="-1"/>
        </w:rPr>
        <w:t>地下水采样井填料从下至上依次为滤料层、止水层、回填层，各层填料要求如下：</w:t>
      </w:r>
    </w:p>
    <w:p>
      <w:pPr>
        <w:spacing w:line="219" w:lineRule="auto"/>
        <w:sectPr>
          <w:headerReference w:type="default" r:id="rId38"/>
          <w:footerReference w:type="default" r:id="rId121"/>
          <w:pgSz w:w="11906" w:h="16839"/>
          <w:pgMar w:top="1139" w:right="996" w:bottom="1252" w:left="1080" w:header="831" w:footer="1090" w:gutter="0"/>
        </w:sectPr>
        <w:rPr>
          <w:rFonts w:ascii="FangSong" w:hAnsi="FangSong" w:eastAsia="FangSong" w:cs="FangSong"/>
          <w:sz w:val="24"/>
          <w:szCs w:val="24"/>
        </w:rPr>
      </w:pPr>
    </w:p>
    <w:p>
      <w:pPr>
        <w:spacing w:line="335" w:lineRule="auto"/>
        <w:rPr>
          <w:rFonts w:ascii="Arial"/>
          <w:sz w:val="21"/>
        </w:rPr>
      </w:pPr>
      <w:r/>
    </w:p>
    <w:p>
      <w:pPr>
        <w:pStyle w:val="BodyText"/>
        <w:ind w:left="20" w:firstLine="467"/>
        <w:spacing w:before="78" w:line="290" w:lineRule="auto"/>
        <w:rPr>
          <w:rFonts w:ascii="FangSong" w:hAnsi="FangSong" w:eastAsia="FangSong" w:cs="FangSong"/>
          <w:sz w:val="24"/>
          <w:szCs w:val="24"/>
        </w:rPr>
      </w:pPr>
      <w:r>
        <w:rPr>
          <w:rFonts w:ascii="FangSong" w:hAnsi="FangSong" w:eastAsia="FangSong" w:cs="FangSong"/>
          <w:sz w:val="24"/>
          <w:szCs w:val="24"/>
          <w:spacing w:val="-3"/>
        </w:rPr>
        <w:t>①滤料层应从沉淀管（或管堵）底部一定距离到滤水管顶部以上。选用球度与圆度好、无</w:t>
      </w:r>
      <w:r>
        <w:rPr>
          <w:rFonts w:ascii="FangSong" w:hAnsi="FangSong" w:eastAsia="FangSong" w:cs="FangSong"/>
          <w:sz w:val="24"/>
          <w:szCs w:val="24"/>
          <w:spacing w:val="13"/>
        </w:rPr>
        <w:t xml:space="preserve"> </w:t>
      </w:r>
      <w:r>
        <w:rPr>
          <w:rFonts w:ascii="FangSong" w:hAnsi="FangSong" w:eastAsia="FangSong" w:cs="FangSong"/>
          <w:sz w:val="24"/>
          <w:szCs w:val="24"/>
          <w:spacing w:val="-1"/>
        </w:rPr>
        <w:t>污染的石英砂，一般以</w:t>
      </w:r>
      <w:r>
        <w:rPr>
          <w:sz w:val="24"/>
          <w:szCs w:val="24"/>
          <w:spacing w:val="-1"/>
        </w:rPr>
        <w:t>1mm~2mm</w:t>
      </w:r>
      <w:r>
        <w:rPr>
          <w:rFonts w:ascii="FangSong" w:hAnsi="FangSong" w:eastAsia="FangSong" w:cs="FangSong"/>
          <w:sz w:val="24"/>
          <w:szCs w:val="24"/>
          <w:spacing w:val="-1"/>
        </w:rPr>
        <w:t>粒径为宜；</w:t>
      </w:r>
    </w:p>
    <w:p>
      <w:pPr>
        <w:pStyle w:val="BodyText"/>
        <w:ind w:left="15" w:firstLine="472"/>
        <w:spacing w:before="182" w:line="313" w:lineRule="auto"/>
        <w:rPr>
          <w:rFonts w:ascii="FangSong" w:hAnsi="FangSong" w:eastAsia="FangSong" w:cs="FangSong"/>
          <w:sz w:val="24"/>
          <w:szCs w:val="24"/>
        </w:rPr>
      </w:pPr>
      <w:r>
        <w:rPr>
          <w:rFonts w:ascii="FangSong" w:hAnsi="FangSong" w:eastAsia="FangSong" w:cs="FangSong"/>
          <w:sz w:val="24"/>
          <w:szCs w:val="24"/>
          <w:spacing w:val="-3"/>
        </w:rPr>
        <w:t>②止水层应根据钻孔含水层分布情况确定，一般选择在隔水层或弱透水层，止水层的填充</w:t>
      </w:r>
      <w:r>
        <w:rPr>
          <w:rFonts w:ascii="FangSong" w:hAnsi="FangSong" w:eastAsia="FangSong" w:cs="FangSong"/>
          <w:sz w:val="24"/>
          <w:szCs w:val="24"/>
          <w:spacing w:val="14"/>
        </w:rPr>
        <w:t xml:space="preserve"> </w:t>
      </w:r>
      <w:r>
        <w:rPr>
          <w:rFonts w:ascii="FangSong" w:hAnsi="FangSong" w:eastAsia="FangSong" w:cs="FangSong"/>
          <w:sz w:val="24"/>
          <w:szCs w:val="24"/>
          <w:spacing w:val="-1"/>
        </w:rPr>
        <w:t>高度应达到滤料层以上。建议选用直径</w:t>
      </w:r>
      <w:r>
        <w:rPr>
          <w:sz w:val="24"/>
          <w:szCs w:val="24"/>
          <w:spacing w:val="-1"/>
        </w:rPr>
        <w:t>20mm~40mm</w:t>
      </w:r>
      <w:r>
        <w:rPr>
          <w:rFonts w:ascii="FangSong" w:hAnsi="FangSong" w:eastAsia="FangSong" w:cs="FangSong"/>
          <w:sz w:val="24"/>
          <w:szCs w:val="24"/>
          <w:spacing w:val="-1"/>
        </w:rPr>
        <w:t>球状膨润土分两段进行填充，第一段从滤</w:t>
      </w:r>
      <w:r>
        <w:rPr>
          <w:rFonts w:ascii="FangSong" w:hAnsi="FangSong" w:eastAsia="FangSong" w:cs="FangSong"/>
          <w:sz w:val="24"/>
          <w:szCs w:val="24"/>
          <w:spacing w:val="17"/>
        </w:rPr>
        <w:t xml:space="preserve"> </w:t>
      </w:r>
      <w:r>
        <w:rPr>
          <w:rFonts w:ascii="FangSong" w:hAnsi="FangSong" w:eastAsia="FangSong" w:cs="FangSong"/>
          <w:sz w:val="24"/>
          <w:szCs w:val="24"/>
        </w:rPr>
        <w:t>料层往上填充干膨润土，然后采用加水膨润土</w:t>
      </w:r>
      <w:r>
        <w:rPr>
          <w:rFonts w:ascii="FangSong" w:hAnsi="FangSong" w:eastAsia="FangSong" w:cs="FangSong"/>
          <w:sz w:val="24"/>
          <w:szCs w:val="24"/>
          <w:spacing w:val="-1"/>
        </w:rPr>
        <w:t>或膨润土浆继续填充至快接近地面处；</w:t>
      </w:r>
    </w:p>
    <w:p>
      <w:pPr>
        <w:ind w:left="15" w:firstLine="472"/>
        <w:spacing w:before="182" w:line="314" w:lineRule="auto"/>
        <w:rPr>
          <w:rFonts w:ascii="FangSong" w:hAnsi="FangSong" w:eastAsia="FangSong" w:cs="FangSong"/>
          <w:sz w:val="24"/>
          <w:szCs w:val="24"/>
        </w:rPr>
      </w:pPr>
      <w:r>
        <w:rPr>
          <w:rFonts w:ascii="FangSong" w:hAnsi="FangSong" w:eastAsia="FangSong" w:cs="FangSong"/>
          <w:sz w:val="24"/>
          <w:szCs w:val="24"/>
          <w:spacing w:val="-3"/>
        </w:rPr>
        <w:t>③回填层位于止水层之上至采样井顶部，优先选用膨润土作为回填材料。地下水采样井建</w:t>
      </w:r>
      <w:r>
        <w:rPr>
          <w:rFonts w:ascii="FangSong" w:hAnsi="FangSong" w:eastAsia="FangSong" w:cs="FangSong"/>
          <w:sz w:val="24"/>
          <w:szCs w:val="24"/>
          <w:spacing w:val="14"/>
        </w:rPr>
        <w:t xml:space="preserve"> </w:t>
      </w:r>
      <w:r>
        <w:rPr>
          <w:rFonts w:ascii="FangSong" w:hAnsi="FangSong" w:eastAsia="FangSong" w:cs="FangSong"/>
          <w:sz w:val="24"/>
          <w:szCs w:val="24"/>
          <w:spacing w:val="-3"/>
        </w:rPr>
        <w:t>设过程包括钻孔、下管、填充滤料、密封止水、成井洗井和填写成井记录单等步骤，具体包括</w:t>
      </w:r>
      <w:r>
        <w:rPr>
          <w:rFonts w:ascii="FangSong" w:hAnsi="FangSong" w:eastAsia="FangSong" w:cs="FangSong"/>
          <w:sz w:val="24"/>
          <w:szCs w:val="24"/>
          <w:spacing w:val="13"/>
        </w:rPr>
        <w:t xml:space="preserve"> </w:t>
      </w:r>
      <w:r>
        <w:rPr>
          <w:rFonts w:ascii="FangSong" w:hAnsi="FangSong" w:eastAsia="FangSong" w:cs="FangSong"/>
          <w:sz w:val="24"/>
          <w:szCs w:val="24"/>
          <w:spacing w:val="-4"/>
        </w:rPr>
        <w:t>以下内容：</w:t>
      </w:r>
    </w:p>
    <w:p>
      <w:pPr>
        <w:pStyle w:val="BodyText"/>
        <w:ind w:left="508"/>
        <w:spacing w:before="178" w:line="224" w:lineRule="auto"/>
        <w:rPr>
          <w:rFonts w:ascii="FangSong" w:hAnsi="FangSong" w:eastAsia="FangSong" w:cs="FangSong"/>
          <w:sz w:val="24"/>
          <w:szCs w:val="24"/>
        </w:rPr>
      </w:pPr>
      <w:r>
        <w:rPr>
          <w:sz w:val="24"/>
          <w:szCs w:val="24"/>
          <w:spacing w:val="-8"/>
        </w:rPr>
        <w:t>1</w:t>
      </w:r>
      <w:r>
        <w:rPr>
          <w:rFonts w:ascii="FangSong" w:hAnsi="FangSong" w:eastAsia="FangSong" w:cs="FangSong"/>
          <w:sz w:val="24"/>
          <w:szCs w:val="24"/>
          <w:spacing w:val="-8"/>
        </w:rPr>
        <w:t>）钻孔</w:t>
      </w:r>
    </w:p>
    <w:p>
      <w:pPr>
        <w:pStyle w:val="BodyText"/>
        <w:ind w:left="18" w:firstLine="479"/>
        <w:spacing w:before="176" w:line="360" w:lineRule="auto"/>
        <w:jc w:val="both"/>
        <w:rPr>
          <w:rFonts w:ascii="FangSong" w:hAnsi="FangSong" w:eastAsia="FangSong" w:cs="FangSong"/>
          <w:sz w:val="24"/>
          <w:szCs w:val="24"/>
        </w:rPr>
      </w:pPr>
      <w:r>
        <w:rPr>
          <w:rFonts w:ascii="FangSong" w:hAnsi="FangSong" w:eastAsia="FangSong" w:cs="FangSong"/>
          <w:sz w:val="24"/>
          <w:szCs w:val="24"/>
          <w:spacing w:val="-2"/>
        </w:rPr>
        <w:t>采用</w:t>
      </w:r>
      <w:r>
        <w:rPr>
          <w:sz w:val="24"/>
          <w:szCs w:val="24"/>
          <w:spacing w:val="-2"/>
        </w:rPr>
        <w:t>GEOPROBE</w:t>
      </w:r>
      <w:r>
        <w:rPr>
          <w:rFonts w:ascii="FangSong" w:hAnsi="FangSong" w:eastAsia="FangSong" w:cs="FangSong"/>
          <w:sz w:val="24"/>
          <w:szCs w:val="24"/>
          <w:spacing w:val="-2"/>
        </w:rPr>
        <w:t>（</w:t>
      </w:r>
      <w:r>
        <w:rPr>
          <w:sz w:val="24"/>
          <w:szCs w:val="24"/>
          <w:spacing w:val="-2"/>
        </w:rPr>
        <w:t>GP</w:t>
      </w:r>
      <w:r>
        <w:rPr>
          <w:rFonts w:ascii="FangSong" w:hAnsi="FangSong" w:eastAsia="FangSong" w:cs="FangSong"/>
          <w:sz w:val="24"/>
          <w:szCs w:val="24"/>
          <w:spacing w:val="-2"/>
        </w:rPr>
        <w:t>）</w:t>
      </w:r>
      <w:r>
        <w:rPr>
          <w:sz w:val="24"/>
          <w:szCs w:val="24"/>
          <w:spacing w:val="-2"/>
        </w:rPr>
        <w:t>7822DT</w:t>
      </w:r>
      <w:r>
        <w:rPr>
          <w:rFonts w:ascii="FangSong" w:hAnsi="FangSong" w:eastAsia="FangSong" w:cs="FangSong"/>
          <w:sz w:val="24"/>
          <w:szCs w:val="24"/>
          <w:spacing w:val="-2"/>
        </w:rPr>
        <w:t>等直推式钻机进行地下水孔钻探，钻孔直径应至少大于井</w:t>
      </w:r>
      <w:r>
        <w:rPr>
          <w:rFonts w:ascii="FangSong" w:hAnsi="FangSong" w:eastAsia="FangSong" w:cs="FangSong"/>
          <w:sz w:val="24"/>
          <w:szCs w:val="24"/>
          <w:spacing w:val="4"/>
        </w:rPr>
        <w:t xml:space="preserve"> </w:t>
      </w:r>
      <w:r>
        <w:rPr>
          <w:rFonts w:ascii="FangSong" w:hAnsi="FangSong" w:eastAsia="FangSong" w:cs="FangSong"/>
          <w:sz w:val="24"/>
          <w:szCs w:val="24"/>
          <w:spacing w:val="-8"/>
        </w:rPr>
        <w:t>管直径</w:t>
      </w:r>
      <w:r>
        <w:rPr>
          <w:sz w:val="24"/>
          <w:szCs w:val="24"/>
          <w:spacing w:val="-8"/>
        </w:rPr>
        <w:t>5</w:t>
      </w:r>
      <w:r>
        <w:rPr>
          <w:sz w:val="24"/>
          <w:szCs w:val="24"/>
          <w:spacing w:val="-7"/>
        </w:rPr>
        <w:t>0mm</w:t>
      </w:r>
      <w:r>
        <w:rPr>
          <w:rFonts w:ascii="FangSong" w:hAnsi="FangSong" w:eastAsia="FangSong" w:cs="FangSong"/>
          <w:sz w:val="24"/>
          <w:szCs w:val="24"/>
          <w:spacing w:val="-7"/>
        </w:rPr>
        <w:t>。钻孔达到拟定深度后进行钻孔掏洗，以清除钻孔中的泥浆和钻屑，然</w:t>
      </w:r>
      <w:r>
        <w:rPr>
          <w:rFonts w:ascii="FangSong" w:hAnsi="FangSong" w:eastAsia="FangSong" w:cs="FangSong"/>
          <w:sz w:val="24"/>
          <w:szCs w:val="24"/>
          <w:spacing w:val="-8"/>
        </w:rPr>
        <w:t>后静置</w:t>
      </w:r>
      <w:r>
        <w:rPr>
          <w:sz w:val="24"/>
          <w:szCs w:val="24"/>
          <w:spacing w:val="-8"/>
        </w:rPr>
        <w:t>2h-3</w:t>
      </w:r>
      <w:r>
        <w:rPr>
          <w:sz w:val="24"/>
          <w:szCs w:val="24"/>
          <w:spacing w:val="-4"/>
        </w:rPr>
        <w:t>h</w:t>
      </w:r>
      <w:r>
        <w:rPr>
          <w:sz w:val="24"/>
          <w:szCs w:val="24"/>
        </w:rPr>
        <w:t xml:space="preserve"> </w:t>
      </w:r>
      <w:r>
        <w:rPr>
          <w:rFonts w:ascii="FangSong" w:hAnsi="FangSong" w:eastAsia="FangSong" w:cs="FangSong"/>
          <w:sz w:val="24"/>
          <w:szCs w:val="24"/>
          <w:spacing w:val="-3"/>
        </w:rPr>
        <w:t>并记录静止水位；</w:t>
      </w:r>
    </w:p>
    <w:p>
      <w:pPr>
        <w:pStyle w:val="BodyText"/>
        <w:ind w:left="485"/>
        <w:spacing w:line="222" w:lineRule="auto"/>
        <w:rPr>
          <w:rFonts w:ascii="FangSong" w:hAnsi="FangSong" w:eastAsia="FangSong" w:cs="FangSong"/>
          <w:sz w:val="24"/>
          <w:szCs w:val="24"/>
        </w:rPr>
      </w:pPr>
      <w:r>
        <w:rPr>
          <w:sz w:val="24"/>
          <w:szCs w:val="24"/>
          <w:spacing w:val="-2"/>
        </w:rPr>
        <w:t>2</w:t>
      </w:r>
      <w:r>
        <w:rPr>
          <w:rFonts w:ascii="FangSong" w:hAnsi="FangSong" w:eastAsia="FangSong" w:cs="FangSong"/>
          <w:sz w:val="24"/>
          <w:szCs w:val="24"/>
          <w:spacing w:val="-2"/>
        </w:rPr>
        <w:t>）下管</w:t>
      </w:r>
    </w:p>
    <w:p>
      <w:pPr>
        <w:ind w:left="22" w:firstLine="478"/>
        <w:spacing w:before="179" w:line="360" w:lineRule="auto"/>
        <w:rPr>
          <w:rFonts w:ascii="FangSong" w:hAnsi="FangSong" w:eastAsia="FangSong" w:cs="FangSong"/>
          <w:sz w:val="24"/>
          <w:szCs w:val="24"/>
        </w:rPr>
      </w:pPr>
      <w:r>
        <w:rPr>
          <w:rFonts w:ascii="FangSong" w:hAnsi="FangSong" w:eastAsia="FangSong" w:cs="FangSong"/>
          <w:sz w:val="24"/>
          <w:szCs w:val="24"/>
          <w:spacing w:val="-3"/>
        </w:rPr>
        <w:t>下管前校正孔深，按先后次序将井管逐根丈量、排列、编号、试扣，确保下管深度和滤水</w:t>
      </w:r>
      <w:r>
        <w:rPr>
          <w:rFonts w:ascii="FangSong" w:hAnsi="FangSong" w:eastAsia="FangSong" w:cs="FangSong"/>
          <w:sz w:val="24"/>
          <w:szCs w:val="24"/>
          <w:spacing w:val="1"/>
        </w:rPr>
        <w:t xml:space="preserve"> </w:t>
      </w:r>
      <w:r>
        <w:rPr>
          <w:rFonts w:ascii="FangSong" w:hAnsi="FangSong" w:eastAsia="FangSong" w:cs="FangSong"/>
          <w:sz w:val="24"/>
          <w:szCs w:val="24"/>
          <w:spacing w:val="-3"/>
        </w:rPr>
        <w:t>管安装位置准确无误。井管下放速度不宜太快，中途遇阻时可适当上下提动和转动井管，必要</w:t>
      </w:r>
      <w:r>
        <w:rPr>
          <w:rFonts w:ascii="FangSong" w:hAnsi="FangSong" w:eastAsia="FangSong" w:cs="FangSong"/>
          <w:sz w:val="24"/>
          <w:szCs w:val="24"/>
          <w:spacing w:val="5"/>
        </w:rPr>
        <w:t xml:space="preserve"> </w:t>
      </w:r>
      <w:r>
        <w:rPr>
          <w:rFonts w:ascii="FangSong" w:hAnsi="FangSong" w:eastAsia="FangSong" w:cs="FangSong"/>
          <w:sz w:val="24"/>
          <w:szCs w:val="24"/>
          <w:spacing w:val="-3"/>
        </w:rPr>
        <w:t>时应将井管提出，清除孔内障碍后再下管。下管完成后，将其扶正、固定，井管与钻孔轴心重</w:t>
      </w:r>
      <w:r>
        <w:rPr>
          <w:rFonts w:ascii="FangSong" w:hAnsi="FangSong" w:eastAsia="FangSong" w:cs="FangSong"/>
          <w:sz w:val="24"/>
          <w:szCs w:val="24"/>
          <w:spacing w:val="5"/>
        </w:rPr>
        <w:t xml:space="preserve"> </w:t>
      </w:r>
      <w:r>
        <w:rPr>
          <w:rFonts w:ascii="FangSong" w:hAnsi="FangSong" w:eastAsia="FangSong" w:cs="FangSong"/>
          <w:sz w:val="24"/>
          <w:szCs w:val="24"/>
          <w:spacing w:val="-12"/>
        </w:rPr>
        <w:t>合；</w:t>
      </w:r>
    </w:p>
    <w:p>
      <w:pPr>
        <w:pStyle w:val="BodyText"/>
        <w:ind w:left="489"/>
        <w:spacing w:before="1" w:line="220" w:lineRule="auto"/>
        <w:rPr>
          <w:rFonts w:ascii="FangSong" w:hAnsi="FangSong" w:eastAsia="FangSong" w:cs="FangSong"/>
          <w:sz w:val="24"/>
          <w:szCs w:val="24"/>
        </w:rPr>
      </w:pPr>
      <w:r>
        <w:rPr>
          <w:sz w:val="24"/>
          <w:szCs w:val="24"/>
          <w:spacing w:val="-2"/>
        </w:rPr>
        <w:t>3</w:t>
      </w:r>
      <w:r>
        <w:rPr>
          <w:rFonts w:ascii="FangSong" w:hAnsi="FangSong" w:eastAsia="FangSong" w:cs="FangSong"/>
          <w:sz w:val="24"/>
          <w:szCs w:val="24"/>
          <w:spacing w:val="-2"/>
        </w:rPr>
        <w:t>）滤料填充</w:t>
      </w:r>
    </w:p>
    <w:p>
      <w:pPr>
        <w:ind w:left="19" w:firstLine="477"/>
        <w:spacing w:before="181" w:line="360" w:lineRule="auto"/>
        <w:rPr>
          <w:rFonts w:ascii="FangSong" w:hAnsi="FangSong" w:eastAsia="FangSong" w:cs="FangSong"/>
          <w:sz w:val="24"/>
          <w:szCs w:val="24"/>
        </w:rPr>
      </w:pPr>
      <w:r>
        <w:rPr>
          <w:rFonts w:ascii="FangSong" w:hAnsi="FangSong" w:eastAsia="FangSong" w:cs="FangSong"/>
          <w:sz w:val="24"/>
          <w:szCs w:val="24"/>
          <w:spacing w:val="-3"/>
        </w:rPr>
        <w:t>将石英砂滤料缓慢填充至管壁与孔壁中的环形空隙内，沿着井管四周均匀填充，避免从单</w:t>
      </w:r>
      <w:r>
        <w:rPr>
          <w:rFonts w:ascii="FangSong" w:hAnsi="FangSong" w:eastAsia="FangSong" w:cs="FangSong"/>
          <w:sz w:val="24"/>
          <w:szCs w:val="24"/>
          <w:spacing w:val="5"/>
        </w:rPr>
        <w:t xml:space="preserve"> </w:t>
      </w:r>
      <w:r>
        <w:rPr>
          <w:rFonts w:ascii="FangSong" w:hAnsi="FangSong" w:eastAsia="FangSong" w:cs="FangSong"/>
          <w:sz w:val="24"/>
          <w:szCs w:val="24"/>
          <w:spacing w:val="-3"/>
        </w:rPr>
        <w:t>一方位填入，一边填充一边晃动井管，防止滤料填充时形成架桥或卡锁现象。滤料填充过程也</w:t>
      </w:r>
      <w:r>
        <w:rPr>
          <w:rFonts w:ascii="FangSong" w:hAnsi="FangSong" w:eastAsia="FangSong" w:cs="FangSong"/>
          <w:sz w:val="24"/>
          <w:szCs w:val="24"/>
          <w:spacing w:val="8"/>
        </w:rPr>
        <w:t xml:space="preserve"> </w:t>
      </w:r>
      <w:r>
        <w:rPr>
          <w:rFonts w:ascii="FangSong" w:hAnsi="FangSong" w:eastAsia="FangSong" w:cs="FangSong"/>
          <w:sz w:val="24"/>
          <w:szCs w:val="24"/>
          <w:spacing w:val="-2"/>
        </w:rPr>
        <w:t>要进行测量，确保滤料填充至设计高度；</w:t>
      </w:r>
    </w:p>
    <w:p>
      <w:pPr>
        <w:pStyle w:val="BodyText"/>
        <w:ind w:left="483"/>
        <w:spacing w:line="223" w:lineRule="auto"/>
        <w:rPr>
          <w:rFonts w:ascii="FangSong" w:hAnsi="FangSong" w:eastAsia="FangSong" w:cs="FangSong"/>
          <w:sz w:val="24"/>
          <w:szCs w:val="24"/>
        </w:rPr>
      </w:pPr>
      <w:r>
        <w:rPr>
          <w:sz w:val="24"/>
          <w:szCs w:val="24"/>
          <w:spacing w:val="-1"/>
        </w:rPr>
        <w:t>4</w:t>
      </w:r>
      <w:r>
        <w:rPr>
          <w:rFonts w:ascii="FangSong" w:hAnsi="FangSong" w:eastAsia="FangSong" w:cs="FangSong"/>
          <w:sz w:val="24"/>
          <w:szCs w:val="24"/>
          <w:spacing w:val="-1"/>
        </w:rPr>
        <w:t>）密封止水</w:t>
      </w:r>
    </w:p>
    <w:p>
      <w:pPr>
        <w:pStyle w:val="BodyText"/>
        <w:ind w:left="15" w:firstLine="492"/>
        <w:spacing w:before="178" w:line="360" w:lineRule="auto"/>
        <w:rPr>
          <w:rFonts w:ascii="FangSong" w:hAnsi="FangSong" w:eastAsia="FangSong" w:cs="FangSong"/>
          <w:sz w:val="24"/>
          <w:szCs w:val="24"/>
        </w:rPr>
      </w:pPr>
      <w:r>
        <w:rPr>
          <w:rFonts w:ascii="FangSong" w:hAnsi="FangSong" w:eastAsia="FangSong" w:cs="FangSong"/>
          <w:sz w:val="24"/>
          <w:szCs w:val="24"/>
          <w:spacing w:val="1"/>
        </w:rPr>
        <w:t>密封止水应从滤料层往上填充，直至距离地面</w:t>
      </w:r>
      <w:r>
        <w:rPr>
          <w:sz w:val="24"/>
          <w:szCs w:val="24"/>
          <w:spacing w:val="1"/>
        </w:rPr>
        <w:t>30</w:t>
      </w:r>
      <w:r>
        <w:rPr>
          <w:sz w:val="24"/>
          <w:szCs w:val="24"/>
        </w:rPr>
        <w:t>cm</w:t>
      </w:r>
      <w:r>
        <w:rPr>
          <w:sz w:val="24"/>
          <w:szCs w:val="24"/>
          <w:spacing w:val="-21"/>
        </w:rPr>
        <w:t xml:space="preserve"> </w:t>
      </w:r>
      <w:r>
        <w:rPr>
          <w:rFonts w:ascii="FangSong" w:hAnsi="FangSong" w:eastAsia="FangSong" w:cs="FangSong"/>
          <w:sz w:val="24"/>
          <w:szCs w:val="24"/>
          <w:spacing w:val="1"/>
        </w:rPr>
        <w:t>。本</w:t>
      </w:r>
      <w:r>
        <w:rPr>
          <w:rFonts w:ascii="FangSong" w:hAnsi="FangSong" w:eastAsia="FangSong" w:cs="FangSong"/>
          <w:sz w:val="24"/>
          <w:szCs w:val="24"/>
        </w:rPr>
        <w:t>项目采用膨润土作为止水材料，</w:t>
      </w:r>
      <w:r>
        <w:rPr>
          <w:rFonts w:ascii="FangSong" w:hAnsi="FangSong" w:eastAsia="FangSong" w:cs="FangSong"/>
          <w:sz w:val="24"/>
          <w:szCs w:val="24"/>
        </w:rPr>
        <w:t xml:space="preserve"> </w:t>
      </w:r>
      <w:r>
        <w:rPr>
          <w:rFonts w:ascii="FangSong" w:hAnsi="FangSong" w:eastAsia="FangSong" w:cs="FangSong"/>
          <w:sz w:val="24"/>
          <w:szCs w:val="24"/>
          <w:spacing w:val="2"/>
        </w:rPr>
        <w:t>每填充</w:t>
      </w:r>
      <w:r>
        <w:rPr>
          <w:sz w:val="24"/>
          <w:szCs w:val="24"/>
          <w:spacing w:val="2"/>
        </w:rPr>
        <w:t>10</w:t>
      </w:r>
      <w:r>
        <w:rPr>
          <w:sz w:val="24"/>
          <w:szCs w:val="24"/>
        </w:rPr>
        <w:t>cm</w:t>
      </w:r>
      <w:r>
        <w:rPr>
          <w:rFonts w:ascii="FangSong" w:hAnsi="FangSong" w:eastAsia="FangSong" w:cs="FangSong"/>
          <w:sz w:val="24"/>
          <w:szCs w:val="24"/>
          <w:spacing w:val="2"/>
        </w:rPr>
        <w:t>需向钻孔中均匀注入少量的清洁水，填充过程中进行测量，确保止水材</w:t>
      </w:r>
      <w:r>
        <w:rPr>
          <w:rFonts w:ascii="FangSong" w:hAnsi="FangSong" w:eastAsia="FangSong" w:cs="FangSong"/>
          <w:sz w:val="24"/>
          <w:szCs w:val="24"/>
          <w:spacing w:val="1"/>
        </w:rPr>
        <w:t>料填充至</w:t>
      </w:r>
      <w:r>
        <w:rPr>
          <w:rFonts w:ascii="FangSong" w:hAnsi="FangSong" w:eastAsia="FangSong" w:cs="FangSong"/>
          <w:sz w:val="24"/>
          <w:szCs w:val="24"/>
        </w:rPr>
        <w:t xml:space="preserve"> </w:t>
      </w:r>
      <w:r>
        <w:rPr>
          <w:rFonts w:ascii="FangSong" w:hAnsi="FangSong" w:eastAsia="FangSong" w:cs="FangSong"/>
          <w:sz w:val="24"/>
          <w:szCs w:val="24"/>
          <w:spacing w:val="-1"/>
        </w:rPr>
        <w:t>设计高度，静置待膨润土充分膨胀、水化和凝结，然后回填混凝土浆层；</w:t>
      </w:r>
    </w:p>
    <w:p>
      <w:pPr>
        <w:pStyle w:val="BodyText"/>
        <w:ind w:left="491"/>
        <w:spacing w:before="2" w:line="220" w:lineRule="auto"/>
        <w:rPr>
          <w:rFonts w:ascii="FangSong" w:hAnsi="FangSong" w:eastAsia="FangSong" w:cs="FangSong"/>
          <w:sz w:val="24"/>
          <w:szCs w:val="24"/>
        </w:rPr>
      </w:pPr>
      <w:r>
        <w:rPr>
          <w:sz w:val="24"/>
          <w:szCs w:val="24"/>
          <w:spacing w:val="-2"/>
        </w:rPr>
        <w:t>5</w:t>
      </w:r>
      <w:r>
        <w:rPr>
          <w:rFonts w:ascii="FangSong" w:hAnsi="FangSong" w:eastAsia="FangSong" w:cs="FangSong"/>
          <w:sz w:val="24"/>
          <w:szCs w:val="24"/>
          <w:spacing w:val="-2"/>
        </w:rPr>
        <w:t>）井台构筑</w:t>
      </w:r>
    </w:p>
    <w:p>
      <w:pPr>
        <w:pStyle w:val="BodyText"/>
        <w:ind w:left="15" w:firstLine="480"/>
        <w:spacing w:before="181" w:line="360" w:lineRule="auto"/>
        <w:rPr>
          <w:rFonts w:ascii="FangSong" w:hAnsi="FangSong" w:eastAsia="FangSong" w:cs="FangSong"/>
          <w:sz w:val="24"/>
          <w:szCs w:val="24"/>
        </w:rPr>
      </w:pPr>
      <w:r>
        <w:rPr>
          <w:rFonts w:ascii="FangSong" w:hAnsi="FangSong" w:eastAsia="FangSong" w:cs="FangSong"/>
          <w:sz w:val="24"/>
          <w:szCs w:val="24"/>
          <w:spacing w:val="-3"/>
        </w:rPr>
        <w:t>地下水采样井需建成长期监测井，则应设置保护性的井台构筑。井台构筑通常分为明显式</w:t>
      </w:r>
      <w:r>
        <w:rPr>
          <w:rFonts w:ascii="FangSong" w:hAnsi="FangSong" w:eastAsia="FangSong" w:cs="FangSong"/>
          <w:sz w:val="24"/>
          <w:szCs w:val="24"/>
          <w:spacing w:val="5"/>
        </w:rPr>
        <w:t xml:space="preserve"> </w:t>
      </w:r>
      <w:r>
        <w:rPr>
          <w:rFonts w:ascii="FangSong" w:hAnsi="FangSong" w:eastAsia="FangSong" w:cs="FangSong"/>
          <w:sz w:val="24"/>
          <w:szCs w:val="24"/>
          <w:spacing w:val="-3"/>
        </w:rPr>
        <w:t>和隐藏式井台，隐藏式井台与地面齐平，适用于路面等特殊位置。明显式井台地上部分井管长</w:t>
      </w:r>
      <w:r>
        <w:rPr>
          <w:rFonts w:ascii="FangSong" w:hAnsi="FangSong" w:eastAsia="FangSong" w:cs="FangSong"/>
          <w:sz w:val="24"/>
          <w:szCs w:val="24"/>
          <w:spacing w:val="12"/>
        </w:rPr>
        <w:t xml:space="preserve"> </w:t>
      </w:r>
      <w:r>
        <w:rPr>
          <w:rFonts w:ascii="FangSong" w:hAnsi="FangSong" w:eastAsia="FangSong" w:cs="FangSong"/>
          <w:sz w:val="24"/>
          <w:szCs w:val="24"/>
          <w:spacing w:val="-2"/>
        </w:rPr>
        <w:t>度应保留</w:t>
      </w:r>
      <w:r>
        <w:rPr>
          <w:sz w:val="24"/>
          <w:szCs w:val="24"/>
          <w:spacing w:val="-2"/>
        </w:rPr>
        <w:t>30cm~50cm</w:t>
      </w:r>
      <w:r>
        <w:rPr>
          <w:rFonts w:ascii="FangSong" w:hAnsi="FangSong" w:eastAsia="FangSong" w:cs="FangSong"/>
          <w:sz w:val="24"/>
          <w:szCs w:val="24"/>
          <w:spacing w:val="-2"/>
        </w:rPr>
        <w:t>，井口用与井管同材质的管帽封堵</w:t>
      </w:r>
      <w:r>
        <w:rPr>
          <w:rFonts w:ascii="FangSong" w:hAnsi="FangSong" w:eastAsia="FangSong" w:cs="FangSong"/>
          <w:sz w:val="24"/>
          <w:szCs w:val="24"/>
          <w:spacing w:val="-3"/>
        </w:rPr>
        <w:t>，地上部分的井管应采用管套保护（管</w:t>
      </w:r>
    </w:p>
    <w:p>
      <w:pPr>
        <w:spacing w:line="360" w:lineRule="auto"/>
        <w:sectPr>
          <w:headerReference w:type="default" r:id="rId64"/>
          <w:footerReference w:type="default" r:id="rId123"/>
          <w:pgSz w:w="11906" w:h="16839"/>
          <w:pgMar w:top="1139" w:right="1079" w:bottom="1252" w:left="1080" w:header="831" w:footer="1090" w:gutter="0"/>
        </w:sectPr>
        <w:rPr>
          <w:rFonts w:ascii="FangSong" w:hAnsi="FangSong" w:eastAsia="FangSong" w:cs="FangSong"/>
          <w:sz w:val="24"/>
          <w:szCs w:val="24"/>
        </w:rPr>
      </w:pPr>
    </w:p>
    <w:p>
      <w:pPr>
        <w:spacing w:line="333" w:lineRule="auto"/>
        <w:rPr>
          <w:rFonts w:ascii="Arial"/>
          <w:sz w:val="21"/>
        </w:rPr>
      </w:pPr>
      <w:r/>
    </w:p>
    <w:p>
      <w:pPr>
        <w:pStyle w:val="BodyText"/>
        <w:ind w:left="51" w:right="65" w:firstLine="7"/>
        <w:spacing w:before="78" w:line="360" w:lineRule="auto"/>
        <w:jc w:val="both"/>
        <w:rPr>
          <w:rFonts w:ascii="FangSong" w:hAnsi="FangSong" w:eastAsia="FangSong" w:cs="FangSong"/>
          <w:sz w:val="24"/>
          <w:szCs w:val="24"/>
        </w:rPr>
      </w:pPr>
      <w:r>
        <w:rPr>
          <w:rFonts w:ascii="FangSong" w:hAnsi="FangSong" w:eastAsia="FangSong" w:cs="FangSong"/>
          <w:sz w:val="24"/>
          <w:szCs w:val="24"/>
          <w:spacing w:val="-3"/>
        </w:rPr>
        <w:t>套应选择强度较大且不宜损坏材质</w:t>
      </w:r>
      <w:r>
        <w:rPr>
          <w:rFonts w:ascii="FangSong" w:hAnsi="FangSong" w:eastAsia="FangSong" w:cs="FangSong"/>
          <w:sz w:val="24"/>
          <w:szCs w:val="24"/>
          <w:spacing w:val="-54"/>
        </w:rPr>
        <w:t>），</w:t>
      </w:r>
      <w:r>
        <w:rPr>
          <w:rFonts w:ascii="FangSong" w:hAnsi="FangSong" w:eastAsia="FangSong" w:cs="FangSong"/>
          <w:sz w:val="24"/>
          <w:szCs w:val="24"/>
          <w:spacing w:val="-3"/>
        </w:rPr>
        <w:t>管套与井管之间注混凝土浆固定，井台高度应不小于</w:t>
      </w:r>
      <w:r>
        <w:rPr>
          <w:rFonts w:ascii="FangSong" w:hAnsi="FangSong" w:eastAsia="FangSong" w:cs="FangSong"/>
          <w:sz w:val="24"/>
          <w:szCs w:val="24"/>
          <w:spacing w:val="-3"/>
        </w:rPr>
        <w:t xml:space="preserve"> </w:t>
      </w:r>
      <w:r>
        <w:rPr>
          <w:sz w:val="24"/>
          <w:szCs w:val="24"/>
          <w:spacing w:val="-3"/>
        </w:rPr>
        <w:t>30</w:t>
      </w:r>
      <w:r>
        <w:rPr>
          <w:sz w:val="24"/>
          <w:szCs w:val="24"/>
        </w:rPr>
        <w:t xml:space="preserve"> </w:t>
      </w:r>
      <w:r>
        <w:rPr>
          <w:sz w:val="24"/>
          <w:szCs w:val="24"/>
        </w:rPr>
        <w:t>cm</w:t>
      </w:r>
      <w:r>
        <w:rPr>
          <w:sz w:val="24"/>
          <w:szCs w:val="24"/>
          <w:spacing w:val="-16"/>
        </w:rPr>
        <w:t xml:space="preserve"> </w:t>
      </w:r>
      <w:r>
        <w:rPr>
          <w:rFonts w:ascii="FangSong" w:hAnsi="FangSong" w:eastAsia="FangSong" w:cs="FangSong"/>
          <w:sz w:val="24"/>
          <w:szCs w:val="24"/>
          <w:spacing w:val="1"/>
        </w:rPr>
        <w:t>。井台应设置标示牌，需注明采样井编号、负责人、联系方式等信息。本地块地下水采样</w:t>
      </w:r>
      <w:r>
        <w:rPr>
          <w:rFonts w:ascii="FangSong" w:hAnsi="FangSong" w:eastAsia="FangSong" w:cs="FangSong"/>
          <w:sz w:val="24"/>
          <w:szCs w:val="24"/>
        </w:rPr>
        <w:t xml:space="preserve"> </w:t>
      </w:r>
      <w:r>
        <w:rPr>
          <w:rFonts w:ascii="FangSong" w:hAnsi="FangSong" w:eastAsia="FangSong" w:cs="FangSong"/>
          <w:sz w:val="24"/>
          <w:szCs w:val="24"/>
          <w:spacing w:val="-1"/>
        </w:rPr>
        <w:t>井建成长期监测井；</w:t>
      </w:r>
    </w:p>
    <w:p>
      <w:pPr>
        <w:pStyle w:val="BodyText"/>
        <w:ind w:left="533"/>
        <w:spacing w:line="223" w:lineRule="auto"/>
        <w:rPr>
          <w:rFonts w:ascii="FangSong" w:hAnsi="FangSong" w:eastAsia="FangSong" w:cs="FangSong"/>
          <w:sz w:val="24"/>
          <w:szCs w:val="24"/>
        </w:rPr>
      </w:pPr>
      <w:r>
        <w:rPr>
          <w:sz w:val="24"/>
          <w:szCs w:val="24"/>
          <w:spacing w:val="-2"/>
        </w:rPr>
        <w:t>6</w:t>
      </w:r>
      <w:r>
        <w:rPr>
          <w:rFonts w:ascii="FangSong" w:hAnsi="FangSong" w:eastAsia="FangSong" w:cs="FangSong"/>
          <w:sz w:val="24"/>
          <w:szCs w:val="24"/>
          <w:spacing w:val="-2"/>
        </w:rPr>
        <w:t>）成井洗井</w:t>
      </w:r>
    </w:p>
    <w:p>
      <w:pPr>
        <w:pStyle w:val="BodyText"/>
        <w:ind w:left="61" w:right="65" w:firstLine="478"/>
        <w:spacing w:before="180" w:line="359" w:lineRule="auto"/>
        <w:rPr>
          <w:rFonts w:ascii="FangSong" w:hAnsi="FangSong" w:eastAsia="FangSong" w:cs="FangSong"/>
          <w:sz w:val="24"/>
          <w:szCs w:val="24"/>
        </w:rPr>
      </w:pPr>
      <w:r>
        <w:rPr>
          <w:rFonts w:ascii="FangSong" w:hAnsi="FangSong" w:eastAsia="FangSong" w:cs="FangSong"/>
          <w:sz w:val="24"/>
          <w:szCs w:val="24"/>
        </w:rPr>
        <w:t>地下水采样井建成至少</w:t>
      </w:r>
      <w:r>
        <w:rPr>
          <w:sz w:val="24"/>
          <w:szCs w:val="24"/>
        </w:rPr>
        <w:t>24h</w:t>
      </w:r>
      <w:r>
        <w:rPr>
          <w:rFonts w:ascii="FangSong" w:hAnsi="FangSong" w:eastAsia="FangSong" w:cs="FangSong"/>
          <w:sz w:val="24"/>
          <w:szCs w:val="24"/>
        </w:rPr>
        <w:t>后（待井内的填料得到充分</w:t>
      </w:r>
      <w:r>
        <w:rPr>
          <w:rFonts w:ascii="FangSong" w:hAnsi="FangSong" w:eastAsia="FangSong" w:cs="FangSong"/>
          <w:sz w:val="24"/>
          <w:szCs w:val="24"/>
          <w:spacing w:val="-1"/>
        </w:rPr>
        <w:t>养护、稳定后</w:t>
      </w:r>
      <w:r>
        <w:rPr>
          <w:rFonts w:ascii="FangSong" w:hAnsi="FangSong" w:eastAsia="FangSong" w:cs="FangSong"/>
          <w:sz w:val="24"/>
          <w:szCs w:val="24"/>
          <w:spacing w:val="10"/>
        </w:rPr>
        <w:t>），</w:t>
      </w:r>
      <w:r>
        <w:rPr>
          <w:rFonts w:ascii="FangSong" w:hAnsi="FangSong" w:eastAsia="FangSong" w:cs="FangSong"/>
          <w:sz w:val="24"/>
          <w:szCs w:val="24"/>
          <w:spacing w:val="-1"/>
        </w:rPr>
        <w:t>再进行洗井。洗</w:t>
      </w:r>
      <w:r>
        <w:rPr>
          <w:rFonts w:ascii="FangSong" w:hAnsi="FangSong" w:eastAsia="FangSong" w:cs="FangSong"/>
          <w:sz w:val="24"/>
          <w:szCs w:val="24"/>
          <w:spacing w:val="1"/>
        </w:rPr>
        <w:t xml:space="preserve"> </w:t>
      </w:r>
      <w:r>
        <w:rPr>
          <w:rFonts w:ascii="FangSong" w:hAnsi="FangSong" w:eastAsia="FangSong" w:cs="FangSong"/>
          <w:sz w:val="24"/>
          <w:szCs w:val="24"/>
          <w:spacing w:val="-2"/>
        </w:rPr>
        <w:t>井时控制流速不超过</w:t>
      </w:r>
      <w:r>
        <w:rPr>
          <w:sz w:val="24"/>
          <w:szCs w:val="24"/>
          <w:spacing w:val="-2"/>
        </w:rPr>
        <w:t>3.8L/min</w:t>
      </w:r>
      <w:r>
        <w:rPr>
          <w:sz w:val="24"/>
          <w:szCs w:val="24"/>
          <w:spacing w:val="-10"/>
        </w:rPr>
        <w:t xml:space="preserve"> </w:t>
      </w:r>
      <w:r>
        <w:rPr>
          <w:rFonts w:ascii="FangSong" w:hAnsi="FangSong" w:eastAsia="FangSong" w:cs="FangSong"/>
          <w:sz w:val="24"/>
          <w:szCs w:val="24"/>
          <w:spacing w:val="-2"/>
        </w:rPr>
        <w:t>，成井洗井达标直观判断为水质基本上达到水清砂净（即基本透</w:t>
      </w:r>
      <w:r>
        <w:rPr>
          <w:rFonts w:ascii="FangSong" w:hAnsi="FangSong" w:eastAsia="FangSong" w:cs="FangSong"/>
          <w:sz w:val="24"/>
          <w:szCs w:val="24"/>
        </w:rPr>
        <w:t xml:space="preserve"> </w:t>
      </w:r>
      <w:r>
        <w:rPr>
          <w:rFonts w:ascii="FangSong" w:hAnsi="FangSong" w:eastAsia="FangSong" w:cs="FangSong"/>
          <w:sz w:val="24"/>
          <w:szCs w:val="24"/>
          <w:spacing w:val="1"/>
        </w:rPr>
        <w:t>明无色、无沉砂</w:t>
      </w:r>
      <w:r>
        <w:rPr>
          <w:rFonts w:ascii="FangSong" w:hAnsi="FangSong" w:eastAsia="FangSong" w:cs="FangSong"/>
          <w:sz w:val="24"/>
          <w:szCs w:val="24"/>
          <w:spacing w:val="26"/>
        </w:rPr>
        <w:t>），</w:t>
      </w:r>
      <w:r>
        <w:rPr>
          <w:rFonts w:ascii="FangSong" w:hAnsi="FangSong" w:eastAsia="FangSong" w:cs="FangSong"/>
          <w:sz w:val="24"/>
          <w:szCs w:val="24"/>
          <w:spacing w:val="1"/>
        </w:rPr>
        <w:t>同时监测</w:t>
      </w:r>
      <w:r>
        <w:rPr>
          <w:sz w:val="24"/>
          <w:szCs w:val="24"/>
        </w:rPr>
        <w:t>pH</w:t>
      </w:r>
      <w:r>
        <w:rPr>
          <w:rFonts w:ascii="FangSong" w:hAnsi="FangSong" w:eastAsia="FangSong" w:cs="FangSong"/>
          <w:sz w:val="24"/>
          <w:szCs w:val="24"/>
          <w:spacing w:val="1"/>
        </w:rPr>
        <w:t>值、电导率、水温等参</w:t>
      </w:r>
      <w:r>
        <w:rPr>
          <w:rFonts w:ascii="FangSong" w:hAnsi="FangSong" w:eastAsia="FangSong" w:cs="FangSong"/>
          <w:sz w:val="24"/>
          <w:szCs w:val="24"/>
        </w:rPr>
        <w:t>数值达到稳定（连续三次监测数值浮</w:t>
      </w:r>
      <w:r>
        <w:rPr>
          <w:rFonts w:ascii="FangSong" w:hAnsi="FangSong" w:eastAsia="FangSong" w:cs="FangSong"/>
          <w:sz w:val="24"/>
          <w:szCs w:val="24"/>
        </w:rPr>
        <w:t xml:space="preserve"> </w:t>
      </w:r>
      <w:r>
        <w:rPr>
          <w:rFonts w:ascii="FangSong" w:hAnsi="FangSong" w:eastAsia="FangSong" w:cs="FangSong"/>
          <w:sz w:val="24"/>
          <w:szCs w:val="24"/>
          <w:spacing w:val="1"/>
        </w:rPr>
        <w:t>动在</w:t>
      </w:r>
      <w:r>
        <w:rPr>
          <w:sz w:val="24"/>
          <w:szCs w:val="24"/>
          <w:spacing w:val="1"/>
        </w:rPr>
        <w:t>±10%</w:t>
      </w:r>
      <w:r>
        <w:rPr>
          <w:rFonts w:ascii="FangSong" w:hAnsi="FangSong" w:eastAsia="FangSong" w:cs="FangSong"/>
          <w:sz w:val="24"/>
          <w:szCs w:val="24"/>
          <w:spacing w:val="1"/>
        </w:rPr>
        <w:t>以内）。洗井过程要防止交叉污染，贝勒管洗井时一井一管，气</w:t>
      </w:r>
      <w:r>
        <w:rPr>
          <w:rFonts w:ascii="FangSong" w:hAnsi="FangSong" w:eastAsia="FangSong" w:cs="FangSong"/>
          <w:sz w:val="24"/>
          <w:szCs w:val="24"/>
        </w:rPr>
        <w:t>囊泵在洗井前要清</w:t>
      </w:r>
      <w:r>
        <w:rPr>
          <w:rFonts w:ascii="FangSong" w:hAnsi="FangSong" w:eastAsia="FangSong" w:cs="FangSong"/>
          <w:sz w:val="24"/>
          <w:szCs w:val="24"/>
        </w:rPr>
        <w:t xml:space="preserve"> </w:t>
      </w:r>
      <w:r>
        <w:rPr>
          <w:rFonts w:ascii="FangSong" w:hAnsi="FangSong" w:eastAsia="FangSong" w:cs="FangSong"/>
          <w:sz w:val="24"/>
          <w:szCs w:val="24"/>
          <w:spacing w:val="-2"/>
        </w:rPr>
        <w:t>洗泵体和管线，清洗废水要收集处置。</w:t>
      </w:r>
    </w:p>
    <w:p>
      <w:pPr>
        <w:pStyle w:val="BodyText"/>
        <w:ind w:left="532"/>
        <w:spacing w:before="3" w:line="221" w:lineRule="auto"/>
        <w:rPr>
          <w:rFonts w:ascii="FangSong" w:hAnsi="FangSong" w:eastAsia="FangSong" w:cs="FangSong"/>
          <w:sz w:val="24"/>
          <w:szCs w:val="24"/>
        </w:rPr>
      </w:pPr>
      <w:r>
        <w:rPr>
          <w:sz w:val="24"/>
          <w:szCs w:val="24"/>
          <w:spacing w:val="-2"/>
        </w:rPr>
        <w:t>7</w:t>
      </w:r>
      <w:r>
        <w:rPr>
          <w:rFonts w:ascii="FangSong" w:hAnsi="FangSong" w:eastAsia="FangSong" w:cs="FangSong"/>
          <w:sz w:val="24"/>
          <w:szCs w:val="24"/>
          <w:spacing w:val="-2"/>
        </w:rPr>
        <w:t>）成井记录单</w:t>
      </w:r>
    </w:p>
    <w:p>
      <w:pPr>
        <w:pStyle w:val="BodyText"/>
        <w:ind w:left="64" w:right="65" w:firstLine="478"/>
        <w:spacing w:before="181" w:line="360" w:lineRule="auto"/>
        <w:rPr>
          <w:rFonts w:ascii="FangSong" w:hAnsi="FangSong" w:eastAsia="FangSong" w:cs="FangSong"/>
          <w:sz w:val="24"/>
          <w:szCs w:val="24"/>
        </w:rPr>
      </w:pPr>
      <w:r>
        <w:rPr>
          <w:rFonts w:ascii="FangSong" w:hAnsi="FangSong" w:eastAsia="FangSong" w:cs="FangSong"/>
          <w:sz w:val="24"/>
          <w:szCs w:val="24"/>
        </w:rPr>
        <w:t>成井后测量记录点位坐标及管口高程，填写成井记录单（附件</w:t>
      </w:r>
      <w:r>
        <w:rPr>
          <w:sz w:val="24"/>
          <w:szCs w:val="24"/>
        </w:rPr>
        <w:t>2</w:t>
      </w:r>
      <w:r>
        <w:rPr>
          <w:rFonts w:ascii="FangSong" w:hAnsi="FangSong" w:eastAsia="FangSong" w:cs="FangSong"/>
          <w:sz w:val="24"/>
          <w:szCs w:val="24"/>
        </w:rPr>
        <w:t>）、地下水采样井洗井记</w:t>
      </w:r>
      <w:r>
        <w:rPr>
          <w:rFonts w:ascii="FangSong" w:hAnsi="FangSong" w:eastAsia="FangSong" w:cs="FangSong"/>
          <w:sz w:val="24"/>
          <w:szCs w:val="24"/>
          <w:spacing w:val="5"/>
        </w:rPr>
        <w:t xml:space="preserve"> </w:t>
      </w:r>
      <w:r>
        <w:rPr>
          <w:rFonts w:ascii="FangSong" w:hAnsi="FangSong" w:eastAsia="FangSong" w:cs="FangSong"/>
          <w:sz w:val="24"/>
          <w:szCs w:val="24"/>
        </w:rPr>
        <w:t>录单（附件</w:t>
      </w:r>
      <w:r>
        <w:rPr>
          <w:sz w:val="24"/>
          <w:szCs w:val="24"/>
        </w:rPr>
        <w:t>3</w:t>
      </w:r>
      <w:r>
        <w:rPr>
          <w:rFonts w:ascii="FangSong" w:hAnsi="FangSong" w:eastAsia="FangSong" w:cs="FangSong"/>
          <w:sz w:val="24"/>
          <w:szCs w:val="24"/>
          <w:spacing w:val="11"/>
        </w:rPr>
        <w:t>）；</w:t>
      </w:r>
      <w:r>
        <w:rPr>
          <w:rFonts w:ascii="FangSong" w:hAnsi="FangSong" w:eastAsia="FangSong" w:cs="FangSong"/>
          <w:sz w:val="24"/>
          <w:szCs w:val="24"/>
        </w:rPr>
        <w:t>成井过程中利用初步采样调查终</w:t>
      </w:r>
      <w:r>
        <w:rPr>
          <w:rFonts w:ascii="FangSong" w:hAnsi="FangSong" w:eastAsia="FangSong" w:cs="FangSong"/>
          <w:sz w:val="24"/>
          <w:szCs w:val="24"/>
          <w:spacing w:val="-1"/>
        </w:rPr>
        <w:t>端系统对井管处理、滤料填充和止水材料、</w:t>
      </w:r>
      <w:r>
        <w:rPr>
          <w:rFonts w:ascii="FangSong" w:hAnsi="FangSong" w:eastAsia="FangSong" w:cs="FangSong"/>
          <w:sz w:val="24"/>
          <w:szCs w:val="24"/>
        </w:rPr>
        <w:t xml:space="preserve"> </w:t>
      </w:r>
      <w:r>
        <w:rPr>
          <w:rFonts w:ascii="FangSong" w:hAnsi="FangSong" w:eastAsia="FangSong" w:cs="FangSong"/>
          <w:sz w:val="24"/>
          <w:szCs w:val="24"/>
          <w:spacing w:val="-1"/>
        </w:rPr>
        <w:t>洗井作业和洗井合格出水等关键环节或信息拍照记录。</w:t>
      </w:r>
    </w:p>
    <w:p>
      <w:pPr>
        <w:ind w:left="543"/>
        <w:spacing w:line="219" w:lineRule="auto"/>
        <w:rPr>
          <w:rFonts w:ascii="FangSong" w:hAnsi="FangSong" w:eastAsia="FangSong" w:cs="FangSong"/>
          <w:sz w:val="24"/>
          <w:szCs w:val="24"/>
        </w:rPr>
      </w:pPr>
      <w:r>
        <w:rPr>
          <w:rFonts w:ascii="FangSong" w:hAnsi="FangSong" w:eastAsia="FangSong" w:cs="FangSong"/>
          <w:sz w:val="24"/>
          <w:szCs w:val="24"/>
          <w:spacing w:val="-3"/>
        </w:rPr>
        <w:t>（三）采样井洗井</w:t>
      </w:r>
    </w:p>
    <w:p>
      <w:pPr>
        <w:ind w:left="540"/>
        <w:spacing w:before="184" w:line="219" w:lineRule="auto"/>
        <w:rPr>
          <w:rFonts w:ascii="FangSong" w:hAnsi="FangSong" w:eastAsia="FangSong" w:cs="FangSong"/>
          <w:sz w:val="24"/>
          <w:szCs w:val="24"/>
        </w:rPr>
      </w:pPr>
      <w:r>
        <w:rPr>
          <w:rFonts w:ascii="FangSong" w:hAnsi="FangSong" w:eastAsia="FangSong" w:cs="FangSong"/>
          <w:sz w:val="24"/>
          <w:szCs w:val="24"/>
          <w:spacing w:val="-2"/>
        </w:rPr>
        <w:t>采样前洗井注意事项如下：</w:t>
      </w:r>
    </w:p>
    <w:p>
      <w:pPr>
        <w:pStyle w:val="BodyText"/>
        <w:ind w:left="543"/>
        <w:spacing w:before="183" w:line="219" w:lineRule="auto"/>
        <w:rPr>
          <w:rFonts w:ascii="FangSong" w:hAnsi="FangSong" w:eastAsia="FangSong" w:cs="FangSong"/>
          <w:sz w:val="24"/>
          <w:szCs w:val="24"/>
        </w:rPr>
      </w:pPr>
      <w:r>
        <w:rPr>
          <w:rFonts w:ascii="FangSong" w:hAnsi="FangSong" w:eastAsia="FangSong" w:cs="FangSong"/>
          <w:sz w:val="24"/>
          <w:szCs w:val="24"/>
          <w:spacing w:val="-1"/>
        </w:rPr>
        <w:t>（</w:t>
      </w:r>
      <w:r>
        <w:rPr>
          <w:sz w:val="24"/>
          <w:szCs w:val="24"/>
          <w:spacing w:val="-1"/>
        </w:rPr>
        <w:t>1</w:t>
      </w:r>
      <w:r>
        <w:rPr>
          <w:rFonts w:ascii="FangSong" w:hAnsi="FangSong" w:eastAsia="FangSong" w:cs="FangSong"/>
          <w:sz w:val="24"/>
          <w:szCs w:val="24"/>
          <w:spacing w:val="-1"/>
        </w:rPr>
        <w:t>）采样前洗井应至少在成井洗井</w:t>
      </w:r>
      <w:r>
        <w:rPr>
          <w:sz w:val="24"/>
          <w:szCs w:val="24"/>
          <w:spacing w:val="-1"/>
        </w:rPr>
        <w:t>48h</w:t>
      </w:r>
      <w:r>
        <w:rPr>
          <w:rFonts w:ascii="FangSong" w:hAnsi="FangSong" w:eastAsia="FangSong" w:cs="FangSong"/>
          <w:sz w:val="24"/>
          <w:szCs w:val="24"/>
          <w:spacing w:val="-1"/>
        </w:rPr>
        <w:t>后开始。</w:t>
      </w:r>
    </w:p>
    <w:p>
      <w:pPr>
        <w:pStyle w:val="BodyText"/>
        <w:ind w:left="543"/>
        <w:spacing w:before="183" w:line="219" w:lineRule="auto"/>
        <w:rPr>
          <w:rFonts w:ascii="FangSong" w:hAnsi="FangSong" w:eastAsia="FangSong" w:cs="FangSong"/>
          <w:sz w:val="24"/>
          <w:szCs w:val="24"/>
        </w:rPr>
      </w:pPr>
      <w:r>
        <w:rPr>
          <w:rFonts w:ascii="FangSong" w:hAnsi="FangSong" w:eastAsia="FangSong" w:cs="FangSong"/>
          <w:sz w:val="24"/>
          <w:szCs w:val="24"/>
          <w:spacing w:val="-1"/>
        </w:rPr>
        <w:t>（</w:t>
      </w:r>
      <w:r>
        <w:rPr>
          <w:sz w:val="24"/>
          <w:szCs w:val="24"/>
          <w:spacing w:val="-1"/>
        </w:rPr>
        <w:t>2</w:t>
      </w:r>
      <w:r>
        <w:rPr>
          <w:rFonts w:ascii="FangSong" w:hAnsi="FangSong" w:eastAsia="FangSong" w:cs="FangSong"/>
          <w:sz w:val="24"/>
          <w:szCs w:val="24"/>
          <w:spacing w:val="-1"/>
        </w:rPr>
        <w:t>）采样前洗井避免对井内水体产生气提、气曝等扰动。本项目采用</w:t>
      </w:r>
      <w:r>
        <w:rPr>
          <w:sz w:val="24"/>
          <w:szCs w:val="24"/>
          <w:spacing w:val="-1"/>
        </w:rPr>
        <w:t>XXX</w:t>
      </w:r>
      <w:r>
        <w:rPr>
          <w:rFonts w:ascii="FangSong" w:hAnsi="FangSong" w:eastAsia="FangSong" w:cs="FangSong"/>
          <w:sz w:val="24"/>
          <w:szCs w:val="24"/>
          <w:spacing w:val="-1"/>
        </w:rPr>
        <w:t>进行洗井。</w:t>
      </w:r>
    </w:p>
    <w:p>
      <w:pPr>
        <w:pStyle w:val="BodyText"/>
        <w:ind w:right="65" w:firstLine="543"/>
        <w:spacing w:before="181" w:line="326" w:lineRule="auto"/>
        <w:rPr>
          <w:rFonts w:ascii="FangSong" w:hAnsi="FangSong" w:eastAsia="FangSong" w:cs="FangSong"/>
          <w:sz w:val="24"/>
          <w:szCs w:val="24"/>
        </w:rPr>
      </w:pPr>
      <w:r>
        <w:rPr>
          <w:rFonts w:ascii="FangSong" w:hAnsi="FangSong" w:eastAsia="FangSong" w:cs="FangSong"/>
          <w:sz w:val="24"/>
          <w:szCs w:val="24"/>
          <w:spacing w:val="-1"/>
        </w:rPr>
        <w:t>（</w:t>
      </w:r>
      <w:r>
        <w:rPr>
          <w:sz w:val="24"/>
          <w:szCs w:val="24"/>
          <w:spacing w:val="-1"/>
        </w:rPr>
        <w:t>3</w:t>
      </w:r>
      <w:r>
        <w:rPr>
          <w:rFonts w:ascii="FangSong" w:hAnsi="FangSong" w:eastAsia="FangSong" w:cs="FangSong"/>
          <w:sz w:val="24"/>
          <w:szCs w:val="24"/>
          <w:spacing w:val="-1"/>
        </w:rPr>
        <w:t>）洗井前对</w:t>
      </w:r>
      <w:r>
        <w:rPr>
          <w:sz w:val="24"/>
          <w:szCs w:val="24"/>
          <w:spacing w:val="-1"/>
        </w:rPr>
        <w:t>pH</w:t>
      </w:r>
      <w:r>
        <w:rPr>
          <w:rFonts w:ascii="FangSong" w:hAnsi="FangSong" w:eastAsia="FangSong" w:cs="FangSong"/>
          <w:sz w:val="24"/>
          <w:szCs w:val="24"/>
          <w:spacing w:val="-1"/>
        </w:rPr>
        <w:t>计、电导率和氧化还原电位仪等检测仪器进行现场</w:t>
      </w:r>
      <w:r>
        <w:rPr>
          <w:rFonts w:ascii="FangSong" w:hAnsi="FangSong" w:eastAsia="FangSong" w:cs="FangSong"/>
          <w:sz w:val="24"/>
          <w:szCs w:val="24"/>
          <w:spacing w:val="-2"/>
        </w:rPr>
        <w:t>校正，校正结果填入</w:t>
      </w:r>
      <w:r>
        <w:rPr>
          <w:rFonts w:ascii="FangSong" w:hAnsi="FangSong" w:eastAsia="FangSong" w:cs="FangSong"/>
          <w:sz w:val="24"/>
          <w:szCs w:val="24"/>
        </w:rPr>
        <w:t xml:space="preserve"> </w:t>
      </w:r>
      <w:r>
        <w:rPr>
          <w:sz w:val="24"/>
          <w:szCs w:val="24"/>
          <w:spacing w:val="-1"/>
        </w:rPr>
        <w:t>“</w:t>
      </w:r>
      <w:r>
        <w:rPr>
          <w:rFonts w:ascii="FangSong" w:hAnsi="FangSong" w:eastAsia="FangSong" w:cs="FangSong"/>
          <w:sz w:val="24"/>
          <w:szCs w:val="24"/>
          <w:spacing w:val="-1"/>
        </w:rPr>
        <w:t>附件</w:t>
      </w:r>
      <w:r>
        <w:rPr>
          <w:sz w:val="24"/>
          <w:szCs w:val="24"/>
          <w:spacing w:val="-1"/>
        </w:rPr>
        <w:t>3</w:t>
      </w:r>
      <w:r>
        <w:rPr>
          <w:rFonts w:ascii="FangSong" w:hAnsi="FangSong" w:eastAsia="FangSong" w:cs="FangSong"/>
          <w:sz w:val="24"/>
          <w:szCs w:val="24"/>
          <w:spacing w:val="-1"/>
        </w:rPr>
        <w:t>地下水采样井洗井记录单</w:t>
      </w:r>
      <w:r>
        <w:rPr>
          <w:sz w:val="24"/>
          <w:szCs w:val="24"/>
          <w:spacing w:val="-1"/>
        </w:rPr>
        <w:t>”</w:t>
      </w:r>
      <w:r>
        <w:rPr>
          <w:rFonts w:ascii="FangSong" w:hAnsi="FangSong" w:eastAsia="FangSong" w:cs="FangSong"/>
          <w:sz w:val="24"/>
          <w:szCs w:val="24"/>
          <w:spacing w:val="-1"/>
        </w:rPr>
        <w:t>。开始洗井时，以小流量抽水，同时洗井过程中每隔</w:t>
      </w:r>
      <w:r>
        <w:rPr>
          <w:sz w:val="24"/>
          <w:szCs w:val="24"/>
          <w:spacing w:val="-1"/>
        </w:rPr>
        <w:t>5</w:t>
      </w:r>
      <w:r>
        <w:rPr>
          <w:rFonts w:ascii="FangSong" w:hAnsi="FangSong" w:eastAsia="FangSong" w:cs="FangSong"/>
          <w:sz w:val="24"/>
          <w:szCs w:val="24"/>
          <w:spacing w:val="-1"/>
        </w:rPr>
        <w:t>分钟读</w:t>
      </w:r>
      <w:r>
        <w:rPr>
          <w:rFonts w:ascii="FangSong" w:hAnsi="FangSong" w:eastAsia="FangSong" w:cs="FangSong"/>
          <w:sz w:val="24"/>
          <w:szCs w:val="24"/>
          <w:spacing w:val="18"/>
        </w:rPr>
        <w:t xml:space="preserve"> </w:t>
      </w:r>
      <w:r>
        <w:rPr>
          <w:rFonts w:ascii="FangSong" w:hAnsi="FangSong" w:eastAsia="FangSong" w:cs="FangSong"/>
          <w:sz w:val="24"/>
          <w:szCs w:val="24"/>
          <w:spacing w:val="1"/>
        </w:rPr>
        <w:t>取并记录</w:t>
      </w:r>
      <w:r>
        <w:rPr>
          <w:sz w:val="24"/>
          <w:szCs w:val="24"/>
        </w:rPr>
        <w:t>pH</w:t>
      </w:r>
      <w:r>
        <w:rPr>
          <w:sz w:val="24"/>
          <w:szCs w:val="24"/>
          <w:spacing w:val="-24"/>
        </w:rPr>
        <w:t xml:space="preserve"> </w:t>
      </w:r>
      <w:r>
        <w:rPr>
          <w:rFonts w:ascii="FangSong" w:hAnsi="FangSong" w:eastAsia="FangSong" w:cs="FangSong"/>
          <w:sz w:val="24"/>
          <w:szCs w:val="24"/>
          <w:spacing w:val="1"/>
        </w:rPr>
        <w:t>、电导率和氧化还原电位（</w:t>
      </w:r>
      <w:r>
        <w:rPr>
          <w:sz w:val="24"/>
          <w:szCs w:val="24"/>
        </w:rPr>
        <w:t>ORP</w:t>
      </w:r>
      <w:r>
        <w:rPr>
          <w:rFonts w:ascii="FangSong" w:hAnsi="FangSong" w:eastAsia="FangSong" w:cs="FangSong"/>
          <w:sz w:val="24"/>
          <w:szCs w:val="24"/>
          <w:spacing w:val="11"/>
        </w:rPr>
        <w:t>），</w:t>
      </w:r>
      <w:r>
        <w:rPr>
          <w:rFonts w:ascii="FangSong" w:hAnsi="FangSong" w:eastAsia="FangSong" w:cs="FangSong"/>
          <w:sz w:val="24"/>
          <w:szCs w:val="24"/>
          <w:spacing w:val="1"/>
        </w:rPr>
        <w:t>连续三次采样达到以下要求结束洗井：</w:t>
      </w:r>
      <w:r>
        <w:rPr>
          <w:sz w:val="24"/>
          <w:szCs w:val="24"/>
        </w:rPr>
        <w:t>pH</w:t>
      </w:r>
      <w:r>
        <w:rPr>
          <w:rFonts w:ascii="FangSong" w:hAnsi="FangSong" w:eastAsia="FangSong" w:cs="FangSong"/>
          <w:sz w:val="24"/>
          <w:szCs w:val="24"/>
          <w:spacing w:val="1"/>
        </w:rPr>
        <w:t>变</w:t>
      </w:r>
      <w:r>
        <w:rPr>
          <w:rFonts w:ascii="FangSong" w:hAnsi="FangSong" w:eastAsia="FangSong" w:cs="FangSong"/>
          <w:sz w:val="24"/>
          <w:szCs w:val="24"/>
        </w:rPr>
        <w:t xml:space="preserve"> </w:t>
      </w:r>
      <w:r>
        <w:rPr>
          <w:rFonts w:ascii="FangSong" w:hAnsi="FangSong" w:eastAsia="FangSong" w:cs="FangSong"/>
          <w:sz w:val="24"/>
          <w:szCs w:val="24"/>
        </w:rPr>
        <w:t>化范围为</w:t>
      </w:r>
      <w:r>
        <w:rPr>
          <w:sz w:val="24"/>
          <w:szCs w:val="24"/>
        </w:rPr>
        <w:t>±0.1</w:t>
      </w:r>
      <w:r>
        <w:rPr>
          <w:sz w:val="24"/>
          <w:szCs w:val="24"/>
          <w:spacing w:val="-19"/>
        </w:rPr>
        <w:t xml:space="preserve"> </w:t>
      </w:r>
      <w:r>
        <w:rPr>
          <w:rFonts w:ascii="FangSong" w:hAnsi="FangSong" w:eastAsia="FangSong" w:cs="FangSong"/>
          <w:sz w:val="24"/>
          <w:szCs w:val="24"/>
        </w:rPr>
        <w:t>；电导率变化范围为</w:t>
      </w:r>
      <w:r>
        <w:rPr>
          <w:sz w:val="24"/>
          <w:szCs w:val="24"/>
        </w:rPr>
        <w:t>±3%</w:t>
      </w:r>
      <w:r>
        <w:rPr>
          <w:rFonts w:ascii="FangSong" w:hAnsi="FangSong" w:eastAsia="FangSong" w:cs="FangSong"/>
          <w:sz w:val="24"/>
          <w:szCs w:val="24"/>
        </w:rPr>
        <w:t>；</w:t>
      </w:r>
      <w:r>
        <w:rPr>
          <w:sz w:val="24"/>
          <w:szCs w:val="24"/>
        </w:rPr>
        <w:t>ORP</w:t>
      </w:r>
      <w:r>
        <w:rPr>
          <w:rFonts w:ascii="FangSong" w:hAnsi="FangSong" w:eastAsia="FangSong" w:cs="FangSong"/>
          <w:sz w:val="24"/>
          <w:szCs w:val="24"/>
        </w:rPr>
        <w:t>变化范围</w:t>
      </w:r>
      <w:r>
        <w:rPr>
          <w:sz w:val="24"/>
          <w:szCs w:val="24"/>
        </w:rPr>
        <w:t>±10mV</w:t>
      </w:r>
      <w:r>
        <w:rPr>
          <w:rFonts w:ascii="FangSong" w:hAnsi="FangSong" w:eastAsia="FangSong" w:cs="FangSong"/>
          <w:sz w:val="24"/>
          <w:szCs w:val="24"/>
        </w:rPr>
        <w:t>。</w:t>
      </w:r>
    </w:p>
    <w:p>
      <w:pPr>
        <w:pStyle w:val="BodyText"/>
        <w:ind w:left="543"/>
        <w:spacing w:before="179" w:line="219" w:lineRule="auto"/>
        <w:rPr>
          <w:rFonts w:ascii="FangSong" w:hAnsi="FangSong" w:eastAsia="FangSong" w:cs="FangSong"/>
          <w:sz w:val="24"/>
          <w:szCs w:val="24"/>
        </w:rPr>
      </w:pPr>
      <w:r>
        <w:rPr>
          <w:rFonts w:ascii="FangSong" w:hAnsi="FangSong" w:eastAsia="FangSong" w:cs="FangSong"/>
          <w:sz w:val="24"/>
          <w:szCs w:val="24"/>
          <w:spacing w:val="-1"/>
        </w:rPr>
        <w:t>（</w:t>
      </w:r>
      <w:r>
        <w:rPr>
          <w:sz w:val="24"/>
          <w:szCs w:val="24"/>
          <w:spacing w:val="-1"/>
        </w:rPr>
        <w:t>4</w:t>
      </w:r>
      <w:r>
        <w:rPr>
          <w:rFonts w:ascii="FangSong" w:hAnsi="FangSong" w:eastAsia="FangSong" w:cs="FangSong"/>
          <w:sz w:val="24"/>
          <w:szCs w:val="24"/>
          <w:spacing w:val="-1"/>
        </w:rPr>
        <w:t>）采样前洗井过程填写地下水采样井洗井记录单（附件</w:t>
      </w:r>
      <w:r>
        <w:rPr>
          <w:sz w:val="24"/>
          <w:szCs w:val="24"/>
          <w:spacing w:val="-1"/>
        </w:rPr>
        <w:t>3</w:t>
      </w:r>
      <w:r>
        <w:rPr>
          <w:rFonts w:ascii="FangSong" w:hAnsi="FangSong" w:eastAsia="FangSong" w:cs="FangSong"/>
          <w:sz w:val="24"/>
          <w:szCs w:val="24"/>
          <w:spacing w:val="-1"/>
        </w:rPr>
        <w:t>）。</w:t>
      </w:r>
    </w:p>
    <w:p>
      <w:pPr>
        <w:pStyle w:val="BodyText"/>
        <w:ind w:left="51"/>
        <w:spacing w:before="184" w:line="219" w:lineRule="auto"/>
        <w:outlineLvl w:val="3"/>
        <w:rPr>
          <w:rFonts w:ascii="FangSong" w:hAnsi="FangSong" w:eastAsia="FangSong" w:cs="FangSong"/>
          <w:sz w:val="24"/>
          <w:szCs w:val="24"/>
        </w:rPr>
      </w:pPr>
      <w:r>
        <w:rPr>
          <w:sz w:val="24"/>
          <w:szCs w:val="24"/>
          <w:b/>
          <w:bCs/>
          <w:spacing w:val="-2"/>
        </w:rPr>
        <w:t>7.2.3.2  </w:t>
      </w:r>
      <w:r>
        <w:rPr>
          <w:rFonts w:ascii="FangSong" w:hAnsi="FangSong" w:eastAsia="FangSong" w:cs="FangSong"/>
          <w:sz w:val="24"/>
          <w:szCs w:val="24"/>
          <w:b/>
          <w:bCs/>
          <w:spacing w:val="-2"/>
        </w:rPr>
        <w:t>地下水样品采集</w:t>
      </w:r>
    </w:p>
    <w:p>
      <w:pPr>
        <w:pStyle w:val="BodyText"/>
        <w:ind w:left="543"/>
        <w:spacing w:before="183" w:line="219" w:lineRule="auto"/>
        <w:rPr>
          <w:rFonts w:ascii="FangSong" w:hAnsi="FangSong" w:eastAsia="FangSong" w:cs="FangSong"/>
          <w:sz w:val="24"/>
          <w:szCs w:val="24"/>
        </w:rPr>
      </w:pPr>
      <w:r>
        <w:rPr>
          <w:rFonts w:ascii="FangSong" w:hAnsi="FangSong" w:eastAsia="FangSong" w:cs="FangSong"/>
          <w:sz w:val="24"/>
          <w:szCs w:val="24"/>
          <w:spacing w:val="-3"/>
        </w:rPr>
        <w:t>（</w:t>
      </w:r>
      <w:r>
        <w:rPr>
          <w:sz w:val="24"/>
          <w:szCs w:val="24"/>
          <w:spacing w:val="-3"/>
        </w:rPr>
        <w:t>1</w:t>
      </w:r>
      <w:r>
        <w:rPr>
          <w:rFonts w:ascii="FangSong" w:hAnsi="FangSong" w:eastAsia="FangSong" w:cs="FangSong"/>
          <w:sz w:val="24"/>
          <w:szCs w:val="24"/>
          <w:spacing w:val="-3"/>
        </w:rPr>
        <w:t>）采样前洗井</w:t>
      </w:r>
    </w:p>
    <w:p>
      <w:pPr>
        <w:ind w:left="540"/>
        <w:spacing w:before="183" w:line="219" w:lineRule="auto"/>
        <w:rPr>
          <w:rFonts w:ascii="FangSong" w:hAnsi="FangSong" w:eastAsia="FangSong" w:cs="FangSong"/>
          <w:sz w:val="24"/>
          <w:szCs w:val="24"/>
        </w:rPr>
      </w:pPr>
      <w:r>
        <w:rPr>
          <w:rFonts w:ascii="FangSong" w:hAnsi="FangSong" w:eastAsia="FangSong" w:cs="FangSong"/>
          <w:sz w:val="24"/>
          <w:szCs w:val="24"/>
          <w:spacing w:val="-2"/>
        </w:rPr>
        <w:t>采样前洗井注意事项如下：</w:t>
      </w:r>
    </w:p>
    <w:p>
      <w:pPr>
        <w:pStyle w:val="BodyText"/>
        <w:ind w:left="531"/>
        <w:spacing w:before="184" w:line="219" w:lineRule="auto"/>
        <w:rPr>
          <w:rFonts w:ascii="FangSong" w:hAnsi="FangSong" w:eastAsia="FangSong" w:cs="FangSong"/>
          <w:sz w:val="24"/>
          <w:szCs w:val="24"/>
        </w:rPr>
      </w:pPr>
      <w:r>
        <w:rPr>
          <w:rFonts w:ascii="FangSong" w:hAnsi="FangSong" w:eastAsia="FangSong" w:cs="FangSong"/>
          <w:sz w:val="24"/>
          <w:szCs w:val="24"/>
          <w:spacing w:val="-1"/>
        </w:rPr>
        <w:t>①采样前洗井应至少在成井洗井</w:t>
      </w:r>
      <w:r>
        <w:rPr>
          <w:sz w:val="24"/>
          <w:szCs w:val="24"/>
          <w:spacing w:val="-1"/>
        </w:rPr>
        <w:t>48h</w:t>
      </w:r>
      <w:r>
        <w:rPr>
          <w:rFonts w:ascii="FangSong" w:hAnsi="FangSong" w:eastAsia="FangSong" w:cs="FangSong"/>
          <w:sz w:val="24"/>
          <w:szCs w:val="24"/>
          <w:spacing w:val="-1"/>
        </w:rPr>
        <w:t>后开始。</w:t>
      </w:r>
    </w:p>
    <w:p>
      <w:pPr>
        <w:ind w:left="60" w:firstLine="469"/>
        <w:spacing w:before="182" w:line="290" w:lineRule="auto"/>
        <w:rPr>
          <w:rFonts w:ascii="FangSong" w:hAnsi="FangSong" w:eastAsia="FangSong" w:cs="FangSong"/>
          <w:sz w:val="24"/>
          <w:szCs w:val="24"/>
        </w:rPr>
      </w:pPr>
      <w:r>
        <w:rPr>
          <w:rFonts w:ascii="FangSong" w:hAnsi="FangSong" w:eastAsia="FangSong" w:cs="FangSong"/>
          <w:sz w:val="24"/>
          <w:szCs w:val="24"/>
          <w:spacing w:val="-7"/>
        </w:rPr>
        <w:t>②采样前洗井避免对井内水体产生气提、气曝等扰动。本项目采用低流量气囊泵进行洗井，</w:t>
      </w:r>
      <w:r>
        <w:rPr>
          <w:rFonts w:ascii="FangSong" w:hAnsi="FangSong" w:eastAsia="FangSong" w:cs="FangSong"/>
          <w:sz w:val="24"/>
          <w:szCs w:val="24"/>
          <w:spacing w:val="3"/>
        </w:rPr>
        <w:t xml:space="preserve"> </w:t>
      </w:r>
      <w:r>
        <w:rPr>
          <w:rFonts w:ascii="FangSong" w:hAnsi="FangSong" w:eastAsia="FangSong" w:cs="FangSong"/>
          <w:sz w:val="24"/>
          <w:szCs w:val="24"/>
          <w:spacing w:val="-2"/>
        </w:rPr>
        <w:t>对水体扰动较小且不带出沉底泥砂。</w:t>
      </w:r>
    </w:p>
    <w:p>
      <w:pPr>
        <w:spacing w:line="290" w:lineRule="auto"/>
        <w:sectPr>
          <w:headerReference w:type="default" r:id="rId124"/>
          <w:footerReference w:type="default" r:id="rId125"/>
          <w:pgSz w:w="11906" w:h="16839"/>
          <w:pgMar w:top="1139" w:right="1014" w:bottom="1252" w:left="1036" w:header="831" w:footer="1090" w:gutter="0"/>
        </w:sectPr>
        <w:rPr>
          <w:rFonts w:ascii="FangSong" w:hAnsi="FangSong" w:eastAsia="FangSong" w:cs="FangSong"/>
          <w:sz w:val="24"/>
          <w:szCs w:val="24"/>
        </w:rPr>
      </w:pPr>
    </w:p>
    <w:p>
      <w:pPr>
        <w:spacing w:line="331" w:lineRule="auto"/>
        <w:rPr>
          <w:rFonts w:ascii="Arial"/>
          <w:sz w:val="21"/>
        </w:rPr>
      </w:pPr>
      <w:r/>
    </w:p>
    <w:p>
      <w:pPr>
        <w:pStyle w:val="BodyText"/>
        <w:ind w:left="15" w:right="38" w:firstLine="471"/>
        <w:spacing w:before="78" w:line="326" w:lineRule="auto"/>
        <w:rPr>
          <w:rFonts w:ascii="FangSong" w:hAnsi="FangSong" w:eastAsia="FangSong" w:cs="FangSong"/>
          <w:sz w:val="24"/>
          <w:szCs w:val="24"/>
        </w:rPr>
      </w:pPr>
      <w:r>
        <w:rPr>
          <w:rFonts w:ascii="FangSong" w:hAnsi="FangSong" w:eastAsia="FangSong" w:cs="FangSong"/>
          <w:sz w:val="24"/>
          <w:szCs w:val="24"/>
          <w:spacing w:val="-4"/>
        </w:rPr>
        <w:t>③洗井前对</w:t>
      </w:r>
      <w:r>
        <w:rPr>
          <w:sz w:val="24"/>
          <w:szCs w:val="24"/>
          <w:spacing w:val="-4"/>
        </w:rPr>
        <w:t>pH</w:t>
      </w:r>
      <w:r>
        <w:rPr>
          <w:rFonts w:ascii="FangSong" w:hAnsi="FangSong" w:eastAsia="FangSong" w:cs="FangSong"/>
          <w:sz w:val="24"/>
          <w:szCs w:val="24"/>
          <w:spacing w:val="-4"/>
        </w:rPr>
        <w:t>计、电导率和氧化还原电位仪等检测仪器进行现场校正，校正结果填入“附</w:t>
      </w:r>
      <w:r>
        <w:rPr>
          <w:rFonts w:ascii="FangSong" w:hAnsi="FangSong" w:eastAsia="FangSong" w:cs="FangSong"/>
          <w:sz w:val="24"/>
          <w:szCs w:val="24"/>
          <w:spacing w:val="4"/>
        </w:rPr>
        <w:t xml:space="preserve"> </w:t>
      </w:r>
      <w:r>
        <w:rPr>
          <w:rFonts w:ascii="FangSong" w:hAnsi="FangSong" w:eastAsia="FangSong" w:cs="FangSong"/>
          <w:sz w:val="24"/>
          <w:szCs w:val="24"/>
          <w:spacing w:val="-3"/>
        </w:rPr>
        <w:t>件</w:t>
      </w:r>
      <w:r>
        <w:rPr>
          <w:sz w:val="24"/>
          <w:szCs w:val="24"/>
          <w:spacing w:val="-3"/>
        </w:rPr>
        <w:t>3</w:t>
      </w:r>
      <w:r>
        <w:rPr>
          <w:rFonts w:ascii="FangSong" w:hAnsi="FangSong" w:eastAsia="FangSong" w:cs="FangSong"/>
          <w:sz w:val="24"/>
          <w:szCs w:val="24"/>
          <w:spacing w:val="-3"/>
        </w:rPr>
        <w:t>地下水采样井洗井记录单</w:t>
      </w:r>
      <w:r>
        <w:rPr>
          <w:rFonts w:ascii="FangSong" w:hAnsi="FangSong" w:eastAsia="FangSong" w:cs="FangSong"/>
          <w:sz w:val="24"/>
          <w:szCs w:val="24"/>
          <w:spacing w:val="-88"/>
        </w:rPr>
        <w:t xml:space="preserve"> </w:t>
      </w:r>
      <w:r>
        <w:rPr>
          <w:rFonts w:ascii="FangSong" w:hAnsi="FangSong" w:eastAsia="FangSong" w:cs="FangSong"/>
          <w:sz w:val="24"/>
          <w:szCs w:val="24"/>
          <w:spacing w:val="-3"/>
        </w:rPr>
        <w:t>”。开始洗井时，以小流量</w:t>
      </w:r>
      <w:r>
        <w:rPr>
          <w:rFonts w:ascii="FangSong" w:hAnsi="FangSong" w:eastAsia="FangSong" w:cs="FangSong"/>
          <w:sz w:val="24"/>
          <w:szCs w:val="24"/>
          <w:spacing w:val="-4"/>
        </w:rPr>
        <w:t>抽水，同时洗井过程中每隔</w:t>
      </w:r>
      <w:r>
        <w:rPr>
          <w:sz w:val="24"/>
          <w:szCs w:val="24"/>
          <w:spacing w:val="-4"/>
        </w:rPr>
        <w:t>5</w:t>
      </w:r>
      <w:r>
        <w:rPr>
          <w:rFonts w:ascii="FangSong" w:hAnsi="FangSong" w:eastAsia="FangSong" w:cs="FangSong"/>
          <w:sz w:val="24"/>
          <w:szCs w:val="24"/>
          <w:spacing w:val="-4"/>
        </w:rPr>
        <w:t>分钟读取</w:t>
      </w:r>
      <w:r>
        <w:rPr>
          <w:rFonts w:ascii="FangSong" w:hAnsi="FangSong" w:eastAsia="FangSong" w:cs="FangSong"/>
          <w:sz w:val="24"/>
          <w:szCs w:val="24"/>
        </w:rPr>
        <w:t xml:space="preserve"> </w:t>
      </w:r>
      <w:r>
        <w:rPr>
          <w:rFonts w:ascii="FangSong" w:hAnsi="FangSong" w:eastAsia="FangSong" w:cs="FangSong"/>
          <w:sz w:val="24"/>
          <w:szCs w:val="24"/>
        </w:rPr>
        <w:t>并记录</w:t>
      </w:r>
      <w:r>
        <w:rPr>
          <w:sz w:val="24"/>
          <w:szCs w:val="24"/>
        </w:rPr>
        <w:t>pH</w:t>
      </w:r>
      <w:r>
        <w:rPr>
          <w:sz w:val="24"/>
          <w:szCs w:val="24"/>
          <w:spacing w:val="-26"/>
        </w:rPr>
        <w:t xml:space="preserve"> </w:t>
      </w:r>
      <w:r>
        <w:rPr>
          <w:rFonts w:ascii="FangSong" w:hAnsi="FangSong" w:eastAsia="FangSong" w:cs="FangSong"/>
          <w:sz w:val="24"/>
          <w:szCs w:val="24"/>
        </w:rPr>
        <w:t>、电导率和氧化还原电位（</w:t>
      </w:r>
      <w:r>
        <w:rPr>
          <w:sz w:val="24"/>
          <w:szCs w:val="24"/>
        </w:rPr>
        <w:t>ORP</w:t>
      </w:r>
      <w:r>
        <w:rPr>
          <w:rFonts w:ascii="FangSong" w:hAnsi="FangSong" w:eastAsia="FangSong" w:cs="FangSong"/>
          <w:sz w:val="24"/>
          <w:szCs w:val="24"/>
          <w:spacing w:val="10"/>
        </w:rPr>
        <w:t>），</w:t>
      </w:r>
      <w:r>
        <w:rPr>
          <w:rFonts w:ascii="FangSong" w:hAnsi="FangSong" w:eastAsia="FangSong" w:cs="FangSong"/>
          <w:sz w:val="24"/>
          <w:szCs w:val="24"/>
        </w:rPr>
        <w:t>连续三</w:t>
      </w:r>
      <w:r>
        <w:rPr>
          <w:rFonts w:ascii="FangSong" w:hAnsi="FangSong" w:eastAsia="FangSong" w:cs="FangSong"/>
          <w:sz w:val="24"/>
          <w:szCs w:val="24"/>
          <w:spacing w:val="-1"/>
        </w:rPr>
        <w:t>次采样达到以下要求结束洗井：</w:t>
      </w:r>
      <w:r>
        <w:rPr>
          <w:sz w:val="24"/>
          <w:szCs w:val="24"/>
          <w:spacing w:val="-1"/>
        </w:rPr>
        <w:t>pH</w:t>
      </w:r>
      <w:r>
        <w:rPr>
          <w:rFonts w:ascii="FangSong" w:hAnsi="FangSong" w:eastAsia="FangSong" w:cs="FangSong"/>
          <w:sz w:val="24"/>
          <w:szCs w:val="24"/>
          <w:spacing w:val="-1"/>
        </w:rPr>
        <w:t>变化</w:t>
      </w:r>
      <w:r>
        <w:rPr>
          <w:rFonts w:ascii="FangSong" w:hAnsi="FangSong" w:eastAsia="FangSong" w:cs="FangSong"/>
          <w:sz w:val="24"/>
          <w:szCs w:val="24"/>
        </w:rPr>
        <w:t xml:space="preserve"> </w:t>
      </w:r>
      <w:r>
        <w:rPr>
          <w:rFonts w:ascii="FangSong" w:hAnsi="FangSong" w:eastAsia="FangSong" w:cs="FangSong"/>
          <w:sz w:val="24"/>
          <w:szCs w:val="24"/>
          <w:spacing w:val="-2"/>
        </w:rPr>
        <w:t>范围为±</w:t>
      </w:r>
      <w:r>
        <w:rPr>
          <w:sz w:val="24"/>
          <w:szCs w:val="24"/>
          <w:spacing w:val="-2"/>
        </w:rPr>
        <w:t>0.1</w:t>
      </w:r>
      <w:r>
        <w:rPr>
          <w:sz w:val="24"/>
          <w:szCs w:val="24"/>
          <w:spacing w:val="-13"/>
        </w:rPr>
        <w:t xml:space="preserve"> </w:t>
      </w:r>
      <w:r>
        <w:rPr>
          <w:rFonts w:ascii="FangSong" w:hAnsi="FangSong" w:eastAsia="FangSong" w:cs="FangSong"/>
          <w:sz w:val="24"/>
          <w:szCs w:val="24"/>
          <w:spacing w:val="-2"/>
        </w:rPr>
        <w:t>；电导率变化范围为±</w:t>
      </w:r>
      <w:r>
        <w:rPr>
          <w:sz w:val="24"/>
          <w:szCs w:val="24"/>
          <w:spacing w:val="-2"/>
        </w:rPr>
        <w:t>3%</w:t>
      </w:r>
      <w:r>
        <w:rPr>
          <w:rFonts w:ascii="FangSong" w:hAnsi="FangSong" w:eastAsia="FangSong" w:cs="FangSong"/>
          <w:sz w:val="24"/>
          <w:szCs w:val="24"/>
          <w:spacing w:val="-2"/>
        </w:rPr>
        <w:t>；</w:t>
      </w:r>
      <w:r>
        <w:rPr>
          <w:sz w:val="24"/>
          <w:szCs w:val="24"/>
          <w:spacing w:val="-2"/>
        </w:rPr>
        <w:t>ORP</w:t>
      </w:r>
      <w:r>
        <w:rPr>
          <w:rFonts w:ascii="FangSong" w:hAnsi="FangSong" w:eastAsia="FangSong" w:cs="FangSong"/>
          <w:sz w:val="24"/>
          <w:szCs w:val="24"/>
          <w:spacing w:val="-2"/>
        </w:rPr>
        <w:t>变化范围±</w:t>
      </w:r>
      <w:r>
        <w:rPr>
          <w:sz w:val="24"/>
          <w:szCs w:val="24"/>
          <w:spacing w:val="-2"/>
        </w:rPr>
        <w:t>10mV</w:t>
      </w:r>
      <w:r>
        <w:rPr>
          <w:rFonts w:ascii="FangSong" w:hAnsi="FangSong" w:eastAsia="FangSong" w:cs="FangSong"/>
          <w:sz w:val="24"/>
          <w:szCs w:val="24"/>
          <w:spacing w:val="-2"/>
        </w:rPr>
        <w:t>。</w:t>
      </w:r>
    </w:p>
    <w:p>
      <w:pPr>
        <w:pStyle w:val="BodyText"/>
        <w:ind w:left="487"/>
        <w:spacing w:before="179" w:line="219" w:lineRule="auto"/>
        <w:rPr>
          <w:rFonts w:ascii="FangSong" w:hAnsi="FangSong" w:eastAsia="FangSong" w:cs="FangSong"/>
          <w:sz w:val="24"/>
          <w:szCs w:val="24"/>
        </w:rPr>
      </w:pPr>
      <w:r>
        <w:rPr>
          <w:rFonts w:ascii="FangSong" w:hAnsi="FangSong" w:eastAsia="FangSong" w:cs="FangSong"/>
          <w:sz w:val="24"/>
          <w:szCs w:val="24"/>
          <w:spacing w:val="-1"/>
        </w:rPr>
        <w:t>④采样前洗井过程填写地下水采样井洗井记录单（附件</w:t>
      </w:r>
      <w:r>
        <w:rPr>
          <w:sz w:val="24"/>
          <w:szCs w:val="24"/>
          <w:spacing w:val="-1"/>
        </w:rPr>
        <w:t>3</w:t>
      </w:r>
      <w:r>
        <w:rPr>
          <w:rFonts w:ascii="FangSong" w:hAnsi="FangSong" w:eastAsia="FangSong" w:cs="FangSong"/>
          <w:sz w:val="24"/>
          <w:szCs w:val="24"/>
          <w:spacing w:val="-1"/>
        </w:rPr>
        <w:t>）。</w:t>
      </w:r>
    </w:p>
    <w:p>
      <w:pPr>
        <w:pStyle w:val="BodyText"/>
        <w:ind w:left="500"/>
        <w:spacing w:before="183" w:line="219" w:lineRule="auto"/>
        <w:rPr>
          <w:rFonts w:ascii="FangSong" w:hAnsi="FangSong" w:eastAsia="FangSong" w:cs="FangSong"/>
          <w:sz w:val="24"/>
          <w:szCs w:val="24"/>
        </w:rPr>
      </w:pPr>
      <w:r>
        <w:rPr>
          <w:rFonts w:ascii="FangSong" w:hAnsi="FangSong" w:eastAsia="FangSong" w:cs="FangSong"/>
          <w:sz w:val="24"/>
          <w:szCs w:val="24"/>
          <w:spacing w:val="-3"/>
        </w:rPr>
        <w:t>（</w:t>
      </w:r>
      <w:r>
        <w:rPr>
          <w:sz w:val="24"/>
          <w:szCs w:val="24"/>
          <w:spacing w:val="-3"/>
        </w:rPr>
        <w:t>2</w:t>
      </w:r>
      <w:r>
        <w:rPr>
          <w:rFonts w:ascii="FangSong" w:hAnsi="FangSong" w:eastAsia="FangSong" w:cs="FangSong"/>
          <w:sz w:val="24"/>
          <w:szCs w:val="24"/>
          <w:spacing w:val="-3"/>
        </w:rPr>
        <w:t>）样品采集操作</w:t>
      </w:r>
    </w:p>
    <w:p>
      <w:pPr>
        <w:pStyle w:val="BodyText"/>
        <w:ind w:left="15" w:right="38" w:firstLine="482"/>
        <w:spacing w:before="181" w:line="360" w:lineRule="auto"/>
        <w:jc w:val="both"/>
        <w:rPr>
          <w:rFonts w:ascii="FangSong" w:hAnsi="FangSong" w:eastAsia="FangSong" w:cs="FangSong"/>
          <w:sz w:val="24"/>
          <w:szCs w:val="24"/>
        </w:rPr>
      </w:pPr>
      <w:r>
        <w:rPr>
          <w:rFonts w:ascii="FangSong" w:hAnsi="FangSong" w:eastAsia="FangSong" w:cs="FangSong"/>
          <w:sz w:val="24"/>
          <w:szCs w:val="24"/>
          <w:spacing w:val="-1"/>
        </w:rPr>
        <w:t>采样洗井达到要求后，测量并记录水位（参考“</w:t>
      </w:r>
      <w:r>
        <w:rPr>
          <w:rFonts w:ascii="FangSong" w:hAnsi="FangSong" w:eastAsia="FangSong" w:cs="FangSong"/>
          <w:sz w:val="24"/>
          <w:szCs w:val="24"/>
          <w:spacing w:val="-90"/>
        </w:rPr>
        <w:t xml:space="preserve"> </w:t>
      </w:r>
      <w:r>
        <w:rPr>
          <w:rFonts w:ascii="FangSong" w:hAnsi="FangSong" w:eastAsia="FangSong" w:cs="FangSong"/>
          <w:sz w:val="24"/>
          <w:szCs w:val="24"/>
          <w:spacing w:val="-1"/>
        </w:rPr>
        <w:t>附件</w:t>
      </w:r>
      <w:r>
        <w:rPr>
          <w:sz w:val="24"/>
          <w:szCs w:val="24"/>
          <w:spacing w:val="-1"/>
        </w:rPr>
        <w:t>4</w:t>
      </w:r>
      <w:r>
        <w:rPr>
          <w:rFonts w:ascii="FangSong" w:hAnsi="FangSong" w:eastAsia="FangSong" w:cs="FangSong"/>
          <w:sz w:val="24"/>
          <w:szCs w:val="24"/>
          <w:spacing w:val="-1"/>
        </w:rPr>
        <w:t>地下水采样记录单</w:t>
      </w:r>
      <w:r>
        <w:rPr>
          <w:rFonts w:ascii="FangSong" w:hAnsi="FangSong" w:eastAsia="FangSong" w:cs="FangSong"/>
          <w:sz w:val="24"/>
          <w:szCs w:val="24"/>
          <w:spacing w:val="-88"/>
        </w:rPr>
        <w:t xml:space="preserve"> </w:t>
      </w:r>
      <w:r>
        <w:rPr>
          <w:rFonts w:ascii="FangSong" w:hAnsi="FangSong" w:eastAsia="FangSong" w:cs="FangSong"/>
          <w:sz w:val="24"/>
          <w:szCs w:val="24"/>
          <w:spacing w:val="-1"/>
        </w:rPr>
        <w:t>”</w:t>
      </w:r>
      <w:r>
        <w:rPr>
          <w:rFonts w:ascii="FangSong" w:hAnsi="FangSong" w:eastAsia="FangSong" w:cs="FangSong"/>
          <w:sz w:val="24"/>
          <w:szCs w:val="24"/>
          <w:spacing w:val="-9"/>
        </w:rPr>
        <w:t>），</w:t>
      </w:r>
      <w:r>
        <w:rPr>
          <w:rFonts w:ascii="FangSong" w:hAnsi="FangSong" w:eastAsia="FangSong" w:cs="FangSong"/>
          <w:sz w:val="24"/>
          <w:szCs w:val="24"/>
          <w:spacing w:val="-1"/>
        </w:rPr>
        <w:t>若地</w:t>
      </w:r>
      <w:r>
        <w:rPr>
          <w:rFonts w:ascii="FangSong" w:hAnsi="FangSong" w:eastAsia="FangSong" w:cs="FangSong"/>
          <w:sz w:val="24"/>
          <w:szCs w:val="24"/>
          <w:spacing w:val="-2"/>
        </w:rPr>
        <w:t>下水</w:t>
      </w:r>
      <w:r>
        <w:rPr>
          <w:rFonts w:ascii="FangSong" w:hAnsi="FangSong" w:eastAsia="FangSong" w:cs="FangSong"/>
          <w:sz w:val="24"/>
          <w:szCs w:val="24"/>
        </w:rPr>
        <w:t xml:space="preserve"> </w:t>
      </w:r>
      <w:r>
        <w:rPr>
          <w:rFonts w:ascii="FangSong" w:hAnsi="FangSong" w:eastAsia="FangSong" w:cs="FangSong"/>
          <w:sz w:val="24"/>
          <w:szCs w:val="24"/>
          <w:spacing w:val="-1"/>
        </w:rPr>
        <w:t>水位变化小于</w:t>
      </w:r>
      <w:r>
        <w:rPr>
          <w:sz w:val="24"/>
          <w:szCs w:val="24"/>
          <w:spacing w:val="-1"/>
        </w:rPr>
        <w:t>10cm</w:t>
      </w:r>
      <w:r>
        <w:rPr>
          <w:sz w:val="24"/>
          <w:szCs w:val="24"/>
          <w:spacing w:val="-24"/>
        </w:rPr>
        <w:t xml:space="preserve"> </w:t>
      </w:r>
      <w:r>
        <w:rPr>
          <w:rFonts w:ascii="FangSong" w:hAnsi="FangSong" w:eastAsia="FangSong" w:cs="FangSong"/>
          <w:sz w:val="24"/>
          <w:szCs w:val="24"/>
          <w:spacing w:val="-1"/>
        </w:rPr>
        <w:t>，则可以立即采样；若地下水水位变化超过</w:t>
      </w:r>
      <w:r>
        <w:rPr>
          <w:sz w:val="24"/>
          <w:szCs w:val="24"/>
          <w:spacing w:val="-1"/>
        </w:rPr>
        <w:t>10cm</w:t>
      </w:r>
      <w:r>
        <w:rPr>
          <w:sz w:val="24"/>
          <w:szCs w:val="24"/>
          <w:spacing w:val="-27"/>
        </w:rPr>
        <w:t xml:space="preserve"> </w:t>
      </w:r>
      <w:r>
        <w:rPr>
          <w:rFonts w:ascii="FangSong" w:hAnsi="FangSong" w:eastAsia="FangSong" w:cs="FangSong"/>
          <w:sz w:val="24"/>
          <w:szCs w:val="24"/>
          <w:spacing w:val="-1"/>
        </w:rPr>
        <w:t>，应待地下水位再次</w:t>
      </w:r>
      <w:r>
        <w:rPr>
          <w:rFonts w:ascii="FangSong" w:hAnsi="FangSong" w:eastAsia="FangSong" w:cs="FangSong"/>
          <w:sz w:val="24"/>
          <w:szCs w:val="24"/>
          <w:spacing w:val="-2"/>
        </w:rPr>
        <w:t>稳定</w:t>
      </w:r>
      <w:r>
        <w:rPr>
          <w:rFonts w:ascii="FangSong" w:hAnsi="FangSong" w:eastAsia="FangSong" w:cs="FangSong"/>
          <w:sz w:val="24"/>
          <w:szCs w:val="24"/>
        </w:rPr>
        <w:t xml:space="preserve"> </w:t>
      </w:r>
      <w:r>
        <w:rPr>
          <w:rFonts w:ascii="FangSong" w:hAnsi="FangSong" w:eastAsia="FangSong" w:cs="FangSong"/>
          <w:sz w:val="24"/>
          <w:szCs w:val="24"/>
          <w:spacing w:val="-1"/>
        </w:rPr>
        <w:t>后采样，若地下水回补速度较慢，原则上应在洗井后</w:t>
      </w:r>
      <w:r>
        <w:rPr>
          <w:sz w:val="24"/>
          <w:szCs w:val="24"/>
          <w:spacing w:val="-1"/>
        </w:rPr>
        <w:t>2h</w:t>
      </w:r>
      <w:r>
        <w:rPr>
          <w:rFonts w:ascii="FangSong" w:hAnsi="FangSong" w:eastAsia="FangSong" w:cs="FangSong"/>
          <w:sz w:val="24"/>
          <w:szCs w:val="24"/>
          <w:spacing w:val="-1"/>
        </w:rPr>
        <w:t>内完成地下水采样。</w:t>
      </w:r>
    </w:p>
    <w:p>
      <w:pPr>
        <w:pStyle w:val="BodyText"/>
        <w:ind w:left="16" w:firstLine="480"/>
        <w:spacing w:line="360" w:lineRule="auto"/>
        <w:jc w:val="both"/>
        <w:rPr>
          <w:rFonts w:ascii="FangSong" w:hAnsi="FangSong" w:eastAsia="FangSong" w:cs="FangSong"/>
          <w:sz w:val="24"/>
          <w:szCs w:val="24"/>
        </w:rPr>
      </w:pPr>
      <w:r>
        <w:rPr>
          <w:rFonts w:ascii="FangSong" w:hAnsi="FangSong" w:eastAsia="FangSong" w:cs="FangSong"/>
          <w:sz w:val="24"/>
          <w:szCs w:val="24"/>
          <w:spacing w:val="1"/>
        </w:rPr>
        <w:t>对于未添加保护剂的样品瓶，地下水采样前需用待采集水样润洗</w:t>
      </w:r>
      <w:r>
        <w:rPr>
          <w:sz w:val="24"/>
          <w:szCs w:val="24"/>
          <w:spacing w:val="1"/>
        </w:rPr>
        <w:t>2-3</w:t>
      </w:r>
      <w:r>
        <w:rPr>
          <w:rFonts w:ascii="FangSong" w:hAnsi="FangSong" w:eastAsia="FangSong" w:cs="FangSong"/>
          <w:sz w:val="24"/>
          <w:szCs w:val="24"/>
          <w:spacing w:val="1"/>
        </w:rPr>
        <w:t>次。使用贝勒管进行</w:t>
      </w:r>
      <w:r>
        <w:rPr>
          <w:rFonts w:ascii="FangSong" w:hAnsi="FangSong" w:eastAsia="FangSong" w:cs="FangSong"/>
          <w:sz w:val="24"/>
          <w:szCs w:val="24"/>
          <w:spacing w:val="7"/>
        </w:rPr>
        <w:t xml:space="preserve"> </w:t>
      </w:r>
      <w:r>
        <w:rPr>
          <w:rFonts w:ascii="FangSong" w:hAnsi="FangSong" w:eastAsia="FangSong" w:cs="FangSong"/>
          <w:sz w:val="24"/>
          <w:szCs w:val="24"/>
          <w:spacing w:val="-3"/>
        </w:rPr>
        <w:t>地下水样品采集时，应缓慢沉降或提升贝勒管。取出后，通过调节贝勒管下端出水阀或低流量</w:t>
      </w:r>
      <w:r>
        <w:rPr>
          <w:rFonts w:ascii="FangSong" w:hAnsi="FangSong" w:eastAsia="FangSong" w:cs="FangSong"/>
          <w:sz w:val="24"/>
          <w:szCs w:val="24"/>
          <w:spacing w:val="11"/>
        </w:rPr>
        <w:t xml:space="preserve"> </w:t>
      </w:r>
      <w:r>
        <w:rPr>
          <w:rFonts w:ascii="FangSong" w:hAnsi="FangSong" w:eastAsia="FangSong" w:cs="FangSong"/>
          <w:sz w:val="24"/>
          <w:szCs w:val="24"/>
          <w:spacing w:val="-4"/>
        </w:rPr>
        <w:t>控制器，使水样沿瓶壁缓缓流入瓶中，直至在瓶口形成一向上弯月面，旋紧瓶</w:t>
      </w:r>
      <w:r>
        <w:rPr>
          <w:rFonts w:ascii="FangSong" w:hAnsi="FangSong" w:eastAsia="FangSong" w:cs="FangSong"/>
          <w:sz w:val="24"/>
          <w:szCs w:val="24"/>
          <w:spacing w:val="-5"/>
        </w:rPr>
        <w:t>盖，避免出水</w:t>
      </w:r>
      <w:r>
        <w:rPr>
          <w:rFonts w:ascii="FangSong" w:hAnsi="FangSong" w:eastAsia="FangSong" w:cs="FangSong"/>
          <w:sz w:val="24"/>
          <w:szCs w:val="24"/>
          <w:spacing w:val="-61"/>
        </w:rPr>
        <w:t xml:space="preserve"> </w:t>
      </w:r>
      <w:r>
        <w:rPr>
          <w:rFonts w:ascii="FangSong" w:hAnsi="FangSong" w:eastAsia="FangSong" w:cs="FangSong"/>
          <w:sz w:val="24"/>
          <w:szCs w:val="24"/>
          <w:spacing w:val="-5"/>
        </w:rPr>
        <w:t>口</w:t>
      </w:r>
      <w:r>
        <w:rPr>
          <w:rFonts w:ascii="FangSong" w:hAnsi="FangSong" w:eastAsia="FangSong" w:cs="FangSong"/>
          <w:sz w:val="24"/>
          <w:szCs w:val="24"/>
        </w:rPr>
        <w:t xml:space="preserve"> </w:t>
      </w:r>
      <w:r>
        <w:rPr>
          <w:rFonts w:ascii="FangSong" w:hAnsi="FangSong" w:eastAsia="FangSong" w:cs="FangSong"/>
          <w:sz w:val="24"/>
          <w:szCs w:val="24"/>
          <w:spacing w:val="-3"/>
        </w:rPr>
        <w:t>接触液面，避免采样瓶中存在顶空和气泡。地下水装入样品瓶后，标签纸上记录样品编码、采</w:t>
      </w:r>
      <w:r>
        <w:rPr>
          <w:rFonts w:ascii="FangSong" w:hAnsi="FangSong" w:eastAsia="FangSong" w:cs="FangSong"/>
          <w:sz w:val="24"/>
          <w:szCs w:val="24"/>
          <w:spacing w:val="11"/>
        </w:rPr>
        <w:t xml:space="preserve"> </w:t>
      </w:r>
      <w:r>
        <w:rPr>
          <w:rFonts w:ascii="FangSong" w:hAnsi="FangSong" w:eastAsia="FangSong" w:cs="FangSong"/>
          <w:sz w:val="24"/>
          <w:szCs w:val="24"/>
          <w:spacing w:val="-2"/>
        </w:rPr>
        <w:t>样日期和采样人员等信息，贴到样品瓶上。地下水采集完成后，样品瓶应用泡沫塑料袋包裹，</w:t>
      </w:r>
      <w:r>
        <w:rPr>
          <w:rFonts w:ascii="FangSong" w:hAnsi="FangSong" w:eastAsia="FangSong" w:cs="FangSong"/>
          <w:sz w:val="24"/>
          <w:szCs w:val="24"/>
          <w:spacing w:val="9"/>
        </w:rPr>
        <w:t xml:space="preserve"> </w:t>
      </w:r>
      <w:r>
        <w:rPr>
          <w:rFonts w:ascii="FangSong" w:hAnsi="FangSong" w:eastAsia="FangSong" w:cs="FangSong"/>
          <w:sz w:val="24"/>
          <w:szCs w:val="24"/>
          <w:spacing w:val="-3"/>
        </w:rPr>
        <w:t>并立即放入现场装有冷冻蓝冰的样品箱内保存，装箱用泡沫塑料等分隔以防破损。坚持“一井</w:t>
      </w:r>
      <w:r>
        <w:rPr>
          <w:rFonts w:ascii="FangSong" w:hAnsi="FangSong" w:eastAsia="FangSong" w:cs="FangSong"/>
          <w:sz w:val="24"/>
          <w:szCs w:val="24"/>
          <w:spacing w:val="11"/>
        </w:rPr>
        <w:t xml:space="preserve"> </w:t>
      </w:r>
      <w:r>
        <w:rPr>
          <w:rFonts w:ascii="FangSong" w:hAnsi="FangSong" w:eastAsia="FangSong" w:cs="FangSong"/>
          <w:sz w:val="24"/>
          <w:szCs w:val="24"/>
          <w:spacing w:val="-4"/>
        </w:rPr>
        <w:t>一管</w:t>
      </w:r>
      <w:r>
        <w:rPr>
          <w:rFonts w:ascii="FangSong" w:hAnsi="FangSong" w:eastAsia="FangSong" w:cs="FangSong"/>
          <w:sz w:val="24"/>
          <w:szCs w:val="24"/>
          <w:spacing w:val="-87"/>
        </w:rPr>
        <w:t xml:space="preserve"> </w:t>
      </w:r>
      <w:r>
        <w:rPr>
          <w:rFonts w:ascii="FangSong" w:hAnsi="FangSong" w:eastAsia="FangSong" w:cs="FangSong"/>
          <w:sz w:val="24"/>
          <w:szCs w:val="24"/>
          <w:spacing w:val="-4"/>
        </w:rPr>
        <w:t>”的原则，避免交叉污染，同时根据《地下水环境监测技术规划》（</w:t>
      </w:r>
      <w:r>
        <w:rPr>
          <w:sz w:val="24"/>
          <w:szCs w:val="24"/>
          <w:spacing w:val="-4"/>
        </w:rPr>
        <w:t>HJ/T</w:t>
      </w:r>
      <w:r>
        <w:rPr>
          <w:sz w:val="24"/>
          <w:szCs w:val="24"/>
          <w:spacing w:val="28"/>
          <w:w w:val="101"/>
        </w:rPr>
        <w:t xml:space="preserve"> </w:t>
      </w:r>
      <w:r>
        <w:rPr>
          <w:sz w:val="24"/>
          <w:szCs w:val="24"/>
          <w:spacing w:val="-4"/>
        </w:rPr>
        <w:t>16</w:t>
      </w:r>
      <w:r>
        <w:rPr>
          <w:sz w:val="24"/>
          <w:szCs w:val="24"/>
          <w:spacing w:val="-5"/>
        </w:rPr>
        <w:t>4-2020</w:t>
      </w:r>
      <w:r>
        <w:rPr>
          <w:rFonts w:ascii="FangSong" w:hAnsi="FangSong" w:eastAsia="FangSong" w:cs="FangSong"/>
          <w:sz w:val="24"/>
          <w:szCs w:val="24"/>
          <w:spacing w:val="-3"/>
        </w:rPr>
        <w:t>），</w:t>
      </w:r>
      <w:r>
        <w:rPr>
          <w:rFonts w:ascii="FangSong" w:hAnsi="FangSong" w:eastAsia="FangSong" w:cs="FangSong"/>
          <w:sz w:val="24"/>
          <w:szCs w:val="24"/>
          <w:spacing w:val="-5"/>
        </w:rPr>
        <w:t>不</w:t>
      </w:r>
      <w:r>
        <w:rPr>
          <w:rFonts w:ascii="FangSong" w:hAnsi="FangSong" w:eastAsia="FangSong" w:cs="FangSong"/>
          <w:sz w:val="24"/>
          <w:szCs w:val="24"/>
        </w:rPr>
        <w:t xml:space="preserve"> </w:t>
      </w:r>
      <w:r>
        <w:rPr>
          <w:rFonts w:ascii="FangSong" w:hAnsi="FangSong" w:eastAsia="FangSong" w:cs="FangSong"/>
          <w:sz w:val="24"/>
          <w:szCs w:val="24"/>
          <w:spacing w:val="-3"/>
        </w:rPr>
        <w:t>同的分析指标分别取样，保存于不同的容器中，并根据不同的分析指标在水样中加入相应的保</w:t>
      </w:r>
      <w:r>
        <w:rPr>
          <w:rFonts w:ascii="FangSong" w:hAnsi="FangSong" w:eastAsia="FangSong" w:cs="FangSong"/>
          <w:sz w:val="24"/>
          <w:szCs w:val="24"/>
          <w:spacing w:val="11"/>
        </w:rPr>
        <w:t xml:space="preserve"> </w:t>
      </w:r>
      <w:r>
        <w:rPr>
          <w:rFonts w:ascii="FangSong" w:hAnsi="FangSong" w:eastAsia="FangSong" w:cs="FangSong"/>
          <w:sz w:val="24"/>
          <w:szCs w:val="24"/>
          <w:spacing w:val="-6"/>
        </w:rPr>
        <w:t>存剂。</w:t>
      </w:r>
    </w:p>
    <w:p>
      <w:pPr>
        <w:pStyle w:val="BodyText"/>
        <w:ind w:left="500"/>
        <w:spacing w:before="1" w:line="219" w:lineRule="auto"/>
        <w:rPr>
          <w:rFonts w:ascii="FangSong" w:hAnsi="FangSong" w:eastAsia="FangSong" w:cs="FangSong"/>
          <w:sz w:val="24"/>
          <w:szCs w:val="24"/>
        </w:rPr>
      </w:pPr>
      <w:r>
        <w:rPr>
          <w:rFonts w:ascii="FangSong" w:hAnsi="FangSong" w:eastAsia="FangSong" w:cs="FangSong"/>
          <w:sz w:val="24"/>
          <w:szCs w:val="24"/>
          <w:spacing w:val="-2"/>
        </w:rPr>
        <w:t>（</w:t>
      </w:r>
      <w:r>
        <w:rPr>
          <w:sz w:val="24"/>
          <w:szCs w:val="24"/>
          <w:spacing w:val="-2"/>
        </w:rPr>
        <w:t>3</w:t>
      </w:r>
      <w:r>
        <w:rPr>
          <w:rFonts w:ascii="FangSong" w:hAnsi="FangSong" w:eastAsia="FangSong" w:cs="FangSong"/>
          <w:sz w:val="24"/>
          <w:szCs w:val="24"/>
          <w:spacing w:val="-2"/>
        </w:rPr>
        <w:t>）地下水样品采集拍照记录</w:t>
      </w:r>
    </w:p>
    <w:p>
      <w:pPr>
        <w:pStyle w:val="BodyText"/>
        <w:ind w:left="24" w:firstLine="472"/>
        <w:spacing w:before="183" w:line="360" w:lineRule="auto"/>
        <w:rPr>
          <w:rFonts w:ascii="FangSong" w:hAnsi="FangSong" w:eastAsia="FangSong" w:cs="FangSong"/>
          <w:sz w:val="24"/>
          <w:szCs w:val="24"/>
        </w:rPr>
      </w:pPr>
      <w:r>
        <w:rPr>
          <w:rFonts w:ascii="FangSong" w:hAnsi="FangSong" w:eastAsia="FangSong" w:cs="FangSong"/>
          <w:sz w:val="24"/>
          <w:szCs w:val="24"/>
          <w:spacing w:val="-2"/>
        </w:rPr>
        <w:t>地下水样品采集过程应对洗井、装样以及采样过程中现场快速监测等环节进行拍照记录，</w:t>
      </w:r>
      <w:r>
        <w:rPr>
          <w:rFonts w:ascii="FangSong" w:hAnsi="FangSong" w:eastAsia="FangSong" w:cs="FangSong"/>
          <w:sz w:val="24"/>
          <w:szCs w:val="24"/>
          <w:spacing w:val="5"/>
        </w:rPr>
        <w:t xml:space="preserve"> </w:t>
      </w:r>
      <w:r>
        <w:rPr>
          <w:rFonts w:ascii="FangSong" w:hAnsi="FangSong" w:eastAsia="FangSong" w:cs="FangSong"/>
          <w:sz w:val="24"/>
          <w:szCs w:val="24"/>
          <w:spacing w:val="-2"/>
        </w:rPr>
        <w:t>每个环节至少</w:t>
      </w:r>
      <w:r>
        <w:rPr>
          <w:sz w:val="24"/>
          <w:szCs w:val="24"/>
          <w:spacing w:val="-2"/>
        </w:rPr>
        <w:t>1</w:t>
      </w:r>
      <w:r>
        <w:rPr>
          <w:rFonts w:ascii="FangSong" w:hAnsi="FangSong" w:eastAsia="FangSong" w:cs="FangSong"/>
          <w:sz w:val="24"/>
          <w:szCs w:val="24"/>
          <w:spacing w:val="-2"/>
        </w:rPr>
        <w:t>张照片，以备质量控制。</w:t>
      </w:r>
    </w:p>
    <w:p>
      <w:pPr>
        <w:pStyle w:val="BodyText"/>
        <w:ind w:left="500"/>
        <w:spacing w:before="1" w:line="221" w:lineRule="auto"/>
        <w:rPr>
          <w:rFonts w:ascii="FangSong" w:hAnsi="FangSong" w:eastAsia="FangSong" w:cs="FangSong"/>
          <w:sz w:val="24"/>
          <w:szCs w:val="24"/>
        </w:rPr>
      </w:pPr>
      <w:r>
        <w:rPr>
          <w:rFonts w:ascii="FangSong" w:hAnsi="FangSong" w:eastAsia="FangSong" w:cs="FangSong"/>
          <w:sz w:val="24"/>
          <w:szCs w:val="24"/>
          <w:spacing w:val="-3"/>
        </w:rPr>
        <w:t>（</w:t>
      </w:r>
      <w:r>
        <w:rPr>
          <w:sz w:val="24"/>
          <w:szCs w:val="24"/>
          <w:spacing w:val="-3"/>
        </w:rPr>
        <w:t>4</w:t>
      </w:r>
      <w:r>
        <w:rPr>
          <w:rFonts w:ascii="FangSong" w:hAnsi="FangSong" w:eastAsia="FangSong" w:cs="FangSong"/>
          <w:sz w:val="24"/>
          <w:szCs w:val="24"/>
          <w:spacing w:val="-3"/>
        </w:rPr>
        <w:t>）其他要求</w:t>
      </w:r>
    </w:p>
    <w:p>
      <w:pPr>
        <w:ind w:left="16" w:right="38" w:firstLine="480"/>
        <w:spacing w:before="178" w:line="363" w:lineRule="auto"/>
        <w:rPr>
          <w:rFonts w:ascii="FangSong" w:hAnsi="FangSong" w:eastAsia="FangSong" w:cs="FangSong"/>
          <w:sz w:val="24"/>
          <w:szCs w:val="24"/>
        </w:rPr>
      </w:pPr>
      <w:r>
        <w:rPr>
          <w:rFonts w:ascii="FangSong" w:hAnsi="FangSong" w:eastAsia="FangSong" w:cs="FangSong"/>
          <w:sz w:val="24"/>
          <w:szCs w:val="24"/>
          <w:spacing w:val="-3"/>
        </w:rPr>
        <w:t>含挥发性有机物的样品要优先采集。地下水采样过程中应做好人员安全和健康防护，佩戴</w:t>
      </w:r>
      <w:r>
        <w:rPr>
          <w:rFonts w:ascii="FangSong" w:hAnsi="FangSong" w:eastAsia="FangSong" w:cs="FangSong"/>
          <w:sz w:val="24"/>
          <w:szCs w:val="24"/>
          <w:spacing w:val="4"/>
        </w:rPr>
        <w:t xml:space="preserve"> </w:t>
      </w:r>
      <w:r>
        <w:rPr>
          <w:rFonts w:ascii="FangSong" w:hAnsi="FangSong" w:eastAsia="FangSong" w:cs="FangSong"/>
          <w:sz w:val="24"/>
          <w:szCs w:val="24"/>
          <w:spacing w:val="-4"/>
        </w:rPr>
        <w:t>安全帽和一次性的个人防护用品（</w:t>
      </w:r>
      <w:r>
        <w:rPr>
          <w:rFonts w:ascii="FangSong" w:hAnsi="FangSong" w:eastAsia="FangSong" w:cs="FangSong"/>
          <w:sz w:val="24"/>
          <w:szCs w:val="24"/>
          <w:spacing w:val="-60"/>
        </w:rPr>
        <w:t xml:space="preserve"> </w:t>
      </w:r>
      <w:r>
        <w:rPr>
          <w:rFonts w:ascii="FangSong" w:hAnsi="FangSong" w:eastAsia="FangSong" w:cs="FangSong"/>
          <w:sz w:val="24"/>
          <w:szCs w:val="24"/>
          <w:spacing w:val="-4"/>
        </w:rPr>
        <w:t>口罩、手套等</w:t>
      </w:r>
      <w:r>
        <w:rPr>
          <w:rFonts w:ascii="FangSong" w:hAnsi="FangSong" w:eastAsia="FangSong" w:cs="FangSong"/>
          <w:sz w:val="24"/>
          <w:szCs w:val="24"/>
          <w:spacing w:val="-8"/>
        </w:rPr>
        <w:t>），</w:t>
      </w:r>
      <w:r>
        <w:rPr>
          <w:rFonts w:ascii="FangSong" w:hAnsi="FangSong" w:eastAsia="FangSong" w:cs="FangSong"/>
          <w:sz w:val="24"/>
          <w:szCs w:val="24"/>
          <w:spacing w:val="-4"/>
        </w:rPr>
        <w:t>废弃的个人防护用品等垃圾应集中收集处</w:t>
      </w:r>
      <w:r>
        <w:rPr>
          <w:rFonts w:ascii="FangSong" w:hAnsi="FangSong" w:eastAsia="FangSong" w:cs="FangSong"/>
          <w:sz w:val="24"/>
          <w:szCs w:val="24"/>
        </w:rPr>
        <w:t xml:space="preserve"> </w:t>
      </w:r>
      <w:r>
        <w:rPr>
          <w:rFonts w:ascii="FangSong" w:hAnsi="FangSong" w:eastAsia="FangSong" w:cs="FangSong"/>
          <w:sz w:val="24"/>
          <w:szCs w:val="24"/>
          <w:spacing w:val="-9"/>
        </w:rPr>
        <w:t>置。</w:t>
      </w:r>
    </w:p>
    <w:p>
      <w:pPr>
        <w:pStyle w:val="BodyText"/>
        <w:ind w:left="9"/>
        <w:spacing w:before="49" w:line="219" w:lineRule="auto"/>
        <w:outlineLvl w:val="1"/>
        <w:rPr>
          <w:rFonts w:ascii="FangSong" w:hAnsi="FangSong" w:eastAsia="FangSong" w:cs="FangSong"/>
          <w:sz w:val="28"/>
          <w:szCs w:val="28"/>
        </w:rPr>
      </w:pPr>
      <w:bookmarkStart w:name="bookmark28" w:id="33"/>
      <w:bookmarkEnd w:id="33"/>
      <w:r>
        <w:rPr>
          <w:sz w:val="28"/>
          <w:szCs w:val="28"/>
          <w:b/>
          <w:bCs/>
          <w:spacing w:val="-2"/>
        </w:rPr>
        <w:t>7.3  </w:t>
      </w:r>
      <w:r>
        <w:rPr>
          <w:rFonts w:ascii="FangSong" w:hAnsi="FangSong" w:eastAsia="FangSong" w:cs="FangSong"/>
          <w:sz w:val="28"/>
          <w:szCs w:val="28"/>
          <w:b/>
          <w:bCs/>
          <w:spacing w:val="-2"/>
        </w:rPr>
        <w:t>样品保存、流转与制备</w:t>
      </w:r>
    </w:p>
    <w:p>
      <w:pPr>
        <w:pStyle w:val="BodyText"/>
        <w:ind w:left="8"/>
        <w:spacing w:before="233" w:line="219" w:lineRule="auto"/>
        <w:outlineLvl w:val="2"/>
        <w:rPr>
          <w:rFonts w:ascii="FangSong" w:hAnsi="FangSong" w:eastAsia="FangSong" w:cs="FangSong"/>
          <w:sz w:val="24"/>
          <w:szCs w:val="24"/>
        </w:rPr>
      </w:pPr>
      <w:r>
        <w:rPr>
          <w:sz w:val="24"/>
          <w:szCs w:val="24"/>
          <w:b/>
          <w:bCs/>
          <w:spacing w:val="-2"/>
        </w:rPr>
        <w:t>7.3.1  </w:t>
      </w:r>
      <w:r>
        <w:rPr>
          <w:rFonts w:ascii="FangSong" w:hAnsi="FangSong" w:eastAsia="FangSong" w:cs="FangSong"/>
          <w:sz w:val="24"/>
          <w:szCs w:val="24"/>
          <w:b/>
          <w:bCs/>
          <w:spacing w:val="-2"/>
        </w:rPr>
        <w:t>样品保存及流转</w:t>
      </w:r>
    </w:p>
    <w:p>
      <w:pPr>
        <w:pStyle w:val="BodyText"/>
        <w:ind w:left="17" w:right="38" w:firstLine="480"/>
        <w:spacing w:before="184" w:line="360" w:lineRule="auto"/>
        <w:rPr>
          <w:rFonts w:ascii="FangSong" w:hAnsi="FangSong" w:eastAsia="FangSong" w:cs="FangSong"/>
          <w:sz w:val="24"/>
          <w:szCs w:val="24"/>
        </w:rPr>
      </w:pPr>
      <w:r>
        <w:rPr>
          <w:rFonts w:ascii="FangSong" w:hAnsi="FangSong" w:eastAsia="FangSong" w:cs="FangSong"/>
          <w:sz w:val="24"/>
          <w:szCs w:val="24"/>
          <w:spacing w:val="-3"/>
        </w:rPr>
        <w:t>土壤、水样样品的保存、运输和流转按照《工业企业土壤和地下水自行监测技术指南（试</w:t>
      </w:r>
      <w:r>
        <w:rPr>
          <w:rFonts w:ascii="FangSong" w:hAnsi="FangSong" w:eastAsia="FangSong" w:cs="FangSong"/>
          <w:sz w:val="24"/>
          <w:szCs w:val="24"/>
          <w:spacing w:val="3"/>
        </w:rPr>
        <w:t xml:space="preserve"> </w:t>
      </w:r>
      <w:r>
        <w:rPr>
          <w:rFonts w:ascii="FangSong" w:hAnsi="FangSong" w:eastAsia="FangSong" w:cs="FangSong"/>
          <w:sz w:val="24"/>
          <w:szCs w:val="24"/>
          <w:spacing w:val="1"/>
        </w:rPr>
        <w:t>行）》（</w:t>
      </w:r>
      <w:r>
        <w:rPr>
          <w:sz w:val="24"/>
          <w:szCs w:val="24"/>
        </w:rPr>
        <w:t>HJ</w:t>
      </w:r>
      <w:r>
        <w:rPr>
          <w:sz w:val="24"/>
          <w:szCs w:val="24"/>
          <w:spacing w:val="30"/>
          <w:w w:val="101"/>
        </w:rPr>
        <w:t xml:space="preserve"> </w:t>
      </w:r>
      <w:r>
        <w:rPr>
          <w:sz w:val="24"/>
          <w:szCs w:val="24"/>
          <w:spacing w:val="1"/>
        </w:rPr>
        <w:t>1209-2021</w:t>
      </w:r>
      <w:r>
        <w:rPr>
          <w:rFonts w:ascii="FangSong" w:hAnsi="FangSong" w:eastAsia="FangSong" w:cs="FangSong"/>
          <w:sz w:val="24"/>
          <w:szCs w:val="24"/>
          <w:spacing w:val="1"/>
        </w:rPr>
        <w:t>）、《建设用地土壤污染状况调查技术导则》</w:t>
      </w:r>
      <w:r>
        <w:rPr>
          <w:rFonts w:ascii="FangSong" w:hAnsi="FangSong" w:eastAsia="FangSong" w:cs="FangSong"/>
          <w:sz w:val="24"/>
          <w:szCs w:val="24"/>
        </w:rPr>
        <w:t>（</w:t>
      </w:r>
      <w:r>
        <w:rPr>
          <w:sz w:val="24"/>
          <w:szCs w:val="24"/>
        </w:rPr>
        <w:t>HJ 25.</w:t>
      </w:r>
      <w:r>
        <w:rPr>
          <w:sz w:val="24"/>
          <w:szCs w:val="24"/>
          <w:spacing w:val="-32"/>
        </w:rPr>
        <w:t xml:space="preserve"> </w:t>
      </w:r>
      <w:r>
        <w:rPr>
          <w:sz w:val="24"/>
          <w:szCs w:val="24"/>
        </w:rPr>
        <w:t>1-2019</w:t>
      </w:r>
      <w:r>
        <w:rPr>
          <w:rFonts w:ascii="FangSong" w:hAnsi="FangSong" w:eastAsia="FangSong" w:cs="FangSong"/>
          <w:sz w:val="24"/>
          <w:szCs w:val="24"/>
        </w:rPr>
        <w:t>）、《建</w:t>
      </w:r>
    </w:p>
    <w:p>
      <w:pPr>
        <w:spacing w:line="360" w:lineRule="auto"/>
        <w:sectPr>
          <w:headerReference w:type="default" r:id="rId126"/>
          <w:footerReference w:type="default" r:id="rId127"/>
          <w:pgSz w:w="11906" w:h="16839"/>
          <w:pgMar w:top="1139" w:right="1040" w:bottom="1252" w:left="1080" w:header="831" w:footer="1090" w:gutter="0"/>
        </w:sectPr>
        <w:rPr>
          <w:rFonts w:ascii="FangSong" w:hAnsi="FangSong" w:eastAsia="FangSong" w:cs="FangSong"/>
          <w:sz w:val="24"/>
          <w:szCs w:val="24"/>
        </w:rPr>
      </w:pPr>
    </w:p>
    <w:p>
      <w:pPr>
        <w:spacing w:line="332" w:lineRule="auto"/>
        <w:rPr>
          <w:rFonts w:ascii="Arial"/>
          <w:sz w:val="21"/>
        </w:rPr>
      </w:pPr>
      <w:r/>
    </w:p>
    <w:p>
      <w:pPr>
        <w:pStyle w:val="BodyText"/>
        <w:ind w:left="127"/>
        <w:spacing w:before="78" w:line="360" w:lineRule="auto"/>
        <w:jc w:val="both"/>
        <w:rPr>
          <w:rFonts w:ascii="FangSong" w:hAnsi="FangSong" w:eastAsia="FangSong" w:cs="FangSong"/>
          <w:sz w:val="24"/>
          <w:szCs w:val="24"/>
        </w:rPr>
      </w:pPr>
      <w:r>
        <w:rPr>
          <w:rFonts w:ascii="FangSong" w:hAnsi="FangSong" w:eastAsia="FangSong" w:cs="FangSong"/>
          <w:sz w:val="24"/>
          <w:szCs w:val="24"/>
          <w:spacing w:val="-2"/>
        </w:rPr>
        <w:t>设用地土壤污染风险管控和修复监测技术导则》（</w:t>
      </w:r>
      <w:r>
        <w:rPr>
          <w:sz w:val="24"/>
          <w:szCs w:val="24"/>
          <w:spacing w:val="-2"/>
        </w:rPr>
        <w:t>HJ 25.2-201</w:t>
      </w:r>
      <w:r>
        <w:rPr>
          <w:sz w:val="24"/>
          <w:szCs w:val="24"/>
          <w:spacing w:val="-3"/>
        </w:rPr>
        <w:t>9</w:t>
      </w:r>
      <w:r>
        <w:rPr>
          <w:rFonts w:ascii="FangSong" w:hAnsi="FangSong" w:eastAsia="FangSong" w:cs="FangSong"/>
          <w:sz w:val="24"/>
          <w:szCs w:val="24"/>
          <w:spacing w:val="-3"/>
        </w:rPr>
        <w:t>）、《土壤环境监测技术规范》</w:t>
      </w:r>
      <w:r>
        <w:rPr>
          <w:rFonts w:ascii="FangSong" w:hAnsi="FangSong" w:eastAsia="FangSong" w:cs="FangSong"/>
          <w:sz w:val="24"/>
          <w:szCs w:val="24"/>
        </w:rPr>
        <w:t xml:space="preserve"> </w:t>
      </w:r>
      <w:r>
        <w:rPr>
          <w:rFonts w:ascii="FangSong" w:hAnsi="FangSong" w:eastAsia="FangSong" w:cs="FangSong"/>
          <w:sz w:val="24"/>
          <w:szCs w:val="24"/>
          <w:spacing w:val="1"/>
        </w:rPr>
        <w:t>（</w:t>
      </w:r>
      <w:r>
        <w:rPr>
          <w:sz w:val="24"/>
          <w:szCs w:val="24"/>
        </w:rPr>
        <w:t>HJ</w:t>
      </w:r>
      <w:r>
        <w:rPr>
          <w:sz w:val="24"/>
          <w:szCs w:val="24"/>
          <w:spacing w:val="1"/>
        </w:rPr>
        <w:t>/T</w:t>
      </w:r>
      <w:r>
        <w:rPr>
          <w:sz w:val="24"/>
          <w:szCs w:val="24"/>
          <w:spacing w:val="31"/>
        </w:rPr>
        <w:t xml:space="preserve"> </w:t>
      </w:r>
      <w:r>
        <w:rPr>
          <w:sz w:val="24"/>
          <w:szCs w:val="24"/>
          <w:spacing w:val="1"/>
        </w:rPr>
        <w:t>166-2004</w:t>
      </w:r>
      <w:r>
        <w:rPr>
          <w:rFonts w:ascii="FangSong" w:hAnsi="FangSong" w:eastAsia="FangSong" w:cs="FangSong"/>
          <w:sz w:val="24"/>
          <w:szCs w:val="24"/>
          <w:spacing w:val="1"/>
        </w:rPr>
        <w:t>）、《地下水环境监测技术规</w:t>
      </w:r>
      <w:r>
        <w:rPr>
          <w:rFonts w:ascii="FangSong" w:hAnsi="FangSong" w:eastAsia="FangSong" w:cs="FangSong"/>
          <w:sz w:val="24"/>
          <w:szCs w:val="24"/>
        </w:rPr>
        <w:t>范》（</w:t>
      </w:r>
      <w:r>
        <w:rPr>
          <w:sz w:val="24"/>
          <w:szCs w:val="24"/>
        </w:rPr>
        <w:t>HJ/T</w:t>
      </w:r>
      <w:r>
        <w:rPr>
          <w:sz w:val="24"/>
          <w:szCs w:val="24"/>
          <w:spacing w:val="32"/>
          <w:w w:val="101"/>
        </w:rPr>
        <w:t xml:space="preserve"> </w:t>
      </w:r>
      <w:r>
        <w:rPr>
          <w:sz w:val="24"/>
          <w:szCs w:val="24"/>
        </w:rPr>
        <w:t>164-2020</w:t>
      </w:r>
      <w:r>
        <w:rPr>
          <w:rFonts w:ascii="FangSong" w:hAnsi="FangSong" w:eastAsia="FangSong" w:cs="FangSong"/>
          <w:sz w:val="24"/>
          <w:szCs w:val="24"/>
        </w:rPr>
        <w:t>）、《地块土壤和地下水</w:t>
      </w:r>
      <w:r>
        <w:rPr>
          <w:rFonts w:ascii="FangSong" w:hAnsi="FangSong" w:eastAsia="FangSong" w:cs="FangSong"/>
          <w:sz w:val="24"/>
          <w:szCs w:val="24"/>
        </w:rPr>
        <w:t xml:space="preserve">  </w:t>
      </w:r>
      <w:r>
        <w:rPr>
          <w:rFonts w:ascii="FangSong" w:hAnsi="FangSong" w:eastAsia="FangSong" w:cs="FangSong"/>
          <w:sz w:val="24"/>
          <w:szCs w:val="24"/>
          <w:spacing w:val="-1"/>
        </w:rPr>
        <w:t>中挥发性有机物采样技术导则》（</w:t>
      </w:r>
      <w:r>
        <w:rPr>
          <w:sz w:val="24"/>
          <w:szCs w:val="24"/>
          <w:spacing w:val="-1"/>
        </w:rPr>
        <w:t>HJ</w:t>
      </w:r>
      <w:r>
        <w:rPr>
          <w:sz w:val="24"/>
          <w:szCs w:val="24"/>
          <w:spacing w:val="28"/>
          <w:w w:val="101"/>
        </w:rPr>
        <w:t xml:space="preserve"> </w:t>
      </w:r>
      <w:r>
        <w:rPr>
          <w:sz w:val="24"/>
          <w:szCs w:val="24"/>
          <w:spacing w:val="-1"/>
        </w:rPr>
        <w:t>1019-2019</w:t>
      </w:r>
      <w:r>
        <w:rPr>
          <w:rFonts w:ascii="FangSong" w:hAnsi="FangSong" w:eastAsia="FangSong" w:cs="FangSong"/>
          <w:sz w:val="24"/>
          <w:szCs w:val="24"/>
          <w:spacing w:val="-1"/>
        </w:rPr>
        <w:t>）</w:t>
      </w:r>
      <w:r>
        <w:rPr>
          <w:rFonts w:ascii="FangSong" w:hAnsi="FangSong" w:eastAsia="FangSong" w:cs="FangSong"/>
          <w:sz w:val="24"/>
          <w:szCs w:val="24"/>
          <w:spacing w:val="-2"/>
        </w:rPr>
        <w:t>、《重点行业企业用地调查样品采集保存和</w:t>
      </w:r>
      <w:r>
        <w:rPr>
          <w:rFonts w:ascii="FangSong" w:hAnsi="FangSong" w:eastAsia="FangSong" w:cs="FangSong"/>
          <w:sz w:val="24"/>
          <w:szCs w:val="24"/>
        </w:rPr>
        <w:t xml:space="preserve">  </w:t>
      </w:r>
      <w:r>
        <w:rPr>
          <w:rFonts w:ascii="FangSong" w:hAnsi="FangSong" w:eastAsia="FangSong" w:cs="FangSong"/>
          <w:sz w:val="24"/>
          <w:szCs w:val="24"/>
        </w:rPr>
        <w:t>流转技术规定（试行）》、《重点行业企业用地调查质量保证与质量控制技术规定</w:t>
      </w:r>
      <w:r>
        <w:rPr>
          <w:rFonts w:ascii="FangSong" w:hAnsi="FangSong" w:eastAsia="FangSong" w:cs="FangSong"/>
          <w:sz w:val="24"/>
          <w:szCs w:val="24"/>
          <w:spacing w:val="-1"/>
        </w:rPr>
        <w:t>（试行）》</w:t>
      </w:r>
      <w:r>
        <w:rPr>
          <w:rFonts w:ascii="FangSong" w:hAnsi="FangSong" w:eastAsia="FangSong" w:cs="FangSong"/>
          <w:sz w:val="24"/>
          <w:szCs w:val="24"/>
        </w:rPr>
        <w:t xml:space="preserve"> </w:t>
      </w:r>
      <w:r>
        <w:rPr>
          <w:rFonts w:ascii="FangSong" w:hAnsi="FangSong" w:eastAsia="FangSong" w:cs="FangSong"/>
          <w:sz w:val="24"/>
          <w:szCs w:val="24"/>
          <w:spacing w:val="2"/>
        </w:rPr>
        <w:t>（环办土壤函</w:t>
      </w:r>
      <w:r>
        <w:rPr>
          <w:sz w:val="24"/>
          <w:szCs w:val="24"/>
          <w:spacing w:val="2"/>
        </w:rPr>
        <w:t>[2017]1896</w:t>
      </w:r>
      <w:r>
        <w:rPr>
          <w:rFonts w:ascii="FangSong" w:hAnsi="FangSong" w:eastAsia="FangSong" w:cs="FangSong"/>
          <w:sz w:val="24"/>
          <w:szCs w:val="24"/>
          <w:spacing w:val="2"/>
        </w:rPr>
        <w:t>号，环境保护部办公厅</w:t>
      </w:r>
      <w:r>
        <w:rPr>
          <w:sz w:val="24"/>
          <w:szCs w:val="24"/>
          <w:spacing w:val="2"/>
        </w:rPr>
        <w:t>2017</w:t>
      </w:r>
      <w:r>
        <w:rPr>
          <w:rFonts w:ascii="FangSong" w:hAnsi="FangSong" w:eastAsia="FangSong" w:cs="FangSong"/>
          <w:sz w:val="24"/>
          <w:szCs w:val="24"/>
          <w:spacing w:val="2"/>
        </w:rPr>
        <w:t>年</w:t>
      </w:r>
      <w:r>
        <w:rPr>
          <w:sz w:val="24"/>
          <w:szCs w:val="24"/>
          <w:spacing w:val="2"/>
        </w:rPr>
        <w:t>12</w:t>
      </w:r>
      <w:r>
        <w:rPr>
          <w:rFonts w:ascii="FangSong" w:hAnsi="FangSong" w:eastAsia="FangSong" w:cs="FangSong"/>
          <w:sz w:val="24"/>
          <w:szCs w:val="24"/>
          <w:spacing w:val="2"/>
        </w:rPr>
        <w:t>月</w:t>
      </w:r>
      <w:r>
        <w:rPr>
          <w:sz w:val="24"/>
          <w:szCs w:val="24"/>
          <w:spacing w:val="2"/>
        </w:rPr>
        <w:t>7</w:t>
      </w:r>
      <w:r>
        <w:rPr>
          <w:rFonts w:ascii="FangSong" w:hAnsi="FangSong" w:eastAsia="FangSong" w:cs="FangSong"/>
          <w:sz w:val="24"/>
          <w:szCs w:val="24"/>
          <w:spacing w:val="2"/>
        </w:rPr>
        <w:t>日印发</w:t>
      </w:r>
      <w:r>
        <w:rPr>
          <w:rFonts w:ascii="FangSong" w:hAnsi="FangSong" w:eastAsia="FangSong" w:cs="FangSong"/>
          <w:sz w:val="24"/>
          <w:szCs w:val="24"/>
          <w:spacing w:val="1"/>
        </w:rPr>
        <w:t>）和《浙江省环境监测质</w:t>
      </w:r>
      <w:r>
        <w:rPr>
          <w:rFonts w:ascii="FangSong" w:hAnsi="FangSong" w:eastAsia="FangSong" w:cs="FangSong"/>
          <w:sz w:val="24"/>
          <w:szCs w:val="24"/>
        </w:rPr>
        <w:t xml:space="preserve">  </w:t>
      </w:r>
      <w:r>
        <w:rPr>
          <w:rFonts w:ascii="FangSong" w:hAnsi="FangSong" w:eastAsia="FangSong" w:cs="FangSong"/>
          <w:sz w:val="24"/>
          <w:szCs w:val="24"/>
        </w:rPr>
        <w:t>量保证技术规定（第三版试行）》以及《地下水质量标准》（</w:t>
      </w:r>
      <w:r>
        <w:rPr>
          <w:sz w:val="24"/>
          <w:szCs w:val="24"/>
        </w:rPr>
        <w:t>GB/T</w:t>
      </w:r>
      <w:r>
        <w:rPr>
          <w:sz w:val="24"/>
          <w:szCs w:val="24"/>
          <w:spacing w:val="43"/>
          <w:w w:val="101"/>
        </w:rPr>
        <w:t xml:space="preserve"> </w:t>
      </w:r>
      <w:r>
        <w:rPr>
          <w:sz w:val="24"/>
          <w:szCs w:val="24"/>
        </w:rPr>
        <w:t>14848-2017</w:t>
      </w:r>
      <w:r>
        <w:rPr>
          <w:rFonts w:ascii="FangSong" w:hAnsi="FangSong" w:eastAsia="FangSong" w:cs="FangSong"/>
          <w:sz w:val="24"/>
          <w:szCs w:val="24"/>
        </w:rPr>
        <w:t>）等相关标准</w:t>
      </w:r>
      <w:r>
        <w:rPr>
          <w:rFonts w:ascii="FangSong" w:hAnsi="FangSong" w:eastAsia="FangSong" w:cs="FangSong"/>
          <w:sz w:val="24"/>
          <w:szCs w:val="24"/>
        </w:rPr>
        <w:t xml:space="preserve">  </w:t>
      </w:r>
      <w:r>
        <w:rPr>
          <w:rFonts w:ascii="FangSong" w:hAnsi="FangSong" w:eastAsia="FangSong" w:cs="FangSong"/>
          <w:sz w:val="24"/>
          <w:szCs w:val="24"/>
          <w:spacing w:val="-6"/>
        </w:rPr>
        <w:t>执行。</w:t>
      </w:r>
    </w:p>
    <w:p>
      <w:pPr>
        <w:pStyle w:val="BodyText"/>
        <w:ind w:left="129" w:right="105" w:firstLine="479"/>
        <w:spacing w:line="360" w:lineRule="auto"/>
        <w:jc w:val="both"/>
        <w:rPr>
          <w:rFonts w:ascii="FangSong" w:hAnsi="FangSong" w:eastAsia="FangSong" w:cs="FangSong"/>
          <w:sz w:val="24"/>
          <w:szCs w:val="24"/>
        </w:rPr>
      </w:pPr>
      <w:r>
        <w:rPr>
          <w:rFonts w:ascii="FangSong" w:hAnsi="FangSong" w:eastAsia="FangSong" w:cs="FangSong"/>
          <w:sz w:val="24"/>
          <w:szCs w:val="24"/>
        </w:rPr>
        <w:t>样品在采集完成后立即转入保温箱，内置冰袋，确保</w:t>
      </w:r>
      <w:r>
        <w:rPr>
          <w:sz w:val="24"/>
          <w:szCs w:val="24"/>
        </w:rPr>
        <w:t>4</w:t>
      </w:r>
      <w:r>
        <w:rPr>
          <w:rFonts w:ascii="FangSong" w:hAnsi="FangSong" w:eastAsia="FangSong" w:cs="FangSong"/>
          <w:sz w:val="24"/>
          <w:szCs w:val="24"/>
        </w:rPr>
        <w:t>℃避光冷藏，当天运输至实验室及</w:t>
      </w:r>
      <w:r>
        <w:rPr>
          <w:rFonts w:ascii="FangSong" w:hAnsi="FangSong" w:eastAsia="FangSong" w:cs="FangSong"/>
          <w:sz w:val="24"/>
          <w:szCs w:val="24"/>
          <w:spacing w:val="8"/>
        </w:rPr>
        <w:t xml:space="preserve"> </w:t>
      </w:r>
      <w:r>
        <w:rPr>
          <w:rFonts w:ascii="FangSong" w:hAnsi="FangSong" w:eastAsia="FangSong" w:cs="FangSong"/>
          <w:sz w:val="24"/>
          <w:szCs w:val="24"/>
          <w:spacing w:val="-3"/>
        </w:rPr>
        <w:t>时分析。采集样品设有专门的样品管理人员进行监督管理，负责样品的转移、封装、运输、交</w:t>
      </w:r>
      <w:r>
        <w:rPr>
          <w:rFonts w:ascii="FangSong" w:hAnsi="FangSong" w:eastAsia="FangSong" w:cs="FangSong"/>
          <w:sz w:val="24"/>
          <w:szCs w:val="24"/>
          <w:spacing w:val="11"/>
        </w:rPr>
        <w:t xml:space="preserve"> </w:t>
      </w:r>
      <w:r>
        <w:rPr>
          <w:rFonts w:ascii="FangSong" w:hAnsi="FangSong" w:eastAsia="FangSong" w:cs="FangSong"/>
          <w:sz w:val="24"/>
          <w:szCs w:val="24"/>
          <w:spacing w:val="-3"/>
        </w:rPr>
        <w:t>接、记录等。在现场样品装入采样器皿后，立即转移至冷藏箱低温保存，保持箱体密封，由专</w:t>
      </w:r>
      <w:r>
        <w:rPr>
          <w:rFonts w:ascii="FangSong" w:hAnsi="FangSong" w:eastAsia="FangSong" w:cs="FangSong"/>
          <w:sz w:val="24"/>
          <w:szCs w:val="24"/>
          <w:spacing w:val="11"/>
        </w:rPr>
        <w:t xml:space="preserve"> </w:t>
      </w:r>
      <w:r>
        <w:rPr>
          <w:rFonts w:ascii="FangSong" w:hAnsi="FangSong" w:eastAsia="FangSong" w:cs="FangSong"/>
          <w:sz w:val="24"/>
          <w:szCs w:val="24"/>
        </w:rPr>
        <w:t>人负责将各个采样点的样品转运至集中运输样品储存点，放入集中储存点的冷藏箱内</w:t>
      </w:r>
      <w:r>
        <w:rPr>
          <w:sz w:val="24"/>
          <w:szCs w:val="24"/>
        </w:rPr>
        <w:t>4</w:t>
      </w:r>
      <w:r>
        <w:rPr>
          <w:rFonts w:ascii="FangSong" w:hAnsi="FangSong" w:eastAsia="FangSong" w:cs="FangSong"/>
          <w:sz w:val="24"/>
          <w:szCs w:val="24"/>
        </w:rPr>
        <w:t>℃以下</w:t>
      </w:r>
      <w:r>
        <w:rPr>
          <w:rFonts w:ascii="FangSong" w:hAnsi="FangSong" w:eastAsia="FangSong" w:cs="FangSong"/>
          <w:sz w:val="24"/>
          <w:szCs w:val="24"/>
          <w:spacing w:val="6"/>
        </w:rPr>
        <w:t xml:space="preserve"> </w:t>
      </w:r>
      <w:r>
        <w:rPr>
          <w:rFonts w:ascii="FangSong" w:hAnsi="FangSong" w:eastAsia="FangSong" w:cs="FangSong"/>
          <w:sz w:val="24"/>
          <w:szCs w:val="24"/>
          <w:spacing w:val="-3"/>
        </w:rPr>
        <w:t>保存，待所有样品采集完成后，样品仍低温保存在冷藏箱中，内置蓝冰，以保证冷藏条件，由</w:t>
      </w:r>
      <w:r>
        <w:rPr>
          <w:rFonts w:ascii="FangSong" w:hAnsi="FangSong" w:eastAsia="FangSong" w:cs="FangSong"/>
          <w:sz w:val="24"/>
          <w:szCs w:val="24"/>
          <w:spacing w:val="11"/>
        </w:rPr>
        <w:t xml:space="preserve"> </w:t>
      </w:r>
      <w:r>
        <w:rPr>
          <w:rFonts w:ascii="FangSong" w:hAnsi="FangSong" w:eastAsia="FangSong" w:cs="FangSong"/>
          <w:sz w:val="24"/>
          <w:szCs w:val="24"/>
          <w:spacing w:val="-1"/>
        </w:rPr>
        <w:t>专人负责尽快将样品送至分析实验室进行分析。</w:t>
      </w:r>
    </w:p>
    <w:p>
      <w:pPr>
        <w:pStyle w:val="BodyText"/>
        <w:ind w:left="1119"/>
        <w:spacing w:before="1" w:line="219" w:lineRule="auto"/>
        <w:rPr>
          <w:rFonts w:ascii="FangSong" w:hAnsi="FangSong" w:eastAsia="FangSong" w:cs="FangSong"/>
          <w:sz w:val="24"/>
          <w:szCs w:val="24"/>
        </w:rPr>
      </w:pPr>
      <w:r>
        <w:rPr>
          <w:rFonts w:ascii="FangSong" w:hAnsi="FangSong" w:eastAsia="FangSong" w:cs="FangSong"/>
          <w:sz w:val="24"/>
          <w:szCs w:val="24"/>
          <w:b/>
          <w:bCs/>
          <w:spacing w:val="-1"/>
        </w:rPr>
        <w:t>表</w:t>
      </w:r>
      <w:r>
        <w:rPr>
          <w:sz w:val="24"/>
          <w:szCs w:val="24"/>
          <w:b/>
          <w:bCs/>
          <w:spacing w:val="-1"/>
        </w:rPr>
        <w:t>7-4    </w:t>
      </w:r>
      <w:r>
        <w:rPr>
          <w:rFonts w:ascii="FangSong" w:hAnsi="FangSong" w:eastAsia="FangSong" w:cs="FangSong"/>
          <w:sz w:val="24"/>
          <w:szCs w:val="24"/>
          <w:b/>
          <w:bCs/>
          <w:spacing w:val="-1"/>
        </w:rPr>
        <w:t>水样取样容器、保存方式、固定剂、保存时间</w:t>
      </w:r>
      <w:r>
        <w:rPr>
          <w:rFonts w:ascii="FangSong" w:hAnsi="FangSong" w:eastAsia="FangSong" w:cs="FangSong"/>
          <w:sz w:val="24"/>
          <w:szCs w:val="24"/>
          <w:b/>
          <w:bCs/>
          <w:spacing w:val="-2"/>
        </w:rPr>
        <w:t>（</w:t>
      </w:r>
      <w:r>
        <w:rPr>
          <w:sz w:val="24"/>
          <w:szCs w:val="24"/>
          <w:b/>
          <w:bCs/>
          <w:spacing w:val="-2"/>
        </w:rPr>
        <w:t>GBT14848-2017</w:t>
      </w:r>
      <w:r>
        <w:rPr>
          <w:rFonts w:ascii="FangSong" w:hAnsi="FangSong" w:eastAsia="FangSong" w:cs="FangSong"/>
          <w:sz w:val="24"/>
          <w:szCs w:val="24"/>
          <w:b/>
          <w:bCs/>
          <w:spacing w:val="-2"/>
        </w:rPr>
        <w:t>）</w:t>
      </w:r>
    </w:p>
    <w:p>
      <w:pPr>
        <w:spacing w:line="68" w:lineRule="exact"/>
        <w:rPr/>
      </w:pPr>
      <w:r/>
    </w:p>
    <w:tbl>
      <w:tblPr>
        <w:tblStyle w:val="TableNormal"/>
        <w:tblW w:w="995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463"/>
        <w:gridCol w:w="1134"/>
        <w:gridCol w:w="1528"/>
        <w:gridCol w:w="1996"/>
        <w:gridCol w:w="1500"/>
        <w:gridCol w:w="1333"/>
      </w:tblGrid>
      <w:tr>
        <w:trPr>
          <w:trHeight w:val="349" w:hRule="atLeast"/>
        </w:trPr>
        <w:tc>
          <w:tcPr>
            <w:tcW w:w="2463" w:type="dxa"/>
            <w:vAlign w:val="top"/>
          </w:tcPr>
          <w:p>
            <w:pPr>
              <w:pStyle w:val="TableText"/>
              <w:ind w:left="1032"/>
              <w:spacing w:before="71" w:line="232" w:lineRule="auto"/>
              <w:rPr/>
            </w:pPr>
            <w:r>
              <w:rPr>
                <w:b/>
                <w:bCs/>
              </w:rPr>
              <w:t>项目</w:t>
            </w:r>
          </w:p>
        </w:tc>
        <w:tc>
          <w:tcPr>
            <w:tcW w:w="1134" w:type="dxa"/>
            <w:vAlign w:val="top"/>
          </w:tcPr>
          <w:p>
            <w:pPr>
              <w:pStyle w:val="TableText"/>
              <w:ind w:left="368"/>
              <w:spacing w:before="71" w:line="232" w:lineRule="auto"/>
              <w:rPr/>
            </w:pPr>
            <w:r>
              <w:rPr>
                <w:b/>
                <w:bCs/>
                <w:spacing w:val="-1"/>
              </w:rPr>
              <w:t>容器</w:t>
            </w:r>
          </w:p>
        </w:tc>
        <w:tc>
          <w:tcPr>
            <w:tcW w:w="1528" w:type="dxa"/>
            <w:vAlign w:val="top"/>
          </w:tcPr>
          <w:p>
            <w:pPr>
              <w:pStyle w:val="TableText"/>
              <w:ind w:left="353"/>
              <w:spacing w:before="70" w:line="228" w:lineRule="auto"/>
              <w:rPr/>
            </w:pPr>
            <w:r>
              <w:rPr>
                <w:b/>
                <w:bCs/>
                <w:spacing w:val="4"/>
              </w:rPr>
              <w:t>保存方式</w:t>
            </w:r>
          </w:p>
        </w:tc>
        <w:tc>
          <w:tcPr>
            <w:tcW w:w="1996" w:type="dxa"/>
            <w:vAlign w:val="top"/>
          </w:tcPr>
          <w:p>
            <w:pPr>
              <w:pStyle w:val="TableText"/>
              <w:ind w:left="716"/>
              <w:spacing w:before="70" w:line="232" w:lineRule="auto"/>
              <w:rPr/>
            </w:pPr>
            <w:r>
              <w:rPr>
                <w:b/>
                <w:bCs/>
                <w:spacing w:val="-4"/>
              </w:rPr>
              <w:t>固定剂</w:t>
            </w:r>
          </w:p>
        </w:tc>
        <w:tc>
          <w:tcPr>
            <w:tcW w:w="1500" w:type="dxa"/>
            <w:vAlign w:val="top"/>
          </w:tcPr>
          <w:p>
            <w:pPr>
              <w:pStyle w:val="TableText"/>
              <w:ind w:left="343"/>
              <w:spacing w:before="70" w:line="228" w:lineRule="auto"/>
              <w:rPr/>
            </w:pPr>
            <w:r>
              <w:rPr>
                <w:b/>
                <w:bCs/>
                <w:spacing w:val="4"/>
              </w:rPr>
              <w:t>保存时间</w:t>
            </w:r>
          </w:p>
        </w:tc>
        <w:tc>
          <w:tcPr>
            <w:tcW w:w="1333" w:type="dxa"/>
            <w:vAlign w:val="top"/>
          </w:tcPr>
          <w:p>
            <w:pPr>
              <w:pStyle w:val="TableText"/>
              <w:ind w:left="468"/>
              <w:spacing w:before="70" w:line="233" w:lineRule="auto"/>
              <w:rPr/>
            </w:pPr>
            <w:r>
              <w:rPr>
                <w:b/>
                <w:bCs/>
              </w:rPr>
              <w:t>备注</w:t>
            </w:r>
          </w:p>
        </w:tc>
      </w:tr>
      <w:tr>
        <w:trPr>
          <w:trHeight w:val="345" w:hRule="atLeast"/>
        </w:trPr>
        <w:tc>
          <w:tcPr>
            <w:tcW w:w="2463" w:type="dxa"/>
            <w:vAlign w:val="top"/>
          </w:tcPr>
          <w:p>
            <w:pPr>
              <w:pStyle w:val="TableText"/>
              <w:ind w:left="680"/>
              <w:spacing w:before="67" w:line="221" w:lineRule="auto"/>
              <w:rPr/>
            </w:pPr>
            <w:r>
              <w:rPr>
                <w:rFonts w:ascii="Times New Roman" w:hAnsi="Times New Roman" w:eastAsia="Times New Roman" w:cs="Times New Roman"/>
              </w:rPr>
              <w:t>pH</w:t>
            </w:r>
            <w:r>
              <w:rPr>
                <w:rFonts w:ascii="Times New Roman" w:hAnsi="Times New Roman" w:eastAsia="Times New Roman" w:cs="Times New Roman"/>
                <w:spacing w:val="-23"/>
              </w:rPr>
              <w:t xml:space="preserve"> </w:t>
            </w:r>
            <w:r>
              <w:rPr>
                <w:spacing w:val="5"/>
              </w:rPr>
              <w:t>、浑浊度</w:t>
            </w:r>
          </w:p>
        </w:tc>
        <w:tc>
          <w:tcPr>
            <w:tcW w:w="1134" w:type="dxa"/>
            <w:vAlign w:val="top"/>
          </w:tcPr>
          <w:p>
            <w:pPr>
              <w:pStyle w:val="TableText"/>
              <w:ind w:left="156"/>
              <w:spacing w:before="66" w:line="232" w:lineRule="auto"/>
              <w:rPr/>
            </w:pPr>
            <w:r>
              <w:rPr>
                <w:spacing w:val="6"/>
              </w:rPr>
              <w:t>现场测试</w:t>
            </w:r>
          </w:p>
        </w:tc>
        <w:tc>
          <w:tcPr>
            <w:tcW w:w="1528" w:type="dxa"/>
            <w:vAlign w:val="top"/>
          </w:tcPr>
          <w:p>
            <w:pPr>
              <w:ind w:left="732"/>
              <w:spacing w:before="9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996" w:type="dxa"/>
            <w:vAlign w:val="top"/>
          </w:tcPr>
          <w:p>
            <w:pPr>
              <w:pStyle w:val="TableText"/>
              <w:ind w:left="803"/>
              <w:spacing w:before="67" w:line="228" w:lineRule="auto"/>
              <w:rPr/>
            </w:pPr>
            <w:r>
              <w:rPr>
                <w:spacing w:val="-1"/>
              </w:rPr>
              <w:t>原样</w:t>
            </w:r>
          </w:p>
        </w:tc>
        <w:tc>
          <w:tcPr>
            <w:tcW w:w="1500" w:type="dxa"/>
            <w:vAlign w:val="top"/>
          </w:tcPr>
          <w:p>
            <w:pPr>
              <w:pStyle w:val="TableText"/>
              <w:ind w:left="341"/>
              <w:spacing w:before="66" w:line="229" w:lineRule="auto"/>
              <w:rPr/>
            </w:pPr>
            <w:r>
              <w:rPr>
                <w:spacing w:val="6"/>
              </w:rPr>
              <w:t>现场检测</w:t>
            </w:r>
          </w:p>
        </w:tc>
        <w:tc>
          <w:tcPr>
            <w:tcW w:w="1333" w:type="dxa"/>
            <w:vAlign w:val="top"/>
          </w:tcPr>
          <w:p>
            <w:pPr>
              <w:ind w:left="635"/>
              <w:spacing w:before="9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628" w:hRule="atLeast"/>
        </w:trPr>
        <w:tc>
          <w:tcPr>
            <w:tcW w:w="2463" w:type="dxa"/>
            <w:vAlign w:val="top"/>
          </w:tcPr>
          <w:p>
            <w:pPr>
              <w:pStyle w:val="TableText"/>
              <w:ind w:left="716"/>
              <w:spacing w:before="208" w:line="229" w:lineRule="auto"/>
              <w:rPr/>
            </w:pPr>
            <w:r>
              <w:rPr>
                <w:spacing w:val="8"/>
              </w:rPr>
              <w:t>砷、硒、汞</w:t>
            </w:r>
          </w:p>
        </w:tc>
        <w:tc>
          <w:tcPr>
            <w:tcW w:w="1134" w:type="dxa"/>
            <w:vAlign w:val="top"/>
          </w:tcPr>
          <w:p>
            <w:pPr>
              <w:ind w:left="509"/>
              <w:spacing w:before="24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P</w:t>
            </w:r>
          </w:p>
        </w:tc>
        <w:tc>
          <w:tcPr>
            <w:tcW w:w="1528" w:type="dxa"/>
            <w:vAlign w:val="top"/>
          </w:tcPr>
          <w:p>
            <w:pPr>
              <w:pStyle w:val="TableText"/>
              <w:ind w:left="574"/>
              <w:spacing w:before="209" w:line="233" w:lineRule="auto"/>
              <w:rPr/>
            </w:pPr>
            <w:r>
              <w:rPr>
                <w:spacing w:val="-4"/>
              </w:rPr>
              <w:t>密封</w:t>
            </w:r>
          </w:p>
        </w:tc>
        <w:tc>
          <w:tcPr>
            <w:tcW w:w="1996" w:type="dxa"/>
            <w:vAlign w:val="top"/>
          </w:tcPr>
          <w:p>
            <w:pPr>
              <w:pStyle w:val="TableText"/>
              <w:ind w:left="169"/>
              <w:spacing w:before="53" w:line="228" w:lineRule="auto"/>
              <w:rPr/>
            </w:pPr>
            <w:r>
              <w:rPr>
                <w:rFonts w:ascii="Times New Roman" w:hAnsi="Times New Roman" w:eastAsia="Times New Roman" w:cs="Times New Roman"/>
                <w:spacing w:val="6"/>
              </w:rPr>
              <w:t>1L</w:t>
            </w:r>
            <w:r>
              <w:rPr>
                <w:spacing w:val="6"/>
              </w:rPr>
              <w:t>水样中加浓盐酸</w:t>
            </w:r>
          </w:p>
          <w:p>
            <w:pPr>
              <w:ind w:left="802"/>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1"/>
              </w:rPr>
              <w:t>2</w:t>
            </w:r>
            <w:r>
              <w:rPr>
                <w:rFonts w:ascii="Times New Roman" w:hAnsi="Times New Roman" w:eastAsia="Times New Roman" w:cs="Times New Roman"/>
                <w:sz w:val="20"/>
                <w:szCs w:val="20"/>
              </w:rPr>
              <w:t>mL</w:t>
            </w:r>
          </w:p>
        </w:tc>
        <w:tc>
          <w:tcPr>
            <w:tcW w:w="1500" w:type="dxa"/>
            <w:vAlign w:val="top"/>
          </w:tcPr>
          <w:p>
            <w:pPr>
              <w:ind w:left="616"/>
              <w:spacing w:before="24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14d</w:t>
            </w:r>
          </w:p>
        </w:tc>
        <w:tc>
          <w:tcPr>
            <w:tcW w:w="1333" w:type="dxa"/>
            <w:vAlign w:val="top"/>
          </w:tcPr>
          <w:p>
            <w:pPr>
              <w:ind w:left="635"/>
              <w:spacing w:before="24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628" w:hRule="atLeast"/>
        </w:trPr>
        <w:tc>
          <w:tcPr>
            <w:tcW w:w="2463" w:type="dxa"/>
            <w:vAlign w:val="top"/>
          </w:tcPr>
          <w:p>
            <w:pPr>
              <w:pStyle w:val="TableText"/>
              <w:ind w:left="716" w:right="40" w:hanging="595"/>
              <w:spacing w:before="54" w:line="260" w:lineRule="auto"/>
              <w:rPr/>
            </w:pPr>
            <w:r>
              <w:rPr>
                <w:spacing w:val="-9"/>
              </w:rPr>
              <w:t>锌、铝、铁、锰、铜、钾、</w:t>
            </w:r>
            <w:r>
              <w:rPr>
                <w:spacing w:val="2"/>
              </w:rPr>
              <w:t xml:space="preserve"> </w:t>
            </w:r>
            <w:r>
              <w:rPr>
                <w:spacing w:val="7"/>
              </w:rPr>
              <w:t>钠、钙、镁</w:t>
            </w:r>
          </w:p>
        </w:tc>
        <w:tc>
          <w:tcPr>
            <w:tcW w:w="1134" w:type="dxa"/>
            <w:vAlign w:val="top"/>
          </w:tcPr>
          <w:p>
            <w:pPr>
              <w:ind w:left="509"/>
              <w:spacing w:before="24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P</w:t>
            </w:r>
          </w:p>
        </w:tc>
        <w:tc>
          <w:tcPr>
            <w:tcW w:w="1528" w:type="dxa"/>
            <w:vAlign w:val="top"/>
          </w:tcPr>
          <w:p>
            <w:pPr>
              <w:pStyle w:val="TableText"/>
              <w:ind w:left="574"/>
              <w:spacing w:before="209" w:line="233" w:lineRule="auto"/>
              <w:rPr/>
            </w:pPr>
            <w:r>
              <w:rPr>
                <w:spacing w:val="-4"/>
              </w:rPr>
              <w:t>密封</w:t>
            </w:r>
          </w:p>
        </w:tc>
        <w:tc>
          <w:tcPr>
            <w:tcW w:w="1996" w:type="dxa"/>
            <w:vAlign w:val="top"/>
          </w:tcPr>
          <w:p>
            <w:pPr>
              <w:pStyle w:val="TableText"/>
              <w:ind w:left="135"/>
              <w:spacing w:before="209" w:line="228" w:lineRule="auto"/>
              <w:rPr>
                <w:rFonts w:ascii="Times New Roman" w:hAnsi="Times New Roman" w:eastAsia="Times New Roman" w:cs="Times New Roman"/>
              </w:rPr>
            </w:pPr>
            <w:r>
              <w:rPr>
                <w:spacing w:val="7"/>
              </w:rPr>
              <w:t>使硝酸含量达到</w:t>
            </w:r>
            <w:r>
              <w:rPr>
                <w:rFonts w:ascii="Times New Roman" w:hAnsi="Times New Roman" w:eastAsia="Times New Roman" w:cs="Times New Roman"/>
                <w:spacing w:val="7"/>
              </w:rPr>
              <w:t>1%</w:t>
            </w:r>
          </w:p>
        </w:tc>
        <w:tc>
          <w:tcPr>
            <w:tcW w:w="1500" w:type="dxa"/>
            <w:vAlign w:val="top"/>
          </w:tcPr>
          <w:p>
            <w:pPr>
              <w:ind w:left="616"/>
              <w:spacing w:before="24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14d</w:t>
            </w:r>
          </w:p>
        </w:tc>
        <w:tc>
          <w:tcPr>
            <w:tcW w:w="1333" w:type="dxa"/>
            <w:vAlign w:val="top"/>
          </w:tcPr>
          <w:p>
            <w:pPr>
              <w:ind w:left="635"/>
              <w:spacing w:before="24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2463" w:type="dxa"/>
            <w:vAlign w:val="top"/>
          </w:tcPr>
          <w:p>
            <w:pPr>
              <w:pStyle w:val="TableText"/>
              <w:ind w:left="928"/>
              <w:spacing w:before="68" w:line="231" w:lineRule="auto"/>
              <w:rPr/>
            </w:pPr>
            <w:r>
              <w:rPr>
                <w:spacing w:val="6"/>
              </w:rPr>
              <w:t>镉、镍</w:t>
            </w:r>
          </w:p>
        </w:tc>
        <w:tc>
          <w:tcPr>
            <w:tcW w:w="1134" w:type="dxa"/>
            <w:vAlign w:val="top"/>
          </w:tcPr>
          <w:p>
            <w:pPr>
              <w:ind w:left="509"/>
              <w:spacing w:before="10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P</w:t>
            </w:r>
          </w:p>
        </w:tc>
        <w:tc>
          <w:tcPr>
            <w:tcW w:w="1528" w:type="dxa"/>
            <w:vAlign w:val="top"/>
          </w:tcPr>
          <w:p>
            <w:pPr>
              <w:pStyle w:val="TableText"/>
              <w:ind w:left="574"/>
              <w:spacing w:before="68" w:line="233" w:lineRule="auto"/>
              <w:rPr/>
            </w:pPr>
            <w:r>
              <w:rPr>
                <w:spacing w:val="-4"/>
              </w:rPr>
              <w:t>密封</w:t>
            </w:r>
          </w:p>
        </w:tc>
        <w:tc>
          <w:tcPr>
            <w:tcW w:w="1996" w:type="dxa"/>
            <w:vAlign w:val="top"/>
          </w:tcPr>
          <w:p>
            <w:pPr>
              <w:pStyle w:val="TableText"/>
              <w:ind w:left="120"/>
              <w:spacing w:before="68" w:line="221" w:lineRule="auto"/>
              <w:rPr>
                <w:rFonts w:ascii="Times New Roman" w:hAnsi="Times New Roman" w:eastAsia="Times New Roman" w:cs="Times New Roman"/>
              </w:rPr>
            </w:pPr>
            <w:r>
              <w:rPr>
                <w:spacing w:val="2"/>
              </w:rPr>
              <w:t>硝酸，使</w:t>
            </w:r>
            <w:r>
              <w:rPr>
                <w:rFonts w:ascii="Times New Roman" w:hAnsi="Times New Roman" w:eastAsia="Times New Roman" w:cs="Times New Roman"/>
              </w:rPr>
              <w:t>pH</w:t>
            </w:r>
            <w:r>
              <w:rPr>
                <w:spacing w:val="2"/>
              </w:rPr>
              <w:t>值小于</w:t>
            </w:r>
            <w:r>
              <w:rPr>
                <w:rFonts w:ascii="Times New Roman" w:hAnsi="Times New Roman" w:eastAsia="Times New Roman" w:cs="Times New Roman"/>
                <w:spacing w:val="2"/>
              </w:rPr>
              <w:t>2</w:t>
            </w:r>
          </w:p>
        </w:tc>
        <w:tc>
          <w:tcPr>
            <w:tcW w:w="1500" w:type="dxa"/>
            <w:vAlign w:val="top"/>
          </w:tcPr>
          <w:p>
            <w:pPr>
              <w:ind w:left="616"/>
              <w:spacing w:before="10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14d</w:t>
            </w:r>
          </w:p>
        </w:tc>
        <w:tc>
          <w:tcPr>
            <w:tcW w:w="1333" w:type="dxa"/>
            <w:vAlign w:val="top"/>
          </w:tcPr>
          <w:p>
            <w:pPr>
              <w:ind w:left="635"/>
              <w:spacing w:before="10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2463" w:type="dxa"/>
            <w:vAlign w:val="top"/>
          </w:tcPr>
          <w:p>
            <w:pPr>
              <w:pStyle w:val="TableText"/>
              <w:ind w:left="1036"/>
              <w:spacing w:before="68" w:line="232" w:lineRule="auto"/>
              <w:rPr/>
            </w:pPr>
            <w:r>
              <w:rPr/>
              <w:t>色度</w:t>
            </w:r>
          </w:p>
        </w:tc>
        <w:tc>
          <w:tcPr>
            <w:tcW w:w="1134" w:type="dxa"/>
            <w:vAlign w:val="top"/>
          </w:tcPr>
          <w:p>
            <w:pPr>
              <w:ind w:left="509"/>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P</w:t>
            </w:r>
          </w:p>
        </w:tc>
        <w:tc>
          <w:tcPr>
            <w:tcW w:w="1528" w:type="dxa"/>
            <w:vAlign w:val="top"/>
          </w:tcPr>
          <w:p>
            <w:pPr>
              <w:pStyle w:val="TableText"/>
              <w:ind w:left="574"/>
              <w:spacing w:before="69" w:line="233" w:lineRule="auto"/>
              <w:rPr/>
            </w:pPr>
            <w:r>
              <w:rPr>
                <w:spacing w:val="-4"/>
              </w:rPr>
              <w:t>密封</w:t>
            </w:r>
          </w:p>
        </w:tc>
        <w:tc>
          <w:tcPr>
            <w:tcW w:w="1996" w:type="dxa"/>
            <w:vAlign w:val="top"/>
          </w:tcPr>
          <w:p>
            <w:pPr>
              <w:pStyle w:val="TableText"/>
              <w:ind w:left="803"/>
              <w:spacing w:before="69" w:line="228" w:lineRule="auto"/>
              <w:rPr/>
            </w:pPr>
            <w:r>
              <w:rPr>
                <w:spacing w:val="-1"/>
              </w:rPr>
              <w:t>原样</w:t>
            </w:r>
          </w:p>
        </w:tc>
        <w:tc>
          <w:tcPr>
            <w:tcW w:w="1500" w:type="dxa"/>
            <w:vAlign w:val="top"/>
          </w:tcPr>
          <w:p>
            <w:pPr>
              <w:ind w:left="596"/>
              <w:spacing w:before="1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24h</w:t>
            </w:r>
          </w:p>
        </w:tc>
        <w:tc>
          <w:tcPr>
            <w:tcW w:w="1333" w:type="dxa"/>
            <w:vAlign w:val="top"/>
          </w:tcPr>
          <w:p>
            <w:pPr>
              <w:ind w:left="635"/>
              <w:spacing w:before="1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628" w:hRule="atLeast"/>
        </w:trPr>
        <w:tc>
          <w:tcPr>
            <w:tcW w:w="2463" w:type="dxa"/>
            <w:vAlign w:val="top"/>
          </w:tcPr>
          <w:p>
            <w:pPr>
              <w:pStyle w:val="TableText"/>
              <w:ind w:left="717" w:right="108" w:hanging="587"/>
              <w:spacing w:before="54" w:line="260" w:lineRule="auto"/>
              <w:rPr/>
            </w:pPr>
            <w:r>
              <w:rPr>
                <w:spacing w:val="1"/>
              </w:rPr>
              <w:t>嗅和味、肉眼可见物、溶</w:t>
            </w:r>
            <w:r>
              <w:rPr>
                <w:spacing w:val="7"/>
              </w:rPr>
              <w:t xml:space="preserve"> </w:t>
            </w:r>
            <w:r>
              <w:rPr>
                <w:spacing w:val="6"/>
              </w:rPr>
              <w:t>解性总固体</w:t>
            </w:r>
          </w:p>
        </w:tc>
        <w:tc>
          <w:tcPr>
            <w:tcW w:w="1134" w:type="dxa"/>
            <w:vAlign w:val="top"/>
          </w:tcPr>
          <w:p>
            <w:pPr>
              <w:ind w:left="509"/>
              <w:spacing w:before="250"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P</w:t>
            </w:r>
          </w:p>
        </w:tc>
        <w:tc>
          <w:tcPr>
            <w:tcW w:w="1528" w:type="dxa"/>
            <w:vAlign w:val="top"/>
          </w:tcPr>
          <w:p>
            <w:pPr>
              <w:pStyle w:val="TableText"/>
              <w:ind w:left="574"/>
              <w:spacing w:before="211" w:line="233" w:lineRule="auto"/>
              <w:rPr/>
            </w:pPr>
            <w:r>
              <w:rPr>
                <w:spacing w:val="-4"/>
              </w:rPr>
              <w:t>密封</w:t>
            </w:r>
          </w:p>
        </w:tc>
        <w:tc>
          <w:tcPr>
            <w:tcW w:w="1996" w:type="dxa"/>
            <w:vAlign w:val="top"/>
          </w:tcPr>
          <w:p>
            <w:pPr>
              <w:pStyle w:val="TableText"/>
              <w:ind w:left="803"/>
              <w:spacing w:before="211" w:line="228" w:lineRule="auto"/>
              <w:rPr/>
            </w:pPr>
            <w:r>
              <w:rPr>
                <w:spacing w:val="-1"/>
              </w:rPr>
              <w:t>原样</w:t>
            </w:r>
          </w:p>
        </w:tc>
        <w:tc>
          <w:tcPr>
            <w:tcW w:w="1500" w:type="dxa"/>
            <w:vAlign w:val="top"/>
          </w:tcPr>
          <w:p>
            <w:pPr>
              <w:ind w:left="596"/>
              <w:spacing w:before="24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24h</w:t>
            </w:r>
          </w:p>
        </w:tc>
        <w:tc>
          <w:tcPr>
            <w:tcW w:w="1333" w:type="dxa"/>
            <w:vAlign w:val="top"/>
          </w:tcPr>
          <w:p>
            <w:pPr>
              <w:ind w:left="635"/>
              <w:spacing w:before="24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2463" w:type="dxa"/>
            <w:vAlign w:val="top"/>
          </w:tcPr>
          <w:p>
            <w:pPr>
              <w:pStyle w:val="TableText"/>
              <w:ind w:left="936"/>
              <w:spacing w:before="69" w:line="232" w:lineRule="auto"/>
              <w:rPr/>
            </w:pPr>
            <w:r>
              <w:rPr>
                <w:spacing w:val="2"/>
              </w:rPr>
              <w:t>总硬度</w:t>
            </w:r>
          </w:p>
        </w:tc>
        <w:tc>
          <w:tcPr>
            <w:tcW w:w="1134" w:type="dxa"/>
            <w:vAlign w:val="top"/>
          </w:tcPr>
          <w:p>
            <w:pPr>
              <w:ind w:left="509"/>
              <w:spacing w:before="10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P</w:t>
            </w:r>
          </w:p>
        </w:tc>
        <w:tc>
          <w:tcPr>
            <w:tcW w:w="1528" w:type="dxa"/>
            <w:vAlign w:val="top"/>
          </w:tcPr>
          <w:p>
            <w:pPr>
              <w:pStyle w:val="TableText"/>
              <w:ind w:left="574"/>
              <w:spacing w:before="70" w:line="233" w:lineRule="auto"/>
              <w:rPr/>
            </w:pPr>
            <w:r>
              <w:rPr>
                <w:spacing w:val="-4"/>
              </w:rPr>
              <w:t>密封</w:t>
            </w:r>
          </w:p>
        </w:tc>
        <w:tc>
          <w:tcPr>
            <w:tcW w:w="1996" w:type="dxa"/>
            <w:vAlign w:val="top"/>
          </w:tcPr>
          <w:p>
            <w:pPr>
              <w:pStyle w:val="TableText"/>
              <w:ind w:left="803"/>
              <w:spacing w:before="70" w:line="228" w:lineRule="auto"/>
              <w:rPr/>
            </w:pPr>
            <w:r>
              <w:rPr>
                <w:spacing w:val="-1"/>
              </w:rPr>
              <w:t>原样</w:t>
            </w:r>
          </w:p>
        </w:tc>
        <w:tc>
          <w:tcPr>
            <w:tcW w:w="1500" w:type="dxa"/>
            <w:vAlign w:val="top"/>
          </w:tcPr>
          <w:p>
            <w:pPr>
              <w:ind w:left="600"/>
              <w:spacing w:before="10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30d</w:t>
            </w:r>
          </w:p>
        </w:tc>
        <w:tc>
          <w:tcPr>
            <w:tcW w:w="1333" w:type="dxa"/>
            <w:vAlign w:val="top"/>
          </w:tcPr>
          <w:p>
            <w:pPr>
              <w:rPr>
                <w:rFonts w:ascii="Arial"/>
                <w:sz w:val="21"/>
              </w:rPr>
            </w:pPr>
            <w:r/>
          </w:p>
        </w:tc>
      </w:tr>
      <w:tr>
        <w:trPr>
          <w:trHeight w:val="940" w:hRule="atLeast"/>
        </w:trPr>
        <w:tc>
          <w:tcPr>
            <w:tcW w:w="2463" w:type="dxa"/>
            <w:vAlign w:val="top"/>
          </w:tcPr>
          <w:p>
            <w:pPr>
              <w:spacing w:line="301" w:lineRule="auto"/>
              <w:rPr>
                <w:rFonts w:ascii="Arial"/>
                <w:sz w:val="21"/>
              </w:rPr>
            </w:pPr>
            <w:r/>
          </w:p>
          <w:p>
            <w:pPr>
              <w:pStyle w:val="TableText"/>
              <w:ind w:left="928"/>
              <w:spacing w:before="65" w:line="231" w:lineRule="auto"/>
              <w:rPr/>
            </w:pPr>
            <w:r>
              <w:rPr>
                <w:spacing w:val="4"/>
              </w:rPr>
              <w:t>耗氧量</w:t>
            </w:r>
          </w:p>
        </w:tc>
        <w:tc>
          <w:tcPr>
            <w:tcW w:w="1134" w:type="dxa"/>
            <w:vAlign w:val="top"/>
          </w:tcPr>
          <w:p>
            <w:pPr>
              <w:spacing w:line="347" w:lineRule="auto"/>
              <w:rPr>
                <w:rFonts w:ascii="Arial"/>
                <w:sz w:val="21"/>
              </w:rPr>
            </w:pPr>
            <w:r/>
          </w:p>
          <w:p>
            <w:pPr>
              <w:ind w:left="509"/>
              <w:spacing w:before="5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P</w:t>
            </w:r>
          </w:p>
        </w:tc>
        <w:tc>
          <w:tcPr>
            <w:tcW w:w="1528" w:type="dxa"/>
            <w:vAlign w:val="top"/>
          </w:tcPr>
          <w:p>
            <w:pPr>
              <w:spacing w:line="301" w:lineRule="auto"/>
              <w:rPr>
                <w:rFonts w:ascii="Arial"/>
                <w:sz w:val="21"/>
              </w:rPr>
            </w:pPr>
            <w:r/>
          </w:p>
          <w:p>
            <w:pPr>
              <w:pStyle w:val="TableText"/>
              <w:ind w:left="574"/>
              <w:spacing w:before="65" w:line="233" w:lineRule="auto"/>
              <w:rPr/>
            </w:pPr>
            <w:r>
              <w:rPr>
                <w:spacing w:val="-4"/>
              </w:rPr>
              <w:t>密封</w:t>
            </w:r>
          </w:p>
        </w:tc>
        <w:tc>
          <w:tcPr>
            <w:tcW w:w="1996" w:type="dxa"/>
            <w:vAlign w:val="top"/>
          </w:tcPr>
          <w:p>
            <w:pPr>
              <w:pStyle w:val="TableText"/>
              <w:ind w:left="169"/>
              <w:spacing w:before="56" w:line="232" w:lineRule="auto"/>
              <w:rPr/>
            </w:pPr>
            <w:r>
              <w:rPr>
                <w:rFonts w:ascii="Times New Roman" w:hAnsi="Times New Roman" w:eastAsia="Times New Roman" w:cs="Times New Roman"/>
                <w:spacing w:val="7"/>
              </w:rPr>
              <w:t>1</w:t>
            </w:r>
            <w:r>
              <w:rPr>
                <w:rFonts w:ascii="Times New Roman" w:hAnsi="Times New Roman" w:eastAsia="Times New Roman" w:cs="Times New Roman"/>
              </w:rPr>
              <w:t>ml</w:t>
            </w:r>
            <w:r>
              <w:rPr>
                <w:spacing w:val="7"/>
              </w:rPr>
              <w:t>硫酸锰，</w:t>
            </w:r>
            <w:r>
              <w:rPr>
                <w:rFonts w:ascii="Times New Roman" w:hAnsi="Times New Roman" w:eastAsia="Times New Roman" w:cs="Times New Roman"/>
                <w:spacing w:val="7"/>
              </w:rPr>
              <w:t>2</w:t>
            </w:r>
            <w:r>
              <w:rPr>
                <w:rFonts w:ascii="Times New Roman" w:hAnsi="Times New Roman" w:eastAsia="Times New Roman" w:cs="Times New Roman"/>
              </w:rPr>
              <w:t>ml</w:t>
            </w:r>
            <w:r>
              <w:rPr>
                <w:spacing w:val="7"/>
              </w:rPr>
              <w:t>碱</w:t>
            </w:r>
          </w:p>
          <w:p>
            <w:pPr>
              <w:pStyle w:val="TableText"/>
              <w:ind w:left="138"/>
              <w:spacing w:before="60" w:line="229" w:lineRule="auto"/>
              <w:rPr/>
            </w:pPr>
            <w:r>
              <w:rPr>
                <w:spacing w:val="7"/>
              </w:rPr>
              <w:t>性碘化物</w:t>
            </w:r>
            <w:r>
              <w:rPr>
                <w:rFonts w:ascii="Times New Roman" w:hAnsi="Times New Roman" w:eastAsia="Times New Roman" w:cs="Times New Roman"/>
                <w:spacing w:val="7"/>
              </w:rPr>
              <w:t>-</w:t>
            </w:r>
            <w:r>
              <w:rPr>
                <w:spacing w:val="7"/>
              </w:rPr>
              <w:t>叠氮化物</w:t>
            </w:r>
          </w:p>
          <w:p>
            <w:pPr>
              <w:pStyle w:val="TableText"/>
              <w:ind w:left="797"/>
              <w:spacing w:before="63" w:line="231" w:lineRule="auto"/>
              <w:rPr/>
            </w:pPr>
            <w:r>
              <w:rPr>
                <w:spacing w:val="3"/>
              </w:rPr>
              <w:t>试剂</w:t>
            </w:r>
          </w:p>
        </w:tc>
        <w:tc>
          <w:tcPr>
            <w:tcW w:w="1500" w:type="dxa"/>
            <w:vAlign w:val="top"/>
          </w:tcPr>
          <w:p>
            <w:pPr>
              <w:spacing w:line="340" w:lineRule="auto"/>
              <w:rPr>
                <w:rFonts w:ascii="Arial"/>
                <w:sz w:val="21"/>
              </w:rPr>
            </w:pPr>
            <w:r/>
          </w:p>
          <w:p>
            <w:pPr>
              <w:ind w:left="647"/>
              <w:spacing w:before="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2d</w:t>
            </w:r>
          </w:p>
        </w:tc>
        <w:tc>
          <w:tcPr>
            <w:tcW w:w="1333" w:type="dxa"/>
            <w:vAlign w:val="top"/>
          </w:tcPr>
          <w:p>
            <w:pPr>
              <w:spacing w:line="340" w:lineRule="auto"/>
              <w:rPr>
                <w:rFonts w:ascii="Arial"/>
                <w:sz w:val="21"/>
              </w:rPr>
            </w:pPr>
            <w:r/>
          </w:p>
          <w:p>
            <w:pPr>
              <w:ind w:left="635"/>
              <w:spacing w:before="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2463" w:type="dxa"/>
            <w:vAlign w:val="top"/>
          </w:tcPr>
          <w:p>
            <w:pPr>
              <w:pStyle w:val="TableText"/>
              <w:ind w:left="1041"/>
              <w:spacing w:before="71" w:line="232" w:lineRule="auto"/>
              <w:rPr/>
            </w:pPr>
            <w:r>
              <w:rPr>
                <w:spacing w:val="-2"/>
              </w:rPr>
              <w:t>氨氮</w:t>
            </w:r>
          </w:p>
        </w:tc>
        <w:tc>
          <w:tcPr>
            <w:tcW w:w="1134" w:type="dxa"/>
            <w:vAlign w:val="top"/>
          </w:tcPr>
          <w:p>
            <w:pPr>
              <w:ind w:left="509"/>
              <w:spacing w:before="110"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P</w:t>
            </w:r>
          </w:p>
        </w:tc>
        <w:tc>
          <w:tcPr>
            <w:tcW w:w="1528" w:type="dxa"/>
            <w:vAlign w:val="top"/>
          </w:tcPr>
          <w:p>
            <w:pPr>
              <w:pStyle w:val="TableText"/>
              <w:ind w:left="574"/>
              <w:spacing w:before="71" w:line="233" w:lineRule="auto"/>
              <w:rPr/>
            </w:pPr>
            <w:r>
              <w:rPr>
                <w:spacing w:val="-4"/>
              </w:rPr>
              <w:t>密封</w:t>
            </w:r>
          </w:p>
        </w:tc>
        <w:tc>
          <w:tcPr>
            <w:tcW w:w="1996" w:type="dxa"/>
            <w:vAlign w:val="top"/>
          </w:tcPr>
          <w:p>
            <w:pPr>
              <w:pStyle w:val="TableText"/>
              <w:ind w:left="513"/>
              <w:spacing w:before="71" w:line="221" w:lineRule="auto"/>
              <w:rPr>
                <w:rFonts w:ascii="Times New Roman" w:hAnsi="Times New Roman" w:eastAsia="Times New Roman" w:cs="Times New Roman"/>
              </w:rPr>
            </w:pPr>
            <w:r>
              <w:rPr>
                <w:spacing w:val="8"/>
              </w:rPr>
              <w:t>硫酸</w:t>
            </w:r>
            <w:r>
              <w:rPr>
                <w:rFonts w:ascii="Times New Roman" w:hAnsi="Times New Roman" w:eastAsia="Times New Roman" w:cs="Times New Roman"/>
              </w:rPr>
              <w:t>pH</w:t>
            </w:r>
            <w:r>
              <w:rPr>
                <w:spacing w:val="8"/>
              </w:rPr>
              <w:t>＜</w:t>
            </w:r>
            <w:r>
              <w:rPr>
                <w:rFonts w:ascii="Times New Roman" w:hAnsi="Times New Roman" w:eastAsia="Times New Roman" w:cs="Times New Roman"/>
                <w:spacing w:val="8"/>
              </w:rPr>
              <w:t>2</w:t>
            </w:r>
          </w:p>
        </w:tc>
        <w:tc>
          <w:tcPr>
            <w:tcW w:w="1500" w:type="dxa"/>
            <w:vAlign w:val="top"/>
          </w:tcPr>
          <w:p>
            <w:pPr>
              <w:ind w:left="650"/>
              <w:spacing w:before="10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7d</w:t>
            </w:r>
          </w:p>
        </w:tc>
        <w:tc>
          <w:tcPr>
            <w:tcW w:w="1333" w:type="dxa"/>
            <w:vAlign w:val="top"/>
          </w:tcPr>
          <w:p>
            <w:pPr>
              <w:ind w:left="635"/>
              <w:spacing w:before="10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629" w:hRule="atLeast"/>
        </w:trPr>
        <w:tc>
          <w:tcPr>
            <w:tcW w:w="2463" w:type="dxa"/>
            <w:vAlign w:val="top"/>
          </w:tcPr>
          <w:p>
            <w:pPr>
              <w:pStyle w:val="TableText"/>
              <w:ind w:left="125"/>
              <w:spacing w:before="57" w:line="229" w:lineRule="auto"/>
              <w:rPr/>
            </w:pPr>
            <w:r>
              <w:rPr>
                <w:spacing w:val="2"/>
              </w:rPr>
              <w:t>氯化物、碳酸根、碳酸氢</w:t>
            </w:r>
          </w:p>
          <w:p>
            <w:pPr>
              <w:pStyle w:val="TableText"/>
              <w:ind w:left="1137"/>
              <w:spacing w:before="63" w:line="229" w:lineRule="auto"/>
              <w:rPr/>
            </w:pPr>
            <w:r>
              <w:rPr/>
              <w:t>根</w:t>
            </w:r>
          </w:p>
        </w:tc>
        <w:tc>
          <w:tcPr>
            <w:tcW w:w="1134" w:type="dxa"/>
            <w:vAlign w:val="top"/>
          </w:tcPr>
          <w:p>
            <w:pPr>
              <w:ind w:left="509"/>
              <w:spacing w:before="25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P</w:t>
            </w:r>
          </w:p>
        </w:tc>
        <w:tc>
          <w:tcPr>
            <w:tcW w:w="1528" w:type="dxa"/>
            <w:vAlign w:val="top"/>
          </w:tcPr>
          <w:p>
            <w:pPr>
              <w:pStyle w:val="TableText"/>
              <w:ind w:left="365"/>
              <w:spacing w:before="213" w:line="233" w:lineRule="auto"/>
              <w:rPr/>
            </w:pPr>
            <w:r>
              <w:rPr>
                <w:spacing w:val="3"/>
              </w:rPr>
              <w:t>密封冷藏</w:t>
            </w:r>
          </w:p>
        </w:tc>
        <w:tc>
          <w:tcPr>
            <w:tcW w:w="1996" w:type="dxa"/>
            <w:vAlign w:val="top"/>
          </w:tcPr>
          <w:p>
            <w:pPr>
              <w:pStyle w:val="TableText"/>
              <w:ind w:left="803"/>
              <w:spacing w:before="213" w:line="228" w:lineRule="auto"/>
              <w:rPr/>
            </w:pPr>
            <w:r>
              <w:rPr>
                <w:spacing w:val="-1"/>
              </w:rPr>
              <w:t>原样</w:t>
            </w:r>
          </w:p>
        </w:tc>
        <w:tc>
          <w:tcPr>
            <w:tcW w:w="1500" w:type="dxa"/>
            <w:vAlign w:val="top"/>
          </w:tcPr>
          <w:p>
            <w:pPr>
              <w:ind w:left="600"/>
              <w:spacing w:before="24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30d</w:t>
            </w:r>
          </w:p>
        </w:tc>
        <w:tc>
          <w:tcPr>
            <w:tcW w:w="1333" w:type="dxa"/>
            <w:vAlign w:val="top"/>
          </w:tcPr>
          <w:p>
            <w:pPr>
              <w:ind w:left="635"/>
              <w:spacing w:before="24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2463" w:type="dxa"/>
            <w:vAlign w:val="top"/>
          </w:tcPr>
          <w:p>
            <w:pPr>
              <w:pStyle w:val="TableText"/>
              <w:ind w:left="927"/>
              <w:spacing w:before="71" w:line="232" w:lineRule="auto"/>
              <w:rPr/>
            </w:pPr>
            <w:r>
              <w:rPr>
                <w:spacing w:val="5"/>
              </w:rPr>
              <w:t>硫酸盐</w:t>
            </w:r>
          </w:p>
        </w:tc>
        <w:tc>
          <w:tcPr>
            <w:tcW w:w="1134" w:type="dxa"/>
            <w:vAlign w:val="top"/>
          </w:tcPr>
          <w:p>
            <w:pPr>
              <w:ind w:left="509"/>
              <w:spacing w:before="110"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P</w:t>
            </w:r>
          </w:p>
        </w:tc>
        <w:tc>
          <w:tcPr>
            <w:tcW w:w="1528" w:type="dxa"/>
            <w:vAlign w:val="top"/>
          </w:tcPr>
          <w:p>
            <w:pPr>
              <w:pStyle w:val="TableText"/>
              <w:ind w:left="365"/>
              <w:spacing w:before="71" w:line="233" w:lineRule="auto"/>
              <w:rPr/>
            </w:pPr>
            <w:r>
              <w:rPr>
                <w:spacing w:val="3"/>
              </w:rPr>
              <w:t>密封冷藏</w:t>
            </w:r>
          </w:p>
        </w:tc>
        <w:tc>
          <w:tcPr>
            <w:tcW w:w="1996" w:type="dxa"/>
            <w:vAlign w:val="top"/>
          </w:tcPr>
          <w:p>
            <w:pPr>
              <w:pStyle w:val="TableText"/>
              <w:ind w:left="803"/>
              <w:spacing w:before="71" w:line="228" w:lineRule="auto"/>
              <w:rPr/>
            </w:pPr>
            <w:r>
              <w:rPr>
                <w:spacing w:val="-1"/>
              </w:rPr>
              <w:t>原样</w:t>
            </w:r>
          </w:p>
        </w:tc>
        <w:tc>
          <w:tcPr>
            <w:tcW w:w="1500" w:type="dxa"/>
            <w:vAlign w:val="top"/>
          </w:tcPr>
          <w:p>
            <w:pPr>
              <w:ind w:left="650"/>
              <w:spacing w:before="10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7d</w:t>
            </w:r>
          </w:p>
        </w:tc>
        <w:tc>
          <w:tcPr>
            <w:tcW w:w="1333" w:type="dxa"/>
            <w:vAlign w:val="top"/>
          </w:tcPr>
          <w:p>
            <w:pPr>
              <w:ind w:left="635"/>
              <w:spacing w:before="10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2463" w:type="dxa"/>
            <w:vAlign w:val="top"/>
          </w:tcPr>
          <w:p>
            <w:pPr>
              <w:pStyle w:val="TableText"/>
              <w:ind w:left="927"/>
              <w:spacing w:before="69" w:line="228" w:lineRule="auto"/>
              <w:rPr/>
            </w:pPr>
            <w:r>
              <w:rPr>
                <w:spacing w:val="5"/>
              </w:rPr>
              <w:t>硝酸盐</w:t>
            </w:r>
          </w:p>
        </w:tc>
        <w:tc>
          <w:tcPr>
            <w:tcW w:w="1134" w:type="dxa"/>
            <w:vAlign w:val="top"/>
          </w:tcPr>
          <w:p>
            <w:pPr>
              <w:ind w:left="509"/>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P</w:t>
            </w:r>
          </w:p>
        </w:tc>
        <w:tc>
          <w:tcPr>
            <w:tcW w:w="1528" w:type="dxa"/>
            <w:vAlign w:val="top"/>
          </w:tcPr>
          <w:p>
            <w:pPr>
              <w:pStyle w:val="TableText"/>
              <w:ind w:left="365"/>
              <w:spacing w:before="69" w:line="233" w:lineRule="auto"/>
              <w:rPr/>
            </w:pPr>
            <w:r>
              <w:rPr>
                <w:spacing w:val="3"/>
              </w:rPr>
              <w:t>密封冷藏</w:t>
            </w:r>
          </w:p>
        </w:tc>
        <w:tc>
          <w:tcPr>
            <w:tcW w:w="1996" w:type="dxa"/>
            <w:vAlign w:val="top"/>
          </w:tcPr>
          <w:p>
            <w:pPr>
              <w:pStyle w:val="TableText"/>
              <w:ind w:left="803"/>
              <w:spacing w:before="69" w:line="228" w:lineRule="auto"/>
              <w:rPr/>
            </w:pPr>
            <w:r>
              <w:rPr>
                <w:spacing w:val="-1"/>
              </w:rPr>
              <w:t>原样</w:t>
            </w:r>
          </w:p>
        </w:tc>
        <w:tc>
          <w:tcPr>
            <w:tcW w:w="1500" w:type="dxa"/>
            <w:vAlign w:val="top"/>
          </w:tcPr>
          <w:p>
            <w:pPr>
              <w:ind w:left="651"/>
              <w:spacing w:before="1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3d</w:t>
            </w:r>
          </w:p>
        </w:tc>
        <w:tc>
          <w:tcPr>
            <w:tcW w:w="1333" w:type="dxa"/>
            <w:vAlign w:val="top"/>
          </w:tcPr>
          <w:p>
            <w:pPr>
              <w:rPr>
                <w:rFonts w:ascii="Arial"/>
                <w:sz w:val="21"/>
              </w:rPr>
            </w:pPr>
            <w:r/>
          </w:p>
        </w:tc>
      </w:tr>
      <w:tr>
        <w:trPr>
          <w:trHeight w:val="345" w:hRule="atLeast"/>
        </w:trPr>
        <w:tc>
          <w:tcPr>
            <w:tcW w:w="2463" w:type="dxa"/>
            <w:vAlign w:val="top"/>
          </w:tcPr>
          <w:p>
            <w:pPr>
              <w:pStyle w:val="TableText"/>
              <w:ind w:left="825"/>
              <w:spacing w:before="69" w:line="228" w:lineRule="auto"/>
              <w:rPr/>
            </w:pPr>
            <w:r>
              <w:rPr>
                <w:spacing w:val="5"/>
              </w:rPr>
              <w:t>亚硝酸盐</w:t>
            </w:r>
          </w:p>
        </w:tc>
        <w:tc>
          <w:tcPr>
            <w:tcW w:w="1134" w:type="dxa"/>
            <w:vAlign w:val="top"/>
          </w:tcPr>
          <w:p>
            <w:pPr>
              <w:ind w:left="509"/>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P</w:t>
            </w:r>
          </w:p>
        </w:tc>
        <w:tc>
          <w:tcPr>
            <w:tcW w:w="1528" w:type="dxa"/>
            <w:vAlign w:val="top"/>
          </w:tcPr>
          <w:p>
            <w:pPr>
              <w:pStyle w:val="TableText"/>
              <w:ind w:left="365"/>
              <w:spacing w:before="69" w:line="233" w:lineRule="auto"/>
              <w:rPr/>
            </w:pPr>
            <w:r>
              <w:rPr>
                <w:spacing w:val="3"/>
              </w:rPr>
              <w:t>密封冷藏</w:t>
            </w:r>
          </w:p>
        </w:tc>
        <w:tc>
          <w:tcPr>
            <w:tcW w:w="1996" w:type="dxa"/>
            <w:vAlign w:val="top"/>
          </w:tcPr>
          <w:p>
            <w:pPr>
              <w:pStyle w:val="TableText"/>
              <w:ind w:left="803"/>
              <w:spacing w:before="69" w:line="228" w:lineRule="auto"/>
              <w:rPr/>
            </w:pPr>
            <w:r>
              <w:rPr>
                <w:spacing w:val="-1"/>
              </w:rPr>
              <w:t>原样</w:t>
            </w:r>
          </w:p>
        </w:tc>
        <w:tc>
          <w:tcPr>
            <w:tcW w:w="1500" w:type="dxa"/>
            <w:vAlign w:val="top"/>
          </w:tcPr>
          <w:p>
            <w:pPr>
              <w:ind w:left="596"/>
              <w:spacing w:before="1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24h</w:t>
            </w:r>
          </w:p>
        </w:tc>
        <w:tc>
          <w:tcPr>
            <w:tcW w:w="1333" w:type="dxa"/>
            <w:vAlign w:val="top"/>
          </w:tcPr>
          <w:p>
            <w:pPr>
              <w:ind w:left="635"/>
              <w:spacing w:before="1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631" w:hRule="atLeast"/>
        </w:trPr>
        <w:tc>
          <w:tcPr>
            <w:tcW w:w="2463" w:type="dxa"/>
            <w:vAlign w:val="top"/>
          </w:tcPr>
          <w:p>
            <w:pPr>
              <w:pStyle w:val="TableText"/>
              <w:ind w:left="416"/>
              <w:spacing w:before="211" w:line="229" w:lineRule="auto"/>
              <w:rPr/>
            </w:pPr>
            <w:r>
              <w:rPr>
                <w:spacing w:val="6"/>
              </w:rPr>
              <w:t>阴离子表面活性剂</w:t>
            </w:r>
          </w:p>
        </w:tc>
        <w:tc>
          <w:tcPr>
            <w:tcW w:w="1134" w:type="dxa"/>
            <w:vAlign w:val="top"/>
          </w:tcPr>
          <w:p>
            <w:pPr>
              <w:ind w:left="509"/>
              <w:spacing w:before="250"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P</w:t>
            </w:r>
          </w:p>
        </w:tc>
        <w:tc>
          <w:tcPr>
            <w:tcW w:w="1528" w:type="dxa"/>
            <w:vAlign w:val="top"/>
          </w:tcPr>
          <w:p>
            <w:pPr>
              <w:pStyle w:val="TableText"/>
              <w:ind w:left="365"/>
              <w:spacing w:before="211" w:line="233" w:lineRule="auto"/>
              <w:rPr/>
            </w:pPr>
            <w:r>
              <w:rPr>
                <w:spacing w:val="3"/>
              </w:rPr>
              <w:t>密封冷藏</w:t>
            </w:r>
          </w:p>
        </w:tc>
        <w:tc>
          <w:tcPr>
            <w:tcW w:w="1996" w:type="dxa"/>
            <w:vAlign w:val="top"/>
          </w:tcPr>
          <w:p>
            <w:pPr>
              <w:pStyle w:val="TableText"/>
              <w:ind w:left="345" w:right="345" w:firstLine="179"/>
              <w:spacing w:before="55" w:line="261" w:lineRule="auto"/>
              <w:rPr/>
            </w:pPr>
            <w:r>
              <w:rPr>
                <w:rFonts w:ascii="Times New Roman" w:hAnsi="Times New Roman" w:eastAsia="Times New Roman" w:cs="Times New Roman"/>
                <w:spacing w:val="2"/>
              </w:rPr>
              <w:t>1%(V/V)</w:t>
            </w:r>
            <w:r>
              <w:rPr>
                <w:spacing w:val="2"/>
              </w:rPr>
              <w:t>的</w:t>
            </w:r>
            <w:r>
              <w:rPr>
                <w:spacing w:val="2"/>
              </w:rPr>
              <w:t xml:space="preserve">  </w:t>
            </w:r>
            <w:r>
              <w:rPr>
                <w:rFonts w:ascii="Times New Roman" w:hAnsi="Times New Roman" w:eastAsia="Times New Roman" w:cs="Times New Roman"/>
                <w:spacing w:val="5"/>
              </w:rPr>
              <w:t>40%(V/V)</w:t>
            </w:r>
            <w:r>
              <w:rPr>
                <w:spacing w:val="5"/>
              </w:rPr>
              <w:t>甲醛</w:t>
            </w:r>
          </w:p>
        </w:tc>
        <w:tc>
          <w:tcPr>
            <w:tcW w:w="1500" w:type="dxa"/>
            <w:vAlign w:val="top"/>
          </w:tcPr>
          <w:p>
            <w:pPr>
              <w:ind w:left="646"/>
              <w:spacing w:before="24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4d</w:t>
            </w:r>
          </w:p>
        </w:tc>
        <w:tc>
          <w:tcPr>
            <w:tcW w:w="1333" w:type="dxa"/>
            <w:vAlign w:val="top"/>
          </w:tcPr>
          <w:p>
            <w:pPr>
              <w:ind w:left="635"/>
              <w:spacing w:before="24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bl>
    <w:p>
      <w:pPr>
        <w:rPr>
          <w:rFonts w:ascii="Arial"/>
          <w:sz w:val="21"/>
        </w:rPr>
      </w:pPr>
      <w:r/>
    </w:p>
    <w:p>
      <w:pPr>
        <w:sectPr>
          <w:headerReference w:type="default" r:id="rId128"/>
          <w:footerReference w:type="default" r:id="rId129"/>
          <w:pgSz w:w="11906" w:h="16839"/>
          <w:pgMar w:top="1139" w:right="973" w:bottom="1249" w:left="967" w:header="831" w:footer="1090" w:gutter="0"/>
        </w:sectPr>
        <w:rPr>
          <w:rFonts w:ascii="Arial" w:hAnsi="Arial" w:eastAsia="Arial" w:cs="Arial"/>
          <w:sz w:val="21"/>
          <w:szCs w:val="21"/>
        </w:rPr>
      </w:pPr>
    </w:p>
    <w:p>
      <w:pPr>
        <w:spacing w:before="58"/>
        <w:rPr/>
      </w:pPr>
      <w:r/>
    </w:p>
    <w:tbl>
      <w:tblPr>
        <w:tblStyle w:val="TableNormal"/>
        <w:tblW w:w="995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463"/>
        <w:gridCol w:w="1134"/>
        <w:gridCol w:w="1528"/>
        <w:gridCol w:w="1996"/>
        <w:gridCol w:w="1500"/>
        <w:gridCol w:w="1333"/>
      </w:tblGrid>
      <w:tr>
        <w:trPr>
          <w:trHeight w:val="349" w:hRule="atLeast"/>
        </w:trPr>
        <w:tc>
          <w:tcPr>
            <w:tcW w:w="2463" w:type="dxa"/>
            <w:vAlign w:val="top"/>
          </w:tcPr>
          <w:p>
            <w:pPr>
              <w:pStyle w:val="TableText"/>
              <w:ind w:left="1032"/>
              <w:spacing w:before="71" w:line="232" w:lineRule="auto"/>
              <w:rPr/>
            </w:pPr>
            <w:r>
              <w:rPr>
                <w:b/>
                <w:bCs/>
              </w:rPr>
              <w:t>项目</w:t>
            </w:r>
          </w:p>
        </w:tc>
        <w:tc>
          <w:tcPr>
            <w:tcW w:w="1134" w:type="dxa"/>
            <w:vAlign w:val="top"/>
          </w:tcPr>
          <w:p>
            <w:pPr>
              <w:pStyle w:val="TableText"/>
              <w:ind w:left="368"/>
              <w:spacing w:before="71" w:line="232" w:lineRule="auto"/>
              <w:rPr/>
            </w:pPr>
            <w:r>
              <w:rPr>
                <w:b/>
                <w:bCs/>
                <w:spacing w:val="-1"/>
              </w:rPr>
              <w:t>容器</w:t>
            </w:r>
          </w:p>
        </w:tc>
        <w:tc>
          <w:tcPr>
            <w:tcW w:w="1528" w:type="dxa"/>
            <w:vAlign w:val="top"/>
          </w:tcPr>
          <w:p>
            <w:pPr>
              <w:pStyle w:val="TableText"/>
              <w:ind w:left="353"/>
              <w:spacing w:before="70" w:line="228" w:lineRule="auto"/>
              <w:rPr/>
            </w:pPr>
            <w:r>
              <w:rPr>
                <w:b/>
                <w:bCs/>
                <w:spacing w:val="4"/>
              </w:rPr>
              <w:t>保存方式</w:t>
            </w:r>
          </w:p>
        </w:tc>
        <w:tc>
          <w:tcPr>
            <w:tcW w:w="1996" w:type="dxa"/>
            <w:vAlign w:val="top"/>
          </w:tcPr>
          <w:p>
            <w:pPr>
              <w:pStyle w:val="TableText"/>
              <w:ind w:left="716"/>
              <w:spacing w:before="70" w:line="232" w:lineRule="auto"/>
              <w:rPr/>
            </w:pPr>
            <w:r>
              <w:rPr>
                <w:b/>
                <w:bCs/>
                <w:spacing w:val="-4"/>
              </w:rPr>
              <w:t>固定剂</w:t>
            </w:r>
          </w:p>
        </w:tc>
        <w:tc>
          <w:tcPr>
            <w:tcW w:w="1500" w:type="dxa"/>
            <w:vAlign w:val="top"/>
          </w:tcPr>
          <w:p>
            <w:pPr>
              <w:pStyle w:val="TableText"/>
              <w:ind w:left="343"/>
              <w:spacing w:before="70" w:line="228" w:lineRule="auto"/>
              <w:rPr/>
            </w:pPr>
            <w:r>
              <w:rPr>
                <w:b/>
                <w:bCs/>
                <w:spacing w:val="4"/>
              </w:rPr>
              <w:t>保存时间</w:t>
            </w:r>
          </w:p>
        </w:tc>
        <w:tc>
          <w:tcPr>
            <w:tcW w:w="1333" w:type="dxa"/>
            <w:vAlign w:val="top"/>
          </w:tcPr>
          <w:p>
            <w:pPr>
              <w:pStyle w:val="TableText"/>
              <w:ind w:left="468"/>
              <w:spacing w:before="70" w:line="233" w:lineRule="auto"/>
              <w:rPr/>
            </w:pPr>
            <w:r>
              <w:rPr>
                <w:b/>
                <w:bCs/>
              </w:rPr>
              <w:t>备注</w:t>
            </w:r>
          </w:p>
        </w:tc>
      </w:tr>
      <w:tr>
        <w:trPr>
          <w:trHeight w:val="345" w:hRule="atLeast"/>
        </w:trPr>
        <w:tc>
          <w:tcPr>
            <w:tcW w:w="2463" w:type="dxa"/>
            <w:vAlign w:val="top"/>
          </w:tcPr>
          <w:p>
            <w:pPr>
              <w:pStyle w:val="TableText"/>
              <w:ind w:left="927"/>
              <w:spacing w:before="67" w:line="229" w:lineRule="auto"/>
              <w:rPr/>
            </w:pPr>
            <w:r>
              <w:rPr>
                <w:spacing w:val="5"/>
              </w:rPr>
              <w:t>碘化物</w:t>
            </w:r>
          </w:p>
        </w:tc>
        <w:tc>
          <w:tcPr>
            <w:tcW w:w="1134" w:type="dxa"/>
            <w:vAlign w:val="top"/>
          </w:tcPr>
          <w:p>
            <w:pPr>
              <w:ind w:left="509"/>
              <w:spacing w:before="10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P</w:t>
            </w:r>
          </w:p>
        </w:tc>
        <w:tc>
          <w:tcPr>
            <w:tcW w:w="1528" w:type="dxa"/>
            <w:vAlign w:val="top"/>
          </w:tcPr>
          <w:p>
            <w:pPr>
              <w:pStyle w:val="TableText"/>
              <w:ind w:left="365"/>
              <w:spacing w:before="67" w:line="233" w:lineRule="auto"/>
              <w:rPr/>
            </w:pPr>
            <w:r>
              <w:rPr>
                <w:spacing w:val="3"/>
              </w:rPr>
              <w:t>密封冷藏</w:t>
            </w:r>
          </w:p>
        </w:tc>
        <w:tc>
          <w:tcPr>
            <w:tcW w:w="1996" w:type="dxa"/>
            <w:vAlign w:val="top"/>
          </w:tcPr>
          <w:p>
            <w:pPr>
              <w:pStyle w:val="TableText"/>
              <w:ind w:left="266"/>
              <w:spacing w:before="67" w:line="221" w:lineRule="auto"/>
              <w:rPr>
                <w:rFonts w:ascii="Times New Roman" w:hAnsi="Times New Roman" w:eastAsia="Times New Roman" w:cs="Times New Roman"/>
              </w:rPr>
            </w:pPr>
            <w:r>
              <w:rPr>
                <w:spacing w:val="7"/>
              </w:rPr>
              <w:t>加</w:t>
            </w:r>
            <w:r>
              <w:rPr>
                <w:rFonts w:ascii="Times New Roman" w:hAnsi="Times New Roman" w:eastAsia="Times New Roman" w:cs="Times New Roman"/>
              </w:rPr>
              <w:t>NaOH</w:t>
            </w:r>
            <w:r>
              <w:rPr>
                <w:spacing w:val="7"/>
              </w:rPr>
              <w:t>使</w:t>
            </w:r>
            <w:r>
              <w:rPr>
                <w:rFonts w:ascii="Times New Roman" w:hAnsi="Times New Roman" w:eastAsia="Times New Roman" w:cs="Times New Roman"/>
              </w:rPr>
              <w:t>pH</w:t>
            </w:r>
            <w:r>
              <w:rPr>
                <w:rFonts w:ascii="Times New Roman" w:hAnsi="Times New Roman" w:eastAsia="Times New Roman" w:cs="Times New Roman"/>
                <w:spacing w:val="28"/>
              </w:rPr>
              <w:t xml:space="preserve"> </w:t>
            </w:r>
            <w:r>
              <w:rPr>
                <w:rFonts w:ascii="Times New Roman" w:hAnsi="Times New Roman" w:eastAsia="Times New Roman" w:cs="Times New Roman"/>
                <w:spacing w:val="7"/>
              </w:rPr>
              <w:t>12</w:t>
            </w:r>
          </w:p>
        </w:tc>
        <w:tc>
          <w:tcPr>
            <w:tcW w:w="1500" w:type="dxa"/>
            <w:vAlign w:val="top"/>
          </w:tcPr>
          <w:p>
            <w:pPr>
              <w:ind w:left="616"/>
              <w:spacing w:before="9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10d</w:t>
            </w:r>
          </w:p>
        </w:tc>
        <w:tc>
          <w:tcPr>
            <w:tcW w:w="1333" w:type="dxa"/>
            <w:vAlign w:val="top"/>
          </w:tcPr>
          <w:p>
            <w:pPr>
              <w:ind w:left="635"/>
              <w:spacing w:before="9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2463" w:type="dxa"/>
            <w:vAlign w:val="top"/>
          </w:tcPr>
          <w:p>
            <w:pPr>
              <w:pStyle w:val="TableText"/>
              <w:ind w:left="933"/>
              <w:spacing w:before="65" w:line="229" w:lineRule="auto"/>
              <w:rPr/>
            </w:pPr>
            <w:r>
              <w:rPr>
                <w:spacing w:val="3"/>
              </w:rPr>
              <w:t>氟化物</w:t>
            </w:r>
          </w:p>
        </w:tc>
        <w:tc>
          <w:tcPr>
            <w:tcW w:w="1134" w:type="dxa"/>
            <w:vAlign w:val="top"/>
          </w:tcPr>
          <w:p>
            <w:pPr>
              <w:ind w:left="509"/>
              <w:spacing w:before="10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P</w:t>
            </w:r>
          </w:p>
        </w:tc>
        <w:tc>
          <w:tcPr>
            <w:tcW w:w="1528" w:type="dxa"/>
            <w:vAlign w:val="top"/>
          </w:tcPr>
          <w:p>
            <w:pPr>
              <w:pStyle w:val="TableText"/>
              <w:ind w:left="574"/>
              <w:spacing w:before="65" w:line="233" w:lineRule="auto"/>
              <w:rPr/>
            </w:pPr>
            <w:r>
              <w:rPr>
                <w:spacing w:val="-4"/>
              </w:rPr>
              <w:t>密封</w:t>
            </w:r>
          </w:p>
        </w:tc>
        <w:tc>
          <w:tcPr>
            <w:tcW w:w="1996" w:type="dxa"/>
            <w:vAlign w:val="top"/>
          </w:tcPr>
          <w:p>
            <w:pPr>
              <w:pStyle w:val="TableText"/>
              <w:ind w:left="803"/>
              <w:spacing w:before="65" w:line="228" w:lineRule="auto"/>
              <w:rPr/>
            </w:pPr>
            <w:r>
              <w:rPr>
                <w:spacing w:val="-1"/>
              </w:rPr>
              <w:t>原样</w:t>
            </w:r>
          </w:p>
        </w:tc>
        <w:tc>
          <w:tcPr>
            <w:tcW w:w="1500" w:type="dxa"/>
            <w:vAlign w:val="top"/>
          </w:tcPr>
          <w:p>
            <w:pPr>
              <w:ind w:left="616"/>
              <w:spacing w:before="9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14d</w:t>
            </w:r>
          </w:p>
        </w:tc>
        <w:tc>
          <w:tcPr>
            <w:tcW w:w="1333" w:type="dxa"/>
            <w:vAlign w:val="top"/>
          </w:tcPr>
          <w:p>
            <w:pPr>
              <w:ind w:left="635"/>
              <w:spacing w:before="9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940" w:hRule="atLeast"/>
        </w:trPr>
        <w:tc>
          <w:tcPr>
            <w:tcW w:w="2463" w:type="dxa"/>
            <w:vAlign w:val="top"/>
          </w:tcPr>
          <w:p>
            <w:pPr>
              <w:spacing w:line="296" w:lineRule="auto"/>
              <w:rPr>
                <w:rFonts w:ascii="Arial"/>
                <w:sz w:val="21"/>
              </w:rPr>
            </w:pPr>
            <w:r/>
          </w:p>
          <w:p>
            <w:pPr>
              <w:pStyle w:val="TableText"/>
              <w:ind w:left="929"/>
              <w:spacing w:before="65" w:line="231" w:lineRule="auto"/>
              <w:rPr/>
            </w:pPr>
            <w:r>
              <w:rPr>
                <w:spacing w:val="4"/>
              </w:rPr>
              <w:t>挥发酚</w:t>
            </w:r>
          </w:p>
        </w:tc>
        <w:tc>
          <w:tcPr>
            <w:tcW w:w="1134" w:type="dxa"/>
            <w:vAlign w:val="top"/>
          </w:tcPr>
          <w:p>
            <w:pPr>
              <w:spacing w:line="339" w:lineRule="auto"/>
              <w:rPr>
                <w:rFonts w:ascii="Arial"/>
                <w:sz w:val="21"/>
              </w:rPr>
            </w:pPr>
            <w:r/>
          </w:p>
          <w:p>
            <w:pPr>
              <w:ind w:left="493"/>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G</w:t>
            </w:r>
          </w:p>
        </w:tc>
        <w:tc>
          <w:tcPr>
            <w:tcW w:w="1528" w:type="dxa"/>
            <w:vAlign w:val="top"/>
          </w:tcPr>
          <w:p>
            <w:pPr>
              <w:spacing w:line="296" w:lineRule="auto"/>
              <w:rPr>
                <w:rFonts w:ascii="Arial"/>
                <w:sz w:val="21"/>
              </w:rPr>
            </w:pPr>
            <w:r/>
          </w:p>
          <w:p>
            <w:pPr>
              <w:pStyle w:val="TableText"/>
              <w:ind w:left="365"/>
              <w:spacing w:before="65" w:line="233" w:lineRule="auto"/>
              <w:rPr/>
            </w:pPr>
            <w:r>
              <w:rPr>
                <w:spacing w:val="3"/>
              </w:rPr>
              <w:t>密封冷藏</w:t>
            </w:r>
          </w:p>
        </w:tc>
        <w:tc>
          <w:tcPr>
            <w:tcW w:w="1996" w:type="dxa"/>
            <w:vAlign w:val="top"/>
          </w:tcPr>
          <w:p>
            <w:pPr>
              <w:pStyle w:val="TableText"/>
              <w:ind w:left="165"/>
              <w:spacing w:before="51" w:line="221" w:lineRule="auto"/>
              <w:rPr/>
            </w:pPr>
            <w:r>
              <w:rPr>
                <w:spacing w:val="6"/>
              </w:rPr>
              <w:t>加磷酸使</w:t>
            </w:r>
            <w:r>
              <w:rPr>
                <w:rFonts w:ascii="Times New Roman" w:hAnsi="Times New Roman" w:eastAsia="Times New Roman" w:cs="Times New Roman"/>
              </w:rPr>
              <w:t>pH</w:t>
            </w:r>
            <w:r>
              <w:rPr>
                <w:rFonts w:ascii="Times New Roman" w:hAnsi="Times New Roman" w:eastAsia="Times New Roman" w:cs="Times New Roman"/>
                <w:spacing w:val="6"/>
              </w:rPr>
              <w:t>&lt;4.0</w:t>
            </w:r>
            <w:r>
              <w:rPr>
                <w:spacing w:val="6"/>
              </w:rPr>
              <w:t>、</w:t>
            </w:r>
          </w:p>
          <w:p>
            <w:pPr>
              <w:pStyle w:val="TableText"/>
              <w:ind w:left="497" w:right="158" w:hanging="326"/>
              <w:spacing w:before="71" w:line="262" w:lineRule="auto"/>
              <w:rPr>
                <w:rFonts w:ascii="Times New Roman" w:hAnsi="Times New Roman" w:eastAsia="Times New Roman" w:cs="Times New Roman"/>
              </w:rPr>
            </w:pPr>
            <w:r>
              <w:rPr>
                <w:spacing w:val="7"/>
              </w:rPr>
              <w:t>再加硫酸铜使其浓</w:t>
            </w:r>
            <w:r>
              <w:rPr>
                <w:spacing w:val="4"/>
              </w:rPr>
              <w:t xml:space="preserve"> </w:t>
            </w:r>
            <w:r>
              <w:rPr>
                <w:spacing w:val="4"/>
              </w:rPr>
              <w:t>度接近</w:t>
            </w:r>
            <w:r>
              <w:rPr>
                <w:rFonts w:ascii="Times New Roman" w:hAnsi="Times New Roman" w:eastAsia="Times New Roman" w:cs="Times New Roman"/>
                <w:spacing w:val="4"/>
              </w:rPr>
              <w:t>1g/L</w:t>
            </w:r>
          </w:p>
        </w:tc>
        <w:tc>
          <w:tcPr>
            <w:tcW w:w="1500" w:type="dxa"/>
            <w:vAlign w:val="top"/>
          </w:tcPr>
          <w:p>
            <w:pPr>
              <w:spacing w:line="335" w:lineRule="auto"/>
              <w:rPr>
                <w:rFonts w:ascii="Arial"/>
                <w:sz w:val="21"/>
              </w:rPr>
            </w:pPr>
            <w:r/>
          </w:p>
          <w:p>
            <w:pPr>
              <w:ind w:left="596"/>
              <w:spacing w:before="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24h</w:t>
            </w:r>
          </w:p>
        </w:tc>
        <w:tc>
          <w:tcPr>
            <w:tcW w:w="1333" w:type="dxa"/>
            <w:vAlign w:val="top"/>
          </w:tcPr>
          <w:p>
            <w:pPr>
              <w:spacing w:line="335" w:lineRule="auto"/>
              <w:rPr>
                <w:rFonts w:ascii="Arial"/>
                <w:sz w:val="21"/>
              </w:rPr>
            </w:pPr>
            <w:r/>
          </w:p>
          <w:p>
            <w:pPr>
              <w:ind w:left="635"/>
              <w:spacing w:before="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2463" w:type="dxa"/>
            <w:vAlign w:val="top"/>
          </w:tcPr>
          <w:p>
            <w:pPr>
              <w:pStyle w:val="TableText"/>
              <w:ind w:left="937"/>
              <w:spacing w:before="66" w:line="229" w:lineRule="auto"/>
              <w:rPr/>
            </w:pPr>
            <w:r>
              <w:rPr>
                <w:spacing w:val="1"/>
              </w:rPr>
              <w:t>氰化物</w:t>
            </w:r>
          </w:p>
        </w:tc>
        <w:tc>
          <w:tcPr>
            <w:tcW w:w="1134" w:type="dxa"/>
            <w:vAlign w:val="top"/>
          </w:tcPr>
          <w:p>
            <w:pPr>
              <w:ind w:left="493"/>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G</w:t>
            </w:r>
          </w:p>
        </w:tc>
        <w:tc>
          <w:tcPr>
            <w:tcW w:w="1528" w:type="dxa"/>
            <w:vAlign w:val="top"/>
          </w:tcPr>
          <w:p>
            <w:pPr>
              <w:pStyle w:val="TableText"/>
              <w:ind w:left="394"/>
              <w:spacing w:before="66" w:line="233" w:lineRule="auto"/>
              <w:rPr/>
            </w:pPr>
            <w:r>
              <w:rPr>
                <w:rFonts w:ascii="Times New Roman" w:hAnsi="Times New Roman" w:eastAsia="Times New Roman" w:cs="Times New Roman"/>
                <w:spacing w:val="7"/>
              </w:rPr>
              <w:t>4℃</w:t>
            </w:r>
            <w:r>
              <w:rPr>
                <w:spacing w:val="7"/>
              </w:rPr>
              <w:t>冷藏</w:t>
            </w:r>
          </w:p>
        </w:tc>
        <w:tc>
          <w:tcPr>
            <w:tcW w:w="1996" w:type="dxa"/>
            <w:vAlign w:val="top"/>
          </w:tcPr>
          <w:p>
            <w:pPr>
              <w:pStyle w:val="TableText"/>
              <w:ind w:left="208"/>
              <w:spacing w:before="66" w:line="221" w:lineRule="auto"/>
              <w:rPr>
                <w:rFonts w:ascii="Times New Roman" w:hAnsi="Times New Roman" w:eastAsia="Times New Roman" w:cs="Times New Roman"/>
              </w:rPr>
            </w:pPr>
            <w:r>
              <w:rPr>
                <w:spacing w:val="10"/>
              </w:rPr>
              <w:t>加</w:t>
            </w:r>
            <w:r>
              <w:rPr>
                <w:rFonts w:ascii="Times New Roman" w:hAnsi="Times New Roman" w:eastAsia="Times New Roman" w:cs="Times New Roman"/>
              </w:rPr>
              <w:t>NaOH</w:t>
            </w:r>
            <w:r>
              <w:rPr>
                <w:rFonts w:ascii="Times New Roman" w:hAnsi="Times New Roman" w:eastAsia="Times New Roman" w:cs="Times New Roman"/>
                <w:spacing w:val="10"/>
              </w:rPr>
              <w:t>,</w:t>
            </w:r>
            <w:r>
              <w:rPr>
                <w:spacing w:val="10"/>
              </w:rPr>
              <w:t>使</w:t>
            </w:r>
            <w:r>
              <w:rPr>
                <w:rFonts w:ascii="Times New Roman" w:hAnsi="Times New Roman" w:eastAsia="Times New Roman" w:cs="Times New Roman"/>
              </w:rPr>
              <w:t>pH</w:t>
            </w:r>
            <w:r>
              <w:rPr>
                <w:rFonts w:ascii="Times New Roman" w:hAnsi="Times New Roman" w:eastAsia="Times New Roman" w:cs="Times New Roman"/>
                <w:spacing w:val="10"/>
              </w:rPr>
              <w:t>≥12</w:t>
            </w:r>
          </w:p>
        </w:tc>
        <w:tc>
          <w:tcPr>
            <w:tcW w:w="1500" w:type="dxa"/>
            <w:vAlign w:val="top"/>
          </w:tcPr>
          <w:p>
            <w:pPr>
              <w:ind w:left="596"/>
              <w:spacing w:before="9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24h</w:t>
            </w:r>
          </w:p>
        </w:tc>
        <w:tc>
          <w:tcPr>
            <w:tcW w:w="1333" w:type="dxa"/>
            <w:vAlign w:val="top"/>
          </w:tcPr>
          <w:p>
            <w:pPr>
              <w:ind w:left="635"/>
              <w:spacing w:before="9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2463" w:type="dxa"/>
            <w:vAlign w:val="top"/>
          </w:tcPr>
          <w:p>
            <w:pPr>
              <w:pStyle w:val="TableText"/>
              <w:ind w:left="927"/>
              <w:spacing w:before="67" w:line="229" w:lineRule="auto"/>
              <w:rPr/>
            </w:pPr>
            <w:r>
              <w:rPr>
                <w:spacing w:val="5"/>
              </w:rPr>
              <w:t>硫化物</w:t>
            </w:r>
          </w:p>
        </w:tc>
        <w:tc>
          <w:tcPr>
            <w:tcW w:w="1134" w:type="dxa"/>
            <w:vAlign w:val="top"/>
          </w:tcPr>
          <w:p>
            <w:pPr>
              <w:pStyle w:val="TableText"/>
              <w:ind w:left="393"/>
              <w:spacing w:before="66" w:line="232" w:lineRule="auto"/>
              <w:rPr>
                <w:rFonts w:ascii="Times New Roman" w:hAnsi="Times New Roman" w:eastAsia="Times New Roman" w:cs="Times New Roman"/>
              </w:rPr>
            </w:pPr>
            <w:r>
              <w:rPr>
                <w:spacing w:val="2"/>
              </w:rPr>
              <w:t>棕</w:t>
            </w:r>
            <w:r>
              <w:rPr>
                <w:rFonts w:ascii="Times New Roman" w:hAnsi="Times New Roman" w:eastAsia="Times New Roman" w:cs="Times New Roman"/>
                <w:spacing w:val="2"/>
              </w:rPr>
              <w:t>G</w:t>
            </w:r>
          </w:p>
        </w:tc>
        <w:tc>
          <w:tcPr>
            <w:tcW w:w="1528" w:type="dxa"/>
            <w:vAlign w:val="top"/>
          </w:tcPr>
          <w:p>
            <w:pPr>
              <w:pStyle w:val="TableText"/>
              <w:ind w:left="260"/>
              <w:spacing w:before="66" w:line="233" w:lineRule="auto"/>
              <w:rPr/>
            </w:pPr>
            <w:r>
              <w:rPr>
                <w:spacing w:val="4"/>
              </w:rPr>
              <w:t>密封、避光</w:t>
            </w:r>
          </w:p>
        </w:tc>
        <w:tc>
          <w:tcPr>
            <w:tcW w:w="1996" w:type="dxa"/>
            <w:vAlign w:val="top"/>
          </w:tcPr>
          <w:p>
            <w:pPr>
              <w:pStyle w:val="TableText"/>
              <w:ind w:left="183"/>
              <w:spacing w:before="66" w:line="231" w:lineRule="auto"/>
              <w:rPr/>
            </w:pPr>
            <w:r>
              <w:rPr>
                <w:spacing w:val="6"/>
              </w:rPr>
              <w:t>乙酸锌和氢氧化钠</w:t>
            </w:r>
          </w:p>
        </w:tc>
        <w:tc>
          <w:tcPr>
            <w:tcW w:w="1500" w:type="dxa"/>
            <w:vAlign w:val="top"/>
          </w:tcPr>
          <w:p>
            <w:pPr>
              <w:ind w:left="646"/>
              <w:spacing w:before="9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4d</w:t>
            </w:r>
          </w:p>
        </w:tc>
        <w:tc>
          <w:tcPr>
            <w:tcW w:w="1333" w:type="dxa"/>
            <w:vAlign w:val="top"/>
          </w:tcPr>
          <w:p>
            <w:pPr>
              <w:ind w:left="635"/>
              <w:spacing w:before="9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628" w:hRule="atLeast"/>
        </w:trPr>
        <w:tc>
          <w:tcPr>
            <w:tcW w:w="2463" w:type="dxa"/>
            <w:vAlign w:val="top"/>
          </w:tcPr>
          <w:p>
            <w:pPr>
              <w:pStyle w:val="TableText"/>
              <w:ind w:left="202"/>
              <w:spacing w:before="208" w:line="231" w:lineRule="auto"/>
              <w:rPr/>
            </w:pPr>
            <w:r>
              <w:rPr>
                <w:spacing w:val="7"/>
              </w:rPr>
              <w:t>总大肠菌群、菌落总数</w:t>
            </w:r>
          </w:p>
        </w:tc>
        <w:tc>
          <w:tcPr>
            <w:tcW w:w="1134" w:type="dxa"/>
            <w:vAlign w:val="top"/>
          </w:tcPr>
          <w:p>
            <w:pPr>
              <w:pStyle w:val="TableText"/>
              <w:ind w:left="129"/>
              <w:spacing w:before="52" w:line="232" w:lineRule="auto"/>
              <w:rPr/>
            </w:pPr>
            <w:r>
              <w:rPr>
                <w:spacing w:val="5"/>
              </w:rPr>
              <w:t>灭菌瓶</w:t>
            </w:r>
            <w:r>
              <w:rPr>
                <w:rFonts w:ascii="Times New Roman" w:hAnsi="Times New Roman" w:eastAsia="Times New Roman" w:cs="Times New Roman"/>
                <w:spacing w:val="5"/>
              </w:rPr>
              <w:t>/</w:t>
            </w:r>
            <w:r>
              <w:rPr>
                <w:spacing w:val="5"/>
              </w:rPr>
              <w:t>灭</w:t>
            </w:r>
          </w:p>
          <w:p>
            <w:pPr>
              <w:pStyle w:val="TableText"/>
              <w:ind w:left="369"/>
              <w:spacing w:before="60" w:line="232" w:lineRule="auto"/>
              <w:rPr/>
            </w:pPr>
            <w:r>
              <w:rPr>
                <w:spacing w:val="-1"/>
              </w:rPr>
              <w:t>菌袋</w:t>
            </w:r>
          </w:p>
        </w:tc>
        <w:tc>
          <w:tcPr>
            <w:tcW w:w="1528" w:type="dxa"/>
            <w:vAlign w:val="top"/>
          </w:tcPr>
          <w:p>
            <w:pPr>
              <w:pStyle w:val="TableText"/>
              <w:ind w:left="574"/>
              <w:spacing w:before="208" w:line="233" w:lineRule="auto"/>
              <w:rPr/>
            </w:pPr>
            <w:r>
              <w:rPr>
                <w:spacing w:val="-4"/>
              </w:rPr>
              <w:t>密封</w:t>
            </w:r>
          </w:p>
        </w:tc>
        <w:tc>
          <w:tcPr>
            <w:tcW w:w="1996" w:type="dxa"/>
            <w:vAlign w:val="top"/>
          </w:tcPr>
          <w:p>
            <w:pPr>
              <w:pStyle w:val="TableText"/>
              <w:ind w:left="803"/>
              <w:spacing w:before="208" w:line="228" w:lineRule="auto"/>
              <w:rPr/>
            </w:pPr>
            <w:r>
              <w:rPr>
                <w:spacing w:val="-1"/>
              </w:rPr>
              <w:t>原样</w:t>
            </w:r>
          </w:p>
        </w:tc>
        <w:tc>
          <w:tcPr>
            <w:tcW w:w="1500" w:type="dxa"/>
            <w:vAlign w:val="top"/>
          </w:tcPr>
          <w:p>
            <w:pPr>
              <w:ind w:left="655"/>
              <w:spacing w:before="24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8h</w:t>
            </w:r>
          </w:p>
        </w:tc>
        <w:tc>
          <w:tcPr>
            <w:tcW w:w="1333" w:type="dxa"/>
            <w:vAlign w:val="top"/>
          </w:tcPr>
          <w:p>
            <w:pPr>
              <w:ind w:left="635"/>
              <w:spacing w:before="24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2463" w:type="dxa"/>
            <w:vAlign w:val="top"/>
          </w:tcPr>
          <w:p>
            <w:pPr>
              <w:pStyle w:val="TableText"/>
              <w:ind w:left="615"/>
              <w:spacing w:before="67" w:line="229" w:lineRule="auto"/>
              <w:rPr/>
            </w:pPr>
            <w:r>
              <w:rPr>
                <w:spacing w:val="7"/>
              </w:rPr>
              <w:t>挥发性有机物</w:t>
            </w:r>
          </w:p>
        </w:tc>
        <w:tc>
          <w:tcPr>
            <w:tcW w:w="1134" w:type="dxa"/>
            <w:vAlign w:val="top"/>
          </w:tcPr>
          <w:p>
            <w:pPr>
              <w:pStyle w:val="TableText"/>
              <w:ind w:left="157"/>
              <w:spacing w:before="67" w:line="232" w:lineRule="auto"/>
              <w:rPr>
                <w:rFonts w:ascii="Times New Roman" w:hAnsi="Times New Roman" w:eastAsia="Times New Roman" w:cs="Times New Roman"/>
              </w:rPr>
            </w:pPr>
            <w:r>
              <w:rPr>
                <w:rFonts w:ascii="Times New Roman" w:hAnsi="Times New Roman" w:eastAsia="Times New Roman" w:cs="Times New Roman"/>
              </w:rPr>
              <w:t>VOA</w:t>
            </w:r>
            <w:r>
              <w:rPr>
                <w:spacing w:val="16"/>
              </w:rPr>
              <w:t>棕</w:t>
            </w:r>
            <w:r>
              <w:rPr>
                <w:rFonts w:ascii="Times New Roman" w:hAnsi="Times New Roman" w:eastAsia="Times New Roman" w:cs="Times New Roman"/>
                <w:spacing w:val="16"/>
              </w:rPr>
              <w:t>G</w:t>
            </w:r>
          </w:p>
        </w:tc>
        <w:tc>
          <w:tcPr>
            <w:tcW w:w="1528" w:type="dxa"/>
            <w:vAlign w:val="top"/>
          </w:tcPr>
          <w:p>
            <w:pPr>
              <w:pStyle w:val="TableText"/>
              <w:ind w:left="128"/>
              <w:spacing w:before="67" w:line="233" w:lineRule="auto"/>
              <w:rPr/>
            </w:pPr>
            <w:r>
              <w:rPr>
                <w:spacing w:val="-3"/>
              </w:rPr>
              <w:t>密封，</w:t>
            </w:r>
            <w:r>
              <w:rPr>
                <w:rFonts w:ascii="Times New Roman" w:hAnsi="Times New Roman" w:eastAsia="Times New Roman" w:cs="Times New Roman"/>
                <w:spacing w:val="-3"/>
              </w:rPr>
              <w:t>4℃</w:t>
            </w:r>
            <w:r>
              <w:rPr>
                <w:spacing w:val="-3"/>
              </w:rPr>
              <w:t>冷藏</w:t>
            </w:r>
          </w:p>
        </w:tc>
        <w:tc>
          <w:tcPr>
            <w:tcW w:w="1996" w:type="dxa"/>
            <w:vAlign w:val="top"/>
          </w:tcPr>
          <w:p>
            <w:pPr>
              <w:pStyle w:val="TableText"/>
              <w:ind w:left="407"/>
              <w:spacing w:before="67" w:line="221" w:lineRule="auto"/>
              <w:rPr>
                <w:rFonts w:ascii="Times New Roman" w:hAnsi="Times New Roman" w:eastAsia="Times New Roman" w:cs="Times New Roman"/>
              </w:rPr>
            </w:pPr>
            <w:r>
              <w:rPr>
                <w:spacing w:val="8"/>
              </w:rPr>
              <w:t>加酸，</w:t>
            </w:r>
            <w:r>
              <w:rPr>
                <w:rFonts w:ascii="Times New Roman" w:hAnsi="Times New Roman" w:eastAsia="Times New Roman" w:cs="Times New Roman"/>
              </w:rPr>
              <w:t>pH</w:t>
            </w:r>
            <w:r>
              <w:rPr>
                <w:spacing w:val="8"/>
              </w:rPr>
              <w:t>＜</w:t>
            </w:r>
            <w:r>
              <w:rPr>
                <w:rFonts w:ascii="Times New Roman" w:hAnsi="Times New Roman" w:eastAsia="Times New Roman" w:cs="Times New Roman"/>
                <w:spacing w:val="8"/>
              </w:rPr>
              <w:t>2</w:t>
            </w:r>
          </w:p>
        </w:tc>
        <w:tc>
          <w:tcPr>
            <w:tcW w:w="1500" w:type="dxa"/>
            <w:vAlign w:val="top"/>
          </w:tcPr>
          <w:p>
            <w:pPr>
              <w:ind w:left="616"/>
              <w:spacing w:before="9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14d</w:t>
            </w:r>
          </w:p>
        </w:tc>
        <w:tc>
          <w:tcPr>
            <w:tcW w:w="1333" w:type="dxa"/>
            <w:vAlign w:val="top"/>
          </w:tcPr>
          <w:p>
            <w:pPr>
              <w:pStyle w:val="TableText"/>
              <w:ind w:left="153"/>
              <w:spacing w:before="67" w:line="231" w:lineRule="auto"/>
              <w:rPr/>
            </w:pPr>
            <w:r>
              <w:rPr>
                <w:spacing w:val="6"/>
              </w:rPr>
              <w:t>满瓶无气泡</w:t>
            </w:r>
          </w:p>
        </w:tc>
      </w:tr>
      <w:tr>
        <w:trPr>
          <w:trHeight w:val="628" w:hRule="atLeast"/>
        </w:trPr>
        <w:tc>
          <w:tcPr>
            <w:tcW w:w="2463" w:type="dxa"/>
            <w:vAlign w:val="top"/>
          </w:tcPr>
          <w:p>
            <w:pPr>
              <w:pStyle w:val="TableText"/>
              <w:ind w:left="508"/>
              <w:spacing w:before="209" w:line="229" w:lineRule="auto"/>
              <w:rPr/>
            </w:pPr>
            <w:r>
              <w:rPr>
                <w:spacing w:val="7"/>
              </w:rPr>
              <w:t>半挥发性有机物</w:t>
            </w:r>
          </w:p>
        </w:tc>
        <w:tc>
          <w:tcPr>
            <w:tcW w:w="1134" w:type="dxa"/>
            <w:vAlign w:val="top"/>
          </w:tcPr>
          <w:p>
            <w:pPr>
              <w:pStyle w:val="TableText"/>
              <w:ind w:left="393"/>
              <w:spacing w:before="209" w:line="232" w:lineRule="auto"/>
              <w:rPr>
                <w:rFonts w:ascii="Times New Roman" w:hAnsi="Times New Roman" w:eastAsia="Times New Roman" w:cs="Times New Roman"/>
              </w:rPr>
            </w:pPr>
            <w:r>
              <w:rPr>
                <w:spacing w:val="2"/>
              </w:rPr>
              <w:t>棕</w:t>
            </w:r>
            <w:r>
              <w:rPr>
                <w:rFonts w:ascii="Times New Roman" w:hAnsi="Times New Roman" w:eastAsia="Times New Roman" w:cs="Times New Roman"/>
                <w:spacing w:val="2"/>
              </w:rPr>
              <w:t>G</w:t>
            </w:r>
          </w:p>
        </w:tc>
        <w:tc>
          <w:tcPr>
            <w:tcW w:w="1528" w:type="dxa"/>
            <w:vAlign w:val="top"/>
          </w:tcPr>
          <w:p>
            <w:pPr>
              <w:pStyle w:val="TableText"/>
              <w:ind w:left="128"/>
              <w:spacing w:before="209" w:line="233" w:lineRule="auto"/>
              <w:rPr/>
            </w:pPr>
            <w:r>
              <w:rPr>
                <w:spacing w:val="-3"/>
              </w:rPr>
              <w:t>密封，</w:t>
            </w:r>
            <w:r>
              <w:rPr>
                <w:rFonts w:ascii="Times New Roman" w:hAnsi="Times New Roman" w:eastAsia="Times New Roman" w:cs="Times New Roman"/>
                <w:spacing w:val="-3"/>
              </w:rPr>
              <w:t>4℃</w:t>
            </w:r>
            <w:r>
              <w:rPr>
                <w:spacing w:val="-3"/>
              </w:rPr>
              <w:t>冷藏</w:t>
            </w:r>
          </w:p>
        </w:tc>
        <w:tc>
          <w:tcPr>
            <w:tcW w:w="1996" w:type="dxa"/>
            <w:vAlign w:val="top"/>
          </w:tcPr>
          <w:p>
            <w:pPr>
              <w:pStyle w:val="TableText"/>
              <w:ind w:left="803"/>
              <w:spacing w:before="209" w:line="228" w:lineRule="auto"/>
              <w:rPr/>
            </w:pPr>
            <w:r>
              <w:rPr>
                <w:spacing w:val="-1"/>
              </w:rPr>
              <w:t>原样</w:t>
            </w:r>
          </w:p>
        </w:tc>
        <w:tc>
          <w:tcPr>
            <w:tcW w:w="1500" w:type="dxa"/>
            <w:vAlign w:val="top"/>
          </w:tcPr>
          <w:p>
            <w:pPr>
              <w:pStyle w:val="TableText"/>
              <w:ind w:left="127"/>
              <w:spacing w:before="53" w:line="231" w:lineRule="auto"/>
              <w:rPr/>
            </w:pPr>
            <w:r>
              <w:rPr>
                <w:rFonts w:ascii="Times New Roman" w:hAnsi="Times New Roman" w:eastAsia="Times New Roman" w:cs="Times New Roman"/>
                <w:spacing w:val="6"/>
              </w:rPr>
              <w:t>7d</w:t>
            </w:r>
            <w:r>
              <w:rPr>
                <w:spacing w:val="6"/>
              </w:rPr>
              <w:t>（提取</w:t>
            </w:r>
            <w:r>
              <w:rPr/>
              <w:t>），</w:t>
            </w:r>
          </w:p>
          <w:p>
            <w:pPr>
              <w:ind w:left="595"/>
              <w:spacing w:before="9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40d</w:t>
            </w:r>
          </w:p>
        </w:tc>
        <w:tc>
          <w:tcPr>
            <w:tcW w:w="1333" w:type="dxa"/>
            <w:vAlign w:val="top"/>
          </w:tcPr>
          <w:p>
            <w:pPr>
              <w:pStyle w:val="TableText"/>
              <w:ind w:left="153"/>
              <w:spacing w:before="209" w:line="231" w:lineRule="auto"/>
              <w:rPr/>
            </w:pPr>
            <w:r>
              <w:rPr>
                <w:spacing w:val="6"/>
              </w:rPr>
              <w:t>满瓶无气泡</w:t>
            </w:r>
          </w:p>
        </w:tc>
      </w:tr>
      <w:tr>
        <w:trPr>
          <w:trHeight w:val="628" w:hRule="atLeast"/>
        </w:trPr>
        <w:tc>
          <w:tcPr>
            <w:tcW w:w="2463" w:type="dxa"/>
            <w:vAlign w:val="top"/>
          </w:tcPr>
          <w:p>
            <w:pPr>
              <w:pStyle w:val="TableText"/>
              <w:ind w:left="507"/>
              <w:spacing w:before="210" w:line="226" w:lineRule="auto"/>
              <w:rPr/>
            </w:pPr>
            <w:r>
              <w:rPr>
                <w:spacing w:val="1"/>
              </w:rPr>
              <w:t>邻苯二</w:t>
            </w:r>
            <w:r>
              <w:rPr>
                <w:spacing w:val="-53"/>
              </w:rPr>
              <w:t xml:space="preserve"> </w:t>
            </w:r>
            <w:r>
              <w:rPr>
                <w:spacing w:val="1"/>
              </w:rPr>
              <w:t>甲酸酯类</w:t>
            </w:r>
          </w:p>
        </w:tc>
        <w:tc>
          <w:tcPr>
            <w:tcW w:w="1134" w:type="dxa"/>
            <w:vAlign w:val="top"/>
          </w:tcPr>
          <w:p>
            <w:pPr>
              <w:pStyle w:val="TableText"/>
              <w:ind w:left="393"/>
              <w:spacing w:before="209" w:line="232" w:lineRule="auto"/>
              <w:rPr>
                <w:rFonts w:ascii="Times New Roman" w:hAnsi="Times New Roman" w:eastAsia="Times New Roman" w:cs="Times New Roman"/>
              </w:rPr>
            </w:pPr>
            <w:r>
              <w:rPr>
                <w:spacing w:val="2"/>
              </w:rPr>
              <w:t>棕</w:t>
            </w:r>
            <w:r>
              <w:rPr>
                <w:rFonts w:ascii="Times New Roman" w:hAnsi="Times New Roman" w:eastAsia="Times New Roman" w:cs="Times New Roman"/>
                <w:spacing w:val="2"/>
              </w:rPr>
              <w:t>G</w:t>
            </w:r>
          </w:p>
        </w:tc>
        <w:tc>
          <w:tcPr>
            <w:tcW w:w="1528" w:type="dxa"/>
            <w:vAlign w:val="top"/>
          </w:tcPr>
          <w:p>
            <w:pPr>
              <w:pStyle w:val="TableText"/>
              <w:ind w:left="128"/>
              <w:spacing w:before="210" w:line="233" w:lineRule="auto"/>
              <w:rPr/>
            </w:pPr>
            <w:r>
              <w:rPr>
                <w:spacing w:val="-3"/>
              </w:rPr>
              <w:t>密封，</w:t>
            </w:r>
            <w:r>
              <w:rPr>
                <w:rFonts w:ascii="Times New Roman" w:hAnsi="Times New Roman" w:eastAsia="Times New Roman" w:cs="Times New Roman"/>
                <w:spacing w:val="-3"/>
              </w:rPr>
              <w:t>4℃</w:t>
            </w:r>
            <w:r>
              <w:rPr>
                <w:spacing w:val="-3"/>
              </w:rPr>
              <w:t>冷藏</w:t>
            </w:r>
          </w:p>
        </w:tc>
        <w:tc>
          <w:tcPr>
            <w:tcW w:w="1996" w:type="dxa"/>
            <w:vAlign w:val="top"/>
          </w:tcPr>
          <w:p>
            <w:pPr>
              <w:pStyle w:val="TableText"/>
              <w:ind w:left="803"/>
              <w:spacing w:before="210" w:line="228" w:lineRule="auto"/>
              <w:rPr/>
            </w:pPr>
            <w:r>
              <w:rPr>
                <w:spacing w:val="-1"/>
              </w:rPr>
              <w:t>原样</w:t>
            </w:r>
          </w:p>
        </w:tc>
        <w:tc>
          <w:tcPr>
            <w:tcW w:w="1500" w:type="dxa"/>
            <w:vAlign w:val="top"/>
          </w:tcPr>
          <w:p>
            <w:pPr>
              <w:pStyle w:val="TableText"/>
              <w:ind w:left="127"/>
              <w:spacing w:before="54" w:line="231" w:lineRule="auto"/>
              <w:rPr/>
            </w:pPr>
            <w:r>
              <w:rPr>
                <w:rFonts w:ascii="Times New Roman" w:hAnsi="Times New Roman" w:eastAsia="Times New Roman" w:cs="Times New Roman"/>
                <w:spacing w:val="6"/>
              </w:rPr>
              <w:t>7d</w:t>
            </w:r>
            <w:r>
              <w:rPr>
                <w:spacing w:val="6"/>
              </w:rPr>
              <w:t>（提取</w:t>
            </w:r>
            <w:r>
              <w:rPr/>
              <w:t>），</w:t>
            </w:r>
          </w:p>
          <w:p>
            <w:pPr>
              <w:ind w:left="595"/>
              <w:spacing w:before="9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40d</w:t>
            </w:r>
          </w:p>
        </w:tc>
        <w:tc>
          <w:tcPr>
            <w:tcW w:w="1333" w:type="dxa"/>
            <w:vAlign w:val="top"/>
          </w:tcPr>
          <w:p>
            <w:pPr>
              <w:pStyle w:val="TableText"/>
              <w:ind w:left="153"/>
              <w:spacing w:before="210" w:line="231" w:lineRule="auto"/>
              <w:rPr/>
            </w:pPr>
            <w:r>
              <w:rPr>
                <w:spacing w:val="6"/>
              </w:rPr>
              <w:t>满瓶无气泡</w:t>
            </w:r>
          </w:p>
        </w:tc>
      </w:tr>
      <w:tr>
        <w:trPr>
          <w:trHeight w:val="633" w:hRule="atLeast"/>
        </w:trPr>
        <w:tc>
          <w:tcPr>
            <w:tcW w:w="2463" w:type="dxa"/>
            <w:vAlign w:val="top"/>
          </w:tcPr>
          <w:p>
            <w:pPr>
              <w:pStyle w:val="TableText"/>
              <w:ind w:left="385"/>
              <w:spacing w:before="213" w:line="233" w:lineRule="auto"/>
              <w:rPr/>
            </w:pPr>
            <w:r>
              <w:rPr>
                <w:spacing w:val="4"/>
              </w:rPr>
              <w:t>石油烃（</w:t>
            </w:r>
            <w:r>
              <w:rPr>
                <w:rFonts w:ascii="Times New Roman" w:hAnsi="Times New Roman" w:eastAsia="Times New Roman" w:cs="Times New Roman"/>
                <w:spacing w:val="4"/>
              </w:rPr>
              <w:t>C</w:t>
            </w:r>
            <w:r>
              <w:rPr>
                <w:rFonts w:ascii="Times New Roman" w:hAnsi="Times New Roman" w:eastAsia="Times New Roman" w:cs="Times New Roman"/>
                <w:sz w:val="13"/>
                <w:szCs w:val="13"/>
                <w:spacing w:val="4"/>
                <w:position w:val="-1"/>
              </w:rPr>
              <w:t>10</w:t>
            </w:r>
            <w:r>
              <w:rPr>
                <w:rFonts w:ascii="Times New Roman" w:hAnsi="Times New Roman" w:eastAsia="Times New Roman" w:cs="Times New Roman"/>
                <w:spacing w:val="4"/>
              </w:rPr>
              <w:t>~C</w:t>
            </w:r>
            <w:r>
              <w:rPr>
                <w:rFonts w:ascii="Times New Roman" w:hAnsi="Times New Roman" w:eastAsia="Times New Roman" w:cs="Times New Roman"/>
                <w:sz w:val="13"/>
                <w:szCs w:val="13"/>
                <w:spacing w:val="4"/>
                <w:position w:val="-1"/>
              </w:rPr>
              <w:t>40</w:t>
            </w:r>
            <w:r>
              <w:rPr>
                <w:spacing w:val="4"/>
              </w:rPr>
              <w:t>）</w:t>
            </w:r>
          </w:p>
        </w:tc>
        <w:tc>
          <w:tcPr>
            <w:tcW w:w="1134" w:type="dxa"/>
            <w:vAlign w:val="top"/>
          </w:tcPr>
          <w:p>
            <w:pPr>
              <w:pStyle w:val="TableText"/>
              <w:ind w:left="393"/>
              <w:spacing w:before="212" w:line="232" w:lineRule="auto"/>
              <w:rPr>
                <w:rFonts w:ascii="Times New Roman" w:hAnsi="Times New Roman" w:eastAsia="Times New Roman" w:cs="Times New Roman"/>
              </w:rPr>
            </w:pPr>
            <w:r>
              <w:rPr>
                <w:spacing w:val="2"/>
              </w:rPr>
              <w:t>棕</w:t>
            </w:r>
            <w:r>
              <w:rPr>
                <w:rFonts w:ascii="Times New Roman" w:hAnsi="Times New Roman" w:eastAsia="Times New Roman" w:cs="Times New Roman"/>
                <w:spacing w:val="2"/>
              </w:rPr>
              <w:t>G</w:t>
            </w:r>
          </w:p>
        </w:tc>
        <w:tc>
          <w:tcPr>
            <w:tcW w:w="1528" w:type="dxa"/>
            <w:vAlign w:val="top"/>
          </w:tcPr>
          <w:p>
            <w:pPr>
              <w:pStyle w:val="TableText"/>
              <w:ind w:left="128"/>
              <w:spacing w:before="213" w:line="233" w:lineRule="auto"/>
              <w:rPr/>
            </w:pPr>
            <w:r>
              <w:rPr>
                <w:spacing w:val="-3"/>
              </w:rPr>
              <w:t>密封，</w:t>
            </w:r>
            <w:r>
              <w:rPr>
                <w:rFonts w:ascii="Times New Roman" w:hAnsi="Times New Roman" w:eastAsia="Times New Roman" w:cs="Times New Roman"/>
                <w:spacing w:val="-3"/>
              </w:rPr>
              <w:t>4℃</w:t>
            </w:r>
            <w:r>
              <w:rPr>
                <w:spacing w:val="-3"/>
              </w:rPr>
              <w:t>冷藏</w:t>
            </w:r>
          </w:p>
        </w:tc>
        <w:tc>
          <w:tcPr>
            <w:tcW w:w="1996" w:type="dxa"/>
            <w:vAlign w:val="top"/>
          </w:tcPr>
          <w:p>
            <w:pPr>
              <w:pStyle w:val="TableText"/>
              <w:ind w:left="456"/>
              <w:spacing w:before="213" w:line="221" w:lineRule="auto"/>
              <w:rPr>
                <w:rFonts w:ascii="Times New Roman" w:hAnsi="Times New Roman" w:eastAsia="Times New Roman" w:cs="Times New Roman"/>
              </w:rPr>
            </w:pPr>
            <w:r>
              <w:rPr>
                <w:spacing w:val="7"/>
              </w:rPr>
              <w:t>盐酸，</w:t>
            </w:r>
            <w:r>
              <w:rPr>
                <w:rFonts w:ascii="Times New Roman" w:hAnsi="Times New Roman" w:eastAsia="Times New Roman" w:cs="Times New Roman"/>
              </w:rPr>
              <w:t>pH</w:t>
            </w:r>
            <w:r>
              <w:rPr>
                <w:rFonts w:ascii="Times New Roman" w:hAnsi="Times New Roman" w:eastAsia="Times New Roman" w:cs="Times New Roman"/>
                <w:spacing w:val="7"/>
              </w:rPr>
              <w:t>≤2</w:t>
            </w:r>
          </w:p>
        </w:tc>
        <w:tc>
          <w:tcPr>
            <w:tcW w:w="1500" w:type="dxa"/>
            <w:vAlign w:val="top"/>
          </w:tcPr>
          <w:p>
            <w:pPr>
              <w:pStyle w:val="TableText"/>
              <w:ind w:left="132"/>
              <w:spacing w:before="57" w:line="228" w:lineRule="auto"/>
              <w:rPr/>
            </w:pPr>
            <w:r>
              <w:rPr>
                <w:rFonts w:ascii="Times New Roman" w:hAnsi="Times New Roman" w:eastAsia="Times New Roman" w:cs="Times New Roman"/>
                <w:spacing w:val="3"/>
              </w:rPr>
              <w:t>14d</w:t>
            </w:r>
            <w:r>
              <w:rPr>
                <w:spacing w:val="3"/>
              </w:rPr>
              <w:t>（萃取</w:t>
            </w:r>
            <w:r>
              <w:rPr/>
              <w:t>），</w:t>
            </w:r>
          </w:p>
          <w:p>
            <w:pPr>
              <w:ind w:left="595"/>
              <w:spacing w:before="9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40d</w:t>
            </w:r>
          </w:p>
        </w:tc>
        <w:tc>
          <w:tcPr>
            <w:tcW w:w="1333" w:type="dxa"/>
            <w:vAlign w:val="top"/>
          </w:tcPr>
          <w:p>
            <w:pPr>
              <w:pStyle w:val="TableText"/>
              <w:ind w:left="153"/>
              <w:spacing w:before="213" w:line="231" w:lineRule="auto"/>
              <w:rPr/>
            </w:pPr>
            <w:r>
              <w:rPr>
                <w:spacing w:val="6"/>
              </w:rPr>
              <w:t>满瓶无气泡</w:t>
            </w:r>
          </w:p>
        </w:tc>
      </w:tr>
    </w:tbl>
    <w:p>
      <w:pPr>
        <w:pStyle w:val="BodyText"/>
        <w:ind w:left="2194"/>
        <w:spacing w:before="114" w:line="219" w:lineRule="auto"/>
        <w:rPr>
          <w:rFonts w:ascii="FangSong" w:hAnsi="FangSong" w:eastAsia="FangSong" w:cs="FangSong"/>
          <w:sz w:val="24"/>
          <w:szCs w:val="24"/>
        </w:rPr>
      </w:pPr>
      <w:r>
        <w:rPr>
          <w:rFonts w:ascii="FangSong" w:hAnsi="FangSong" w:eastAsia="FangSong" w:cs="FangSong"/>
          <w:sz w:val="24"/>
          <w:szCs w:val="24"/>
          <w:b/>
          <w:bCs/>
          <w:spacing w:val="-2"/>
        </w:rPr>
        <w:t>表</w:t>
      </w:r>
      <w:r>
        <w:rPr>
          <w:sz w:val="24"/>
          <w:szCs w:val="24"/>
          <w:b/>
          <w:bCs/>
          <w:spacing w:val="-2"/>
        </w:rPr>
        <w:t>7-5    </w:t>
      </w:r>
      <w:r>
        <w:rPr>
          <w:rFonts w:ascii="FangSong" w:hAnsi="FangSong" w:eastAsia="FangSong" w:cs="FangSong"/>
          <w:sz w:val="24"/>
          <w:szCs w:val="24"/>
          <w:b/>
          <w:bCs/>
          <w:spacing w:val="-2"/>
        </w:rPr>
        <w:t>土壤取样容器、取样量、保存方式、取样工具</w:t>
      </w:r>
    </w:p>
    <w:p>
      <w:pPr>
        <w:spacing w:line="68" w:lineRule="exact"/>
        <w:rPr/>
      </w:pPr>
      <w:r/>
    </w:p>
    <w:tbl>
      <w:tblPr>
        <w:tblStyle w:val="TableNormal"/>
        <w:tblW w:w="996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63"/>
        <w:gridCol w:w="1823"/>
        <w:gridCol w:w="1646"/>
        <w:gridCol w:w="1640"/>
        <w:gridCol w:w="1389"/>
        <w:gridCol w:w="1801"/>
      </w:tblGrid>
      <w:tr>
        <w:trPr>
          <w:trHeight w:val="633" w:hRule="atLeast"/>
        </w:trPr>
        <w:tc>
          <w:tcPr>
            <w:tcW w:w="1663" w:type="dxa"/>
            <w:vAlign w:val="top"/>
          </w:tcPr>
          <w:p>
            <w:pPr>
              <w:pStyle w:val="TableText"/>
              <w:ind w:left="631"/>
              <w:spacing w:before="212" w:line="232" w:lineRule="auto"/>
              <w:rPr/>
            </w:pPr>
            <w:r>
              <w:rPr>
                <w:b/>
                <w:bCs/>
              </w:rPr>
              <w:t>项目</w:t>
            </w:r>
          </w:p>
        </w:tc>
        <w:tc>
          <w:tcPr>
            <w:tcW w:w="1823" w:type="dxa"/>
            <w:vAlign w:val="top"/>
          </w:tcPr>
          <w:p>
            <w:pPr>
              <w:pStyle w:val="TableText"/>
              <w:ind w:left="501"/>
              <w:spacing w:before="211" w:line="232" w:lineRule="auto"/>
              <w:rPr/>
            </w:pPr>
            <w:r>
              <w:rPr>
                <w:b/>
                <w:bCs/>
                <w:spacing w:val="4"/>
              </w:rPr>
              <w:t>容器材质</w:t>
            </w:r>
          </w:p>
        </w:tc>
        <w:tc>
          <w:tcPr>
            <w:tcW w:w="1646" w:type="dxa"/>
            <w:vAlign w:val="top"/>
          </w:tcPr>
          <w:p>
            <w:pPr>
              <w:pStyle w:val="TableText"/>
              <w:ind w:left="414"/>
              <w:spacing w:before="212" w:line="228" w:lineRule="auto"/>
              <w:rPr/>
            </w:pPr>
            <w:r>
              <w:rPr>
                <w:b/>
                <w:bCs/>
                <w:spacing w:val="4"/>
              </w:rPr>
              <w:t>保存条件</w:t>
            </w:r>
          </w:p>
        </w:tc>
        <w:tc>
          <w:tcPr>
            <w:tcW w:w="1640" w:type="dxa"/>
            <w:vAlign w:val="top"/>
          </w:tcPr>
          <w:p>
            <w:pPr>
              <w:pStyle w:val="TableText"/>
              <w:ind w:left="306"/>
              <w:spacing w:before="212" w:line="228" w:lineRule="auto"/>
              <w:rPr/>
            </w:pPr>
            <w:r>
              <w:rPr>
                <w:b/>
                <w:bCs/>
                <w:spacing w:val="5"/>
              </w:rPr>
              <w:t>样品采集量</w:t>
            </w:r>
          </w:p>
        </w:tc>
        <w:tc>
          <w:tcPr>
            <w:tcW w:w="1389" w:type="dxa"/>
            <w:vAlign w:val="top"/>
          </w:tcPr>
          <w:p>
            <w:pPr>
              <w:pStyle w:val="TableText"/>
              <w:ind w:left="180"/>
              <w:spacing w:before="56" w:line="228" w:lineRule="auto"/>
              <w:rPr/>
            </w:pPr>
            <w:r>
              <w:rPr>
                <w:b/>
                <w:bCs/>
                <w:spacing w:val="5"/>
              </w:rPr>
              <w:t>样品最大保</w:t>
            </w:r>
          </w:p>
          <w:p>
            <w:pPr>
              <w:pStyle w:val="TableText"/>
              <w:ind w:left="414"/>
              <w:spacing w:before="64" w:line="231" w:lineRule="auto"/>
              <w:rPr/>
            </w:pPr>
            <w:r>
              <w:rPr>
                <w:b/>
                <w:bCs/>
                <w:spacing w:val="-4"/>
              </w:rPr>
              <w:t>留时间</w:t>
            </w:r>
          </w:p>
        </w:tc>
        <w:tc>
          <w:tcPr>
            <w:tcW w:w="1801" w:type="dxa"/>
            <w:vAlign w:val="top"/>
          </w:tcPr>
          <w:p>
            <w:pPr>
              <w:pStyle w:val="TableText"/>
              <w:ind w:left="702"/>
              <w:spacing w:before="211" w:line="232" w:lineRule="auto"/>
              <w:rPr/>
            </w:pPr>
            <w:r>
              <w:rPr>
                <w:b/>
                <w:bCs/>
              </w:rPr>
              <w:t>依据</w:t>
            </w:r>
          </w:p>
        </w:tc>
      </w:tr>
      <w:tr>
        <w:trPr>
          <w:trHeight w:val="345" w:hRule="atLeast"/>
        </w:trPr>
        <w:tc>
          <w:tcPr>
            <w:tcW w:w="9962" w:type="dxa"/>
            <w:vAlign w:val="top"/>
            <w:gridSpan w:val="6"/>
          </w:tcPr>
          <w:p>
            <w:pPr>
              <w:pStyle w:val="TableText"/>
              <w:ind w:left="4469"/>
              <w:spacing w:before="66" w:line="231" w:lineRule="auto"/>
              <w:rPr/>
            </w:pPr>
            <w:r>
              <w:rPr>
                <w:spacing w:val="6"/>
              </w:rPr>
              <w:t>理化及金属</w:t>
            </w:r>
          </w:p>
        </w:tc>
      </w:tr>
      <w:tr>
        <w:trPr>
          <w:trHeight w:val="345" w:hRule="atLeast"/>
        </w:trPr>
        <w:tc>
          <w:tcPr>
            <w:tcW w:w="1663" w:type="dxa"/>
            <w:vAlign w:val="top"/>
          </w:tcPr>
          <w:p>
            <w:pPr>
              <w:pStyle w:val="TableText"/>
              <w:ind w:left="491"/>
              <w:spacing w:before="66" w:line="221" w:lineRule="auto"/>
              <w:rPr/>
            </w:pPr>
            <w:r>
              <w:rPr>
                <w:rFonts w:ascii="Times New Roman" w:hAnsi="Times New Roman" w:eastAsia="Times New Roman" w:cs="Times New Roman"/>
              </w:rPr>
              <w:t>pH</w:t>
            </w:r>
            <w:r>
              <w:rPr>
                <w:rFonts w:ascii="Times New Roman" w:hAnsi="Times New Roman" w:eastAsia="Times New Roman" w:cs="Times New Roman"/>
                <w:spacing w:val="-23"/>
              </w:rPr>
              <w:t xml:space="preserve"> </w:t>
            </w:r>
            <w:r>
              <w:rPr>
                <w:spacing w:val="3"/>
              </w:rPr>
              <w:t>、汞</w:t>
            </w:r>
          </w:p>
        </w:tc>
        <w:tc>
          <w:tcPr>
            <w:tcW w:w="1823" w:type="dxa"/>
            <w:vAlign w:val="top"/>
          </w:tcPr>
          <w:p>
            <w:pPr>
              <w:pStyle w:val="TableText"/>
              <w:ind w:left="610"/>
              <w:spacing w:before="66" w:line="231" w:lineRule="auto"/>
              <w:rPr/>
            </w:pPr>
            <w:r>
              <w:rPr>
                <w:spacing w:val="3"/>
              </w:rPr>
              <w:t>聚乙烯</w:t>
            </w:r>
          </w:p>
        </w:tc>
        <w:tc>
          <w:tcPr>
            <w:tcW w:w="1646" w:type="dxa"/>
            <w:vAlign w:val="top"/>
          </w:tcPr>
          <w:p>
            <w:pPr>
              <w:pStyle w:val="TableText"/>
              <w:ind w:left="262"/>
              <w:spacing w:before="66" w:line="232" w:lineRule="auto"/>
              <w:rPr/>
            </w:pPr>
            <w:r>
              <w:rPr>
                <w:spacing w:val="5"/>
              </w:rPr>
              <w:t>&lt;</w:t>
            </w:r>
            <w:r>
              <w:rPr>
                <w:rFonts w:ascii="Times New Roman" w:hAnsi="Times New Roman" w:eastAsia="Times New Roman" w:cs="Times New Roman"/>
                <w:spacing w:val="5"/>
              </w:rPr>
              <w:t>4℃</w:t>
            </w:r>
            <w:r>
              <w:rPr>
                <w:rFonts w:ascii="Times New Roman" w:hAnsi="Times New Roman" w:eastAsia="Times New Roman" w:cs="Times New Roman"/>
                <w:spacing w:val="-22"/>
              </w:rPr>
              <w:t xml:space="preserve"> </w:t>
            </w:r>
            <w:r>
              <w:rPr>
                <w:spacing w:val="5"/>
              </w:rPr>
              <w:t>,</w:t>
            </w:r>
            <w:r>
              <w:rPr>
                <w:spacing w:val="72"/>
              </w:rPr>
              <w:t xml:space="preserve"> </w:t>
            </w:r>
            <w:r>
              <w:rPr>
                <w:spacing w:val="5"/>
              </w:rPr>
              <w:t>密封</w:t>
            </w:r>
          </w:p>
        </w:tc>
        <w:tc>
          <w:tcPr>
            <w:tcW w:w="1640" w:type="dxa"/>
            <w:vAlign w:val="top"/>
            <w:vMerge w:val="restart"/>
            <w:tcBorders>
              <w:bottom w:val="nil"/>
            </w:tcBorders>
          </w:tcPr>
          <w:p>
            <w:pPr>
              <w:spacing w:line="327" w:lineRule="auto"/>
              <w:rPr>
                <w:rFonts w:ascii="Arial"/>
                <w:sz w:val="21"/>
              </w:rPr>
            </w:pPr>
            <w:r/>
          </w:p>
          <w:p>
            <w:pPr>
              <w:spacing w:line="328" w:lineRule="auto"/>
              <w:rPr>
                <w:rFonts w:ascii="Arial"/>
                <w:sz w:val="21"/>
              </w:rPr>
            </w:pPr>
            <w:r/>
          </w:p>
          <w:p>
            <w:pPr>
              <w:ind w:left="618"/>
              <w:spacing w:before="58" w:line="19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500g</w:t>
            </w:r>
          </w:p>
        </w:tc>
        <w:tc>
          <w:tcPr>
            <w:tcW w:w="1389" w:type="dxa"/>
            <w:vAlign w:val="top"/>
          </w:tcPr>
          <w:p>
            <w:pPr>
              <w:ind w:left="540"/>
              <w:spacing w:before="9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28d</w:t>
            </w:r>
          </w:p>
        </w:tc>
        <w:tc>
          <w:tcPr>
            <w:tcW w:w="1801" w:type="dxa"/>
            <w:vAlign w:val="top"/>
            <w:vMerge w:val="restart"/>
            <w:tcBorders>
              <w:bottom w:val="nil"/>
            </w:tcBorders>
          </w:tcPr>
          <w:p>
            <w:pPr>
              <w:pStyle w:val="TableText"/>
              <w:ind w:left="177" w:right="165" w:firstLine="1"/>
              <w:spacing w:before="51" w:line="288" w:lineRule="auto"/>
              <w:rPr/>
            </w:pPr>
            <w:r>
              <w:rPr>
                <w:spacing w:val="7"/>
              </w:rPr>
              <w:t>参考浙江省重点</w:t>
            </w:r>
            <w:r>
              <w:rPr>
                <w:spacing w:val="1"/>
              </w:rPr>
              <w:t xml:space="preserve"> </w:t>
            </w:r>
            <w:r>
              <w:rPr>
                <w:spacing w:val="7"/>
              </w:rPr>
              <w:t>行业企业用地调</w:t>
            </w:r>
          </w:p>
          <w:p>
            <w:pPr>
              <w:pStyle w:val="TableText"/>
              <w:ind w:left="177"/>
              <w:spacing w:line="228" w:lineRule="auto"/>
              <w:rPr/>
            </w:pPr>
            <w:r>
              <w:rPr>
                <w:spacing w:val="7"/>
              </w:rPr>
              <w:t>查样品保存规定</w:t>
            </w:r>
          </w:p>
        </w:tc>
      </w:tr>
      <w:tr>
        <w:trPr>
          <w:trHeight w:val="591" w:hRule="atLeast"/>
        </w:trPr>
        <w:tc>
          <w:tcPr>
            <w:tcW w:w="1663" w:type="dxa"/>
            <w:vAlign w:val="top"/>
          </w:tcPr>
          <w:p>
            <w:pPr>
              <w:pStyle w:val="TableText"/>
              <w:ind w:left="423"/>
              <w:spacing w:before="189" w:line="232" w:lineRule="auto"/>
              <w:rPr/>
            </w:pPr>
            <w:r>
              <w:rPr>
                <w:spacing w:val="5"/>
              </w:rPr>
              <w:t>其它金属</w:t>
            </w:r>
          </w:p>
        </w:tc>
        <w:tc>
          <w:tcPr>
            <w:tcW w:w="1823" w:type="dxa"/>
            <w:vAlign w:val="top"/>
          </w:tcPr>
          <w:p>
            <w:pPr>
              <w:pStyle w:val="TableText"/>
              <w:ind w:left="610"/>
              <w:spacing w:before="189" w:line="231" w:lineRule="auto"/>
              <w:rPr/>
            </w:pPr>
            <w:r>
              <w:rPr>
                <w:spacing w:val="3"/>
              </w:rPr>
              <w:t>聚乙烯</w:t>
            </w:r>
          </w:p>
        </w:tc>
        <w:tc>
          <w:tcPr>
            <w:tcW w:w="1646" w:type="dxa"/>
            <w:vAlign w:val="top"/>
          </w:tcPr>
          <w:p>
            <w:pPr>
              <w:pStyle w:val="TableText"/>
              <w:ind w:left="262"/>
              <w:spacing w:before="189" w:line="232" w:lineRule="auto"/>
              <w:rPr/>
            </w:pPr>
            <w:r>
              <w:rPr>
                <w:spacing w:val="5"/>
              </w:rPr>
              <w:t>&lt;</w:t>
            </w:r>
            <w:r>
              <w:rPr>
                <w:rFonts w:ascii="Times New Roman" w:hAnsi="Times New Roman" w:eastAsia="Times New Roman" w:cs="Times New Roman"/>
                <w:spacing w:val="5"/>
              </w:rPr>
              <w:t>4℃</w:t>
            </w:r>
            <w:r>
              <w:rPr>
                <w:rFonts w:ascii="Times New Roman" w:hAnsi="Times New Roman" w:eastAsia="Times New Roman" w:cs="Times New Roman"/>
                <w:spacing w:val="-22"/>
              </w:rPr>
              <w:t xml:space="preserve"> </w:t>
            </w:r>
            <w:r>
              <w:rPr>
                <w:spacing w:val="5"/>
              </w:rPr>
              <w:t>,</w:t>
            </w:r>
            <w:r>
              <w:rPr>
                <w:spacing w:val="72"/>
              </w:rPr>
              <w:t xml:space="preserve"> </w:t>
            </w:r>
            <w:r>
              <w:rPr>
                <w:spacing w:val="5"/>
              </w:rPr>
              <w:t>密封</w:t>
            </w:r>
          </w:p>
        </w:tc>
        <w:tc>
          <w:tcPr>
            <w:tcW w:w="1640" w:type="dxa"/>
            <w:vAlign w:val="top"/>
            <w:vMerge w:val="continue"/>
            <w:tcBorders>
              <w:top w:val="nil"/>
              <w:bottom w:val="nil"/>
            </w:tcBorders>
          </w:tcPr>
          <w:p>
            <w:pPr>
              <w:rPr>
                <w:rFonts w:ascii="Arial"/>
                <w:sz w:val="21"/>
              </w:rPr>
            </w:pPr>
            <w:r/>
          </w:p>
        </w:tc>
        <w:tc>
          <w:tcPr>
            <w:tcW w:w="1389" w:type="dxa"/>
            <w:vAlign w:val="top"/>
          </w:tcPr>
          <w:p>
            <w:pPr>
              <w:ind w:left="507"/>
              <w:spacing w:before="22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180d</w:t>
            </w:r>
          </w:p>
        </w:tc>
        <w:tc>
          <w:tcPr>
            <w:tcW w:w="1801" w:type="dxa"/>
            <w:vAlign w:val="top"/>
            <w:vMerge w:val="continue"/>
            <w:tcBorders>
              <w:top w:val="nil"/>
            </w:tcBorders>
          </w:tcPr>
          <w:p>
            <w:pPr>
              <w:rPr>
                <w:rFonts w:ascii="Arial"/>
                <w:sz w:val="21"/>
              </w:rPr>
            </w:pPr>
            <w:r/>
          </w:p>
        </w:tc>
      </w:tr>
      <w:tr>
        <w:trPr>
          <w:trHeight w:val="628" w:hRule="atLeast"/>
        </w:trPr>
        <w:tc>
          <w:tcPr>
            <w:tcW w:w="1663" w:type="dxa"/>
            <w:vAlign w:val="top"/>
          </w:tcPr>
          <w:p>
            <w:pPr>
              <w:pStyle w:val="TableText"/>
              <w:ind w:left="528"/>
              <w:spacing w:before="208" w:line="230" w:lineRule="auto"/>
              <w:rPr/>
            </w:pPr>
            <w:r>
              <w:rPr>
                <w:spacing w:val="4"/>
              </w:rPr>
              <w:t>六价铬</w:t>
            </w:r>
          </w:p>
        </w:tc>
        <w:tc>
          <w:tcPr>
            <w:tcW w:w="1823" w:type="dxa"/>
            <w:vAlign w:val="top"/>
          </w:tcPr>
          <w:p>
            <w:pPr>
              <w:pStyle w:val="TableText"/>
              <w:ind w:left="610"/>
              <w:spacing w:before="207" w:line="231" w:lineRule="auto"/>
              <w:rPr/>
            </w:pPr>
            <w:r>
              <w:rPr>
                <w:spacing w:val="3"/>
              </w:rPr>
              <w:t>聚乙烯</w:t>
            </w:r>
          </w:p>
        </w:tc>
        <w:tc>
          <w:tcPr>
            <w:tcW w:w="1646" w:type="dxa"/>
            <w:vAlign w:val="top"/>
          </w:tcPr>
          <w:p>
            <w:pPr>
              <w:pStyle w:val="TableText"/>
              <w:ind w:left="262"/>
              <w:spacing w:before="207" w:line="232" w:lineRule="auto"/>
              <w:rPr/>
            </w:pPr>
            <w:r>
              <w:rPr>
                <w:spacing w:val="5"/>
              </w:rPr>
              <w:t>&lt;</w:t>
            </w:r>
            <w:r>
              <w:rPr>
                <w:rFonts w:ascii="Times New Roman" w:hAnsi="Times New Roman" w:eastAsia="Times New Roman" w:cs="Times New Roman"/>
                <w:spacing w:val="5"/>
              </w:rPr>
              <w:t>4℃</w:t>
            </w:r>
            <w:r>
              <w:rPr>
                <w:rFonts w:ascii="Times New Roman" w:hAnsi="Times New Roman" w:eastAsia="Times New Roman" w:cs="Times New Roman"/>
                <w:spacing w:val="-22"/>
              </w:rPr>
              <w:t xml:space="preserve"> </w:t>
            </w:r>
            <w:r>
              <w:rPr>
                <w:spacing w:val="5"/>
              </w:rPr>
              <w:t>,</w:t>
            </w:r>
            <w:r>
              <w:rPr>
                <w:spacing w:val="72"/>
              </w:rPr>
              <w:t xml:space="preserve"> </w:t>
            </w:r>
            <w:r>
              <w:rPr>
                <w:spacing w:val="5"/>
              </w:rPr>
              <w:t>密封</w:t>
            </w:r>
          </w:p>
        </w:tc>
        <w:tc>
          <w:tcPr>
            <w:tcW w:w="1640" w:type="dxa"/>
            <w:vAlign w:val="top"/>
            <w:vMerge w:val="continue"/>
            <w:tcBorders>
              <w:top w:val="nil"/>
            </w:tcBorders>
          </w:tcPr>
          <w:p>
            <w:pPr>
              <w:rPr>
                <w:rFonts w:ascii="Arial"/>
                <w:sz w:val="21"/>
              </w:rPr>
            </w:pPr>
            <w:r/>
          </w:p>
        </w:tc>
        <w:tc>
          <w:tcPr>
            <w:tcW w:w="1389" w:type="dxa"/>
            <w:vAlign w:val="top"/>
          </w:tcPr>
          <w:p>
            <w:pPr>
              <w:pStyle w:val="TableText"/>
              <w:ind w:left="193"/>
              <w:spacing w:before="52" w:line="228" w:lineRule="auto"/>
              <w:rPr/>
            </w:pPr>
            <w:r>
              <w:rPr>
                <w:rFonts w:ascii="Times New Roman" w:hAnsi="Times New Roman" w:eastAsia="Times New Roman" w:cs="Times New Roman"/>
                <w:spacing w:val="4"/>
              </w:rPr>
              <w:t>1d</w:t>
            </w:r>
            <w:r>
              <w:rPr>
                <w:spacing w:val="4"/>
              </w:rPr>
              <w:t>（新鲜样</w:t>
            </w:r>
          </w:p>
          <w:p>
            <w:pPr>
              <w:pStyle w:val="TableText"/>
              <w:ind w:left="258"/>
              <w:spacing w:before="65" w:line="234" w:lineRule="auto"/>
              <w:rPr>
                <w:rFonts w:ascii="Times New Roman" w:hAnsi="Times New Roman" w:eastAsia="Times New Roman" w:cs="Times New Roman"/>
              </w:rPr>
            </w:pPr>
            <w:r>
              <w:rPr>
                <w:spacing w:val="-6"/>
              </w:rPr>
              <w:t>品</w:t>
            </w:r>
            <w:r>
              <w:rPr>
                <w:spacing w:val="15"/>
              </w:rPr>
              <w:t>），</w:t>
            </w:r>
            <w:r>
              <w:rPr>
                <w:rFonts w:ascii="Times New Roman" w:hAnsi="Times New Roman" w:eastAsia="Times New Roman" w:cs="Times New Roman"/>
                <w:spacing w:val="-6"/>
              </w:rPr>
              <w:t>30d</w:t>
            </w:r>
          </w:p>
        </w:tc>
        <w:tc>
          <w:tcPr>
            <w:tcW w:w="1801" w:type="dxa"/>
            <w:vAlign w:val="top"/>
          </w:tcPr>
          <w:p>
            <w:pPr>
              <w:ind w:left="290"/>
              <w:spacing w:before="8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5"/>
              </w:rPr>
              <w:t>/T166-2004</w:t>
            </w:r>
          </w:p>
          <w:p>
            <w:pPr>
              <w:ind w:left="235"/>
              <w:spacing w:before="12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5"/>
              </w:rPr>
              <w:t>/T1082-2019</w:t>
            </w:r>
          </w:p>
        </w:tc>
      </w:tr>
      <w:tr>
        <w:trPr>
          <w:trHeight w:val="345" w:hRule="atLeast"/>
        </w:trPr>
        <w:tc>
          <w:tcPr>
            <w:tcW w:w="9962" w:type="dxa"/>
            <w:vAlign w:val="top"/>
            <w:gridSpan w:val="6"/>
          </w:tcPr>
          <w:p>
            <w:pPr>
              <w:pStyle w:val="TableText"/>
              <w:ind w:left="4674"/>
              <w:spacing w:before="67" w:line="229" w:lineRule="auto"/>
              <w:rPr/>
            </w:pPr>
            <w:r>
              <w:rPr>
                <w:spacing w:val="5"/>
              </w:rPr>
              <w:t>有机物</w:t>
            </w:r>
          </w:p>
        </w:tc>
      </w:tr>
      <w:tr>
        <w:trPr>
          <w:trHeight w:val="940" w:hRule="atLeast"/>
        </w:trPr>
        <w:tc>
          <w:tcPr>
            <w:tcW w:w="1663" w:type="dxa"/>
            <w:vAlign w:val="top"/>
          </w:tcPr>
          <w:p>
            <w:pPr>
              <w:spacing w:line="297" w:lineRule="auto"/>
              <w:rPr>
                <w:rFonts w:ascii="Arial"/>
                <w:sz w:val="21"/>
              </w:rPr>
            </w:pPr>
            <w:r/>
          </w:p>
          <w:p>
            <w:pPr>
              <w:pStyle w:val="TableText"/>
              <w:ind w:left="214"/>
              <w:spacing w:before="65" w:line="229" w:lineRule="auto"/>
              <w:rPr/>
            </w:pPr>
            <w:r>
              <w:rPr>
                <w:spacing w:val="7"/>
              </w:rPr>
              <w:t>挥发性有机物</w:t>
            </w:r>
          </w:p>
        </w:tc>
        <w:tc>
          <w:tcPr>
            <w:tcW w:w="1823" w:type="dxa"/>
            <w:vAlign w:val="top"/>
          </w:tcPr>
          <w:p>
            <w:pPr>
              <w:pStyle w:val="TableText"/>
              <w:ind w:left="154"/>
              <w:spacing w:before="52" w:line="231" w:lineRule="auto"/>
              <w:rPr/>
            </w:pPr>
            <w:r>
              <w:rPr>
                <w:spacing w:val="6"/>
              </w:rPr>
              <w:t>聚四氟乙烯</w:t>
            </w:r>
            <w:r>
              <w:rPr>
                <w:rFonts w:ascii="Times New Roman" w:hAnsi="Times New Roman" w:eastAsia="Times New Roman" w:cs="Times New Roman"/>
                <w:spacing w:val="6"/>
              </w:rPr>
              <w:t>-</w:t>
            </w:r>
            <w:r>
              <w:rPr>
                <w:spacing w:val="6"/>
              </w:rPr>
              <w:t>硅胶</w:t>
            </w:r>
          </w:p>
          <w:p>
            <w:pPr>
              <w:pStyle w:val="TableText"/>
              <w:ind w:left="145"/>
              <w:spacing w:before="61" w:line="231" w:lineRule="auto"/>
              <w:rPr>
                <w:rFonts w:ascii="Times New Roman" w:hAnsi="Times New Roman" w:eastAsia="Times New Roman" w:cs="Times New Roman"/>
              </w:rPr>
            </w:pPr>
            <w:r>
              <w:rPr>
                <w:spacing w:val="8"/>
              </w:rPr>
              <w:t>衬垫螺旋盖</w:t>
            </w:r>
            <w:r>
              <w:rPr>
                <w:rFonts w:ascii="Times New Roman" w:hAnsi="Times New Roman" w:eastAsia="Times New Roman" w:cs="Times New Roman"/>
                <w:spacing w:val="8"/>
              </w:rPr>
              <w:t>40</w:t>
            </w:r>
            <w:r>
              <w:rPr>
                <w:rFonts w:ascii="Times New Roman" w:hAnsi="Times New Roman" w:eastAsia="Times New Roman" w:cs="Times New Roman"/>
              </w:rPr>
              <w:t>mL</w:t>
            </w:r>
          </w:p>
          <w:p>
            <w:pPr>
              <w:pStyle w:val="TableText"/>
              <w:ind w:left="394"/>
              <w:spacing w:before="61" w:line="232" w:lineRule="auto"/>
              <w:rPr/>
            </w:pPr>
            <w:r>
              <w:rPr>
                <w:spacing w:val="7"/>
              </w:rPr>
              <w:t>棕色玻璃瓶</w:t>
            </w:r>
          </w:p>
        </w:tc>
        <w:tc>
          <w:tcPr>
            <w:tcW w:w="1646" w:type="dxa"/>
            <w:vAlign w:val="top"/>
          </w:tcPr>
          <w:p>
            <w:pPr>
              <w:pStyle w:val="TableText"/>
              <w:ind w:left="306" w:right="185" w:hanging="168"/>
              <w:spacing w:before="209" w:line="289" w:lineRule="auto"/>
              <w:rPr/>
            </w:pPr>
            <w:r>
              <w:rPr>
                <w:rFonts w:ascii="Times New Roman" w:hAnsi="Times New Roman" w:eastAsia="Times New Roman" w:cs="Times New Roman"/>
                <w:spacing w:val="1"/>
              </w:rPr>
              <w:t>4℃</w:t>
            </w:r>
            <w:r>
              <w:rPr>
                <w:spacing w:val="1"/>
              </w:rPr>
              <w:t>以下冷藏，</w:t>
            </w:r>
            <w:r>
              <w:rPr>
                <w:spacing w:val="4"/>
              </w:rPr>
              <w:t xml:space="preserve"> </w:t>
            </w:r>
            <w:r>
              <w:rPr>
                <w:spacing w:val="7"/>
              </w:rPr>
              <w:t>避光，密封</w:t>
            </w:r>
          </w:p>
        </w:tc>
        <w:tc>
          <w:tcPr>
            <w:tcW w:w="1640" w:type="dxa"/>
            <w:vAlign w:val="top"/>
          </w:tcPr>
          <w:p>
            <w:pPr>
              <w:spacing w:line="344" w:lineRule="auto"/>
              <w:rPr>
                <w:rFonts w:ascii="Arial"/>
                <w:sz w:val="21"/>
              </w:rPr>
            </w:pPr>
            <w:r/>
          </w:p>
          <w:p>
            <w:pPr>
              <w:ind w:left="721"/>
              <w:spacing w:before="57"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5g</w:t>
            </w:r>
          </w:p>
        </w:tc>
        <w:tc>
          <w:tcPr>
            <w:tcW w:w="1389" w:type="dxa"/>
            <w:vAlign w:val="top"/>
          </w:tcPr>
          <w:p>
            <w:pPr>
              <w:spacing w:line="337" w:lineRule="auto"/>
              <w:rPr>
                <w:rFonts w:ascii="Arial"/>
                <w:sz w:val="21"/>
              </w:rPr>
            </w:pPr>
            <w:r/>
          </w:p>
          <w:p>
            <w:pPr>
              <w:ind w:left="596"/>
              <w:spacing w:before="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7d</w:t>
            </w:r>
          </w:p>
        </w:tc>
        <w:tc>
          <w:tcPr>
            <w:tcW w:w="1801" w:type="dxa"/>
            <w:vAlign w:val="top"/>
          </w:tcPr>
          <w:p>
            <w:pPr>
              <w:spacing w:line="341" w:lineRule="auto"/>
              <w:rPr>
                <w:rFonts w:ascii="Arial"/>
                <w:sz w:val="21"/>
              </w:rPr>
            </w:pPr>
            <w:r/>
          </w:p>
          <w:p>
            <w:pPr>
              <w:ind w:left="355"/>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15"/>
              </w:rPr>
              <w:t xml:space="preserve"> </w:t>
            </w:r>
            <w:r>
              <w:rPr>
                <w:rFonts w:ascii="Times New Roman" w:hAnsi="Times New Roman" w:eastAsia="Times New Roman" w:cs="Times New Roman"/>
                <w:sz w:val="20"/>
                <w:szCs w:val="20"/>
                <w:spacing w:val="4"/>
              </w:rPr>
              <w:t>605-2011</w:t>
            </w:r>
          </w:p>
        </w:tc>
      </w:tr>
      <w:tr>
        <w:trPr>
          <w:trHeight w:val="628" w:hRule="atLeast"/>
        </w:trPr>
        <w:tc>
          <w:tcPr>
            <w:tcW w:w="1663" w:type="dxa"/>
            <w:vAlign w:val="top"/>
          </w:tcPr>
          <w:p>
            <w:pPr>
              <w:pStyle w:val="TableText"/>
              <w:ind w:left="213"/>
              <w:spacing w:before="53" w:line="229" w:lineRule="auto"/>
              <w:rPr/>
            </w:pPr>
            <w:r>
              <w:rPr>
                <w:spacing w:val="7"/>
              </w:rPr>
              <w:t>半挥发性有机</w:t>
            </w:r>
          </w:p>
          <w:p>
            <w:pPr>
              <w:pStyle w:val="TableText"/>
              <w:ind w:left="633"/>
              <w:spacing w:before="64" w:line="229" w:lineRule="auto"/>
              <w:rPr/>
            </w:pPr>
            <w:r>
              <w:rPr>
                <w:spacing w:val="1"/>
              </w:rPr>
              <w:t>物等</w:t>
            </w:r>
          </w:p>
        </w:tc>
        <w:tc>
          <w:tcPr>
            <w:tcW w:w="1823" w:type="dxa"/>
            <w:vAlign w:val="top"/>
          </w:tcPr>
          <w:p>
            <w:pPr>
              <w:pStyle w:val="TableText"/>
              <w:ind w:left="185"/>
              <w:spacing w:before="209" w:line="232" w:lineRule="auto"/>
              <w:rPr/>
            </w:pPr>
            <w:r>
              <w:rPr>
                <w:spacing w:val="7"/>
              </w:rPr>
              <w:t>棕色广口玻璃瓶</w:t>
            </w:r>
          </w:p>
        </w:tc>
        <w:tc>
          <w:tcPr>
            <w:tcW w:w="1646" w:type="dxa"/>
            <w:vAlign w:val="top"/>
          </w:tcPr>
          <w:p>
            <w:pPr>
              <w:pStyle w:val="TableText"/>
              <w:ind w:left="306" w:right="185" w:hanging="168"/>
              <w:spacing w:before="54" w:line="260" w:lineRule="auto"/>
              <w:rPr/>
            </w:pPr>
            <w:r>
              <w:rPr>
                <w:rFonts w:ascii="Times New Roman" w:hAnsi="Times New Roman" w:eastAsia="Times New Roman" w:cs="Times New Roman"/>
                <w:spacing w:val="1"/>
              </w:rPr>
              <w:t>4℃</w:t>
            </w:r>
            <w:r>
              <w:rPr>
                <w:spacing w:val="1"/>
              </w:rPr>
              <w:t>以下冷藏，</w:t>
            </w:r>
            <w:r>
              <w:rPr>
                <w:spacing w:val="4"/>
              </w:rPr>
              <w:t xml:space="preserve"> </w:t>
            </w:r>
            <w:r>
              <w:rPr>
                <w:spacing w:val="7"/>
              </w:rPr>
              <w:t>避光，密封</w:t>
            </w:r>
          </w:p>
        </w:tc>
        <w:tc>
          <w:tcPr>
            <w:tcW w:w="1640" w:type="dxa"/>
            <w:vAlign w:val="top"/>
            <w:vMerge w:val="restart"/>
            <w:tcBorders>
              <w:bottom w:val="nil"/>
            </w:tcBorders>
          </w:tcPr>
          <w:p>
            <w:pPr>
              <w:spacing w:line="309" w:lineRule="auto"/>
              <w:rPr>
                <w:rFonts w:ascii="Arial"/>
                <w:sz w:val="21"/>
              </w:rPr>
            </w:pPr>
            <w:r/>
          </w:p>
          <w:p>
            <w:pPr>
              <w:spacing w:line="309" w:lineRule="auto"/>
              <w:rPr>
                <w:rFonts w:ascii="Arial"/>
                <w:sz w:val="21"/>
              </w:rPr>
            </w:pPr>
            <w:r/>
          </w:p>
          <w:p>
            <w:pPr>
              <w:pStyle w:val="TableText"/>
              <w:ind w:left="307" w:right="200" w:hanging="103"/>
              <w:spacing w:before="65" w:line="287" w:lineRule="auto"/>
              <w:rPr/>
            </w:pPr>
            <w:r>
              <w:rPr>
                <w:rFonts w:ascii="Times New Roman" w:hAnsi="Times New Roman" w:eastAsia="Times New Roman" w:cs="Times New Roman"/>
                <w:spacing w:val="8"/>
              </w:rPr>
              <w:t>250</w:t>
            </w:r>
            <w:r>
              <w:rPr>
                <w:rFonts w:ascii="Times New Roman" w:hAnsi="Times New Roman" w:eastAsia="Times New Roman" w:cs="Times New Roman"/>
              </w:rPr>
              <w:t>mL</w:t>
            </w:r>
            <w:r>
              <w:rPr>
                <w:spacing w:val="8"/>
              </w:rPr>
              <w:t>采样瓶</w:t>
            </w:r>
            <w:r>
              <w:rPr>
                <w:spacing w:val="2"/>
              </w:rPr>
              <w:t xml:space="preserve"> </w:t>
            </w:r>
            <w:r>
              <w:rPr>
                <w:spacing w:val="6"/>
              </w:rPr>
              <w:t>装满并密封</w:t>
            </w:r>
          </w:p>
        </w:tc>
        <w:tc>
          <w:tcPr>
            <w:tcW w:w="1389" w:type="dxa"/>
            <w:vAlign w:val="top"/>
          </w:tcPr>
          <w:p>
            <w:pPr>
              <w:ind w:left="560"/>
              <w:spacing w:before="24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10d</w:t>
            </w:r>
          </w:p>
        </w:tc>
        <w:tc>
          <w:tcPr>
            <w:tcW w:w="1801" w:type="dxa"/>
            <w:vAlign w:val="top"/>
          </w:tcPr>
          <w:p>
            <w:pPr>
              <w:ind w:left="355"/>
              <w:spacing w:before="2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15"/>
                <w:w w:val="101"/>
              </w:rPr>
              <w:t xml:space="preserve"> </w:t>
            </w:r>
            <w:r>
              <w:rPr>
                <w:rFonts w:ascii="Times New Roman" w:hAnsi="Times New Roman" w:eastAsia="Times New Roman" w:cs="Times New Roman"/>
                <w:sz w:val="20"/>
                <w:szCs w:val="20"/>
                <w:spacing w:val="4"/>
              </w:rPr>
              <w:t>834-2017</w:t>
            </w:r>
          </w:p>
        </w:tc>
      </w:tr>
      <w:tr>
        <w:trPr>
          <w:trHeight w:val="628" w:hRule="atLeast"/>
        </w:trPr>
        <w:tc>
          <w:tcPr>
            <w:tcW w:w="1663" w:type="dxa"/>
            <w:vAlign w:val="top"/>
          </w:tcPr>
          <w:p>
            <w:pPr>
              <w:pStyle w:val="TableText"/>
              <w:ind w:left="212"/>
              <w:spacing w:before="54" w:line="226" w:lineRule="auto"/>
              <w:rPr/>
            </w:pPr>
            <w:r>
              <w:rPr/>
              <w:t>邻苯二</w:t>
            </w:r>
            <w:r>
              <w:rPr>
                <w:spacing w:val="-58"/>
              </w:rPr>
              <w:t xml:space="preserve"> </w:t>
            </w:r>
            <w:r>
              <w:rPr/>
              <w:t>甲酸酯</w:t>
            </w:r>
          </w:p>
          <w:p>
            <w:pPr>
              <w:pStyle w:val="TableText"/>
              <w:ind w:left="740"/>
              <w:spacing w:before="67" w:line="232" w:lineRule="auto"/>
              <w:rPr/>
            </w:pPr>
            <w:r>
              <w:rPr/>
              <w:t>类</w:t>
            </w:r>
          </w:p>
        </w:tc>
        <w:tc>
          <w:tcPr>
            <w:tcW w:w="1823" w:type="dxa"/>
            <w:vAlign w:val="top"/>
          </w:tcPr>
          <w:p>
            <w:pPr>
              <w:pStyle w:val="TableText"/>
              <w:ind w:left="185"/>
              <w:spacing w:before="209" w:line="232" w:lineRule="auto"/>
              <w:rPr/>
            </w:pPr>
            <w:r>
              <w:rPr>
                <w:spacing w:val="7"/>
              </w:rPr>
              <w:t>棕色广口玻璃瓶</w:t>
            </w:r>
          </w:p>
        </w:tc>
        <w:tc>
          <w:tcPr>
            <w:tcW w:w="1646" w:type="dxa"/>
            <w:vAlign w:val="top"/>
          </w:tcPr>
          <w:p>
            <w:pPr>
              <w:pStyle w:val="TableText"/>
              <w:ind w:left="306" w:right="185" w:hanging="168"/>
              <w:spacing w:before="54" w:line="260" w:lineRule="auto"/>
              <w:rPr/>
            </w:pPr>
            <w:r>
              <w:rPr>
                <w:rFonts w:ascii="Times New Roman" w:hAnsi="Times New Roman" w:eastAsia="Times New Roman" w:cs="Times New Roman"/>
                <w:spacing w:val="1"/>
              </w:rPr>
              <w:t>4℃</w:t>
            </w:r>
            <w:r>
              <w:rPr>
                <w:spacing w:val="1"/>
              </w:rPr>
              <w:t>以下冷藏，</w:t>
            </w:r>
            <w:r>
              <w:rPr>
                <w:spacing w:val="4"/>
              </w:rPr>
              <w:t xml:space="preserve"> </w:t>
            </w:r>
            <w:r>
              <w:rPr>
                <w:spacing w:val="7"/>
              </w:rPr>
              <w:t>避光，密封</w:t>
            </w:r>
          </w:p>
        </w:tc>
        <w:tc>
          <w:tcPr>
            <w:tcW w:w="1640" w:type="dxa"/>
            <w:vAlign w:val="top"/>
            <w:vMerge w:val="continue"/>
            <w:tcBorders>
              <w:top w:val="nil"/>
              <w:bottom w:val="nil"/>
            </w:tcBorders>
          </w:tcPr>
          <w:p>
            <w:pPr>
              <w:rPr>
                <w:rFonts w:ascii="Arial"/>
                <w:sz w:val="21"/>
              </w:rPr>
            </w:pPr>
            <w:r/>
          </w:p>
        </w:tc>
        <w:tc>
          <w:tcPr>
            <w:tcW w:w="1389" w:type="dxa"/>
            <w:vAlign w:val="top"/>
          </w:tcPr>
          <w:p>
            <w:pPr>
              <w:ind w:left="560"/>
              <w:spacing w:before="24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10d</w:t>
            </w:r>
          </w:p>
        </w:tc>
        <w:tc>
          <w:tcPr>
            <w:tcW w:w="1801" w:type="dxa"/>
            <w:vAlign w:val="top"/>
          </w:tcPr>
          <w:p>
            <w:pPr>
              <w:ind w:left="355"/>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15"/>
                <w:w w:val="101"/>
              </w:rPr>
              <w:t xml:space="preserve"> </w:t>
            </w:r>
            <w:r>
              <w:rPr>
                <w:rFonts w:ascii="Times New Roman" w:hAnsi="Times New Roman" w:eastAsia="Times New Roman" w:cs="Times New Roman"/>
                <w:sz w:val="20"/>
                <w:szCs w:val="20"/>
                <w:spacing w:val="4"/>
              </w:rPr>
              <w:t>834-2017</w:t>
            </w:r>
          </w:p>
        </w:tc>
      </w:tr>
      <w:tr>
        <w:trPr>
          <w:trHeight w:val="633" w:hRule="atLeast"/>
        </w:trPr>
        <w:tc>
          <w:tcPr>
            <w:tcW w:w="1663" w:type="dxa"/>
            <w:vAlign w:val="top"/>
          </w:tcPr>
          <w:p>
            <w:pPr>
              <w:pStyle w:val="TableText"/>
              <w:ind w:left="527"/>
              <w:spacing w:before="57" w:line="233" w:lineRule="auto"/>
              <w:rPr/>
            </w:pPr>
            <w:r>
              <w:rPr>
                <w:spacing w:val="5"/>
              </w:rPr>
              <w:t>石油烃</w:t>
            </w:r>
          </w:p>
          <w:p>
            <w:pPr>
              <w:pStyle w:val="TableText"/>
              <w:ind w:left="303"/>
              <w:spacing w:before="59" w:line="234" w:lineRule="auto"/>
              <w:rPr/>
            </w:pPr>
            <w:r>
              <w:rPr>
                <w:spacing w:val="2"/>
              </w:rPr>
              <w:t>（</w:t>
            </w:r>
            <w:r>
              <w:rPr>
                <w:rFonts w:ascii="Times New Roman" w:hAnsi="Times New Roman" w:eastAsia="Times New Roman" w:cs="Times New Roman"/>
                <w:spacing w:val="2"/>
              </w:rPr>
              <w:t>C</w:t>
            </w:r>
            <w:r>
              <w:rPr>
                <w:rFonts w:ascii="Times New Roman" w:hAnsi="Times New Roman" w:eastAsia="Times New Roman" w:cs="Times New Roman"/>
                <w:sz w:val="13"/>
                <w:szCs w:val="13"/>
                <w:spacing w:val="2"/>
                <w:position w:val="-1"/>
              </w:rPr>
              <w:t>10</w:t>
            </w:r>
            <w:r>
              <w:rPr>
                <w:rFonts w:ascii="Times New Roman" w:hAnsi="Times New Roman" w:eastAsia="Times New Roman" w:cs="Times New Roman"/>
                <w:spacing w:val="2"/>
              </w:rPr>
              <w:t>~C</w:t>
            </w:r>
            <w:r>
              <w:rPr>
                <w:rFonts w:ascii="Times New Roman" w:hAnsi="Times New Roman" w:eastAsia="Times New Roman" w:cs="Times New Roman"/>
                <w:sz w:val="13"/>
                <w:szCs w:val="13"/>
                <w:spacing w:val="2"/>
                <w:position w:val="-1"/>
              </w:rPr>
              <w:t>40</w:t>
            </w:r>
            <w:r>
              <w:rPr>
                <w:spacing w:val="2"/>
              </w:rPr>
              <w:t>）</w:t>
            </w:r>
          </w:p>
        </w:tc>
        <w:tc>
          <w:tcPr>
            <w:tcW w:w="1823" w:type="dxa"/>
            <w:vAlign w:val="top"/>
          </w:tcPr>
          <w:p>
            <w:pPr>
              <w:pStyle w:val="TableText"/>
              <w:ind w:left="185"/>
              <w:spacing w:before="212" w:line="232" w:lineRule="auto"/>
              <w:rPr/>
            </w:pPr>
            <w:r>
              <w:rPr>
                <w:spacing w:val="7"/>
              </w:rPr>
              <w:t>棕色广口玻璃瓶</w:t>
            </w:r>
          </w:p>
        </w:tc>
        <w:tc>
          <w:tcPr>
            <w:tcW w:w="1646" w:type="dxa"/>
            <w:vAlign w:val="top"/>
          </w:tcPr>
          <w:p>
            <w:pPr>
              <w:pStyle w:val="TableText"/>
              <w:ind w:left="306" w:right="185" w:hanging="168"/>
              <w:spacing w:before="57" w:line="261" w:lineRule="auto"/>
              <w:rPr/>
            </w:pPr>
            <w:r>
              <w:rPr>
                <w:rFonts w:ascii="Times New Roman" w:hAnsi="Times New Roman" w:eastAsia="Times New Roman" w:cs="Times New Roman"/>
                <w:spacing w:val="1"/>
              </w:rPr>
              <w:t>4℃</w:t>
            </w:r>
            <w:r>
              <w:rPr>
                <w:spacing w:val="1"/>
              </w:rPr>
              <w:t>以下冷藏，</w:t>
            </w:r>
            <w:r>
              <w:rPr>
                <w:spacing w:val="4"/>
              </w:rPr>
              <w:t xml:space="preserve"> </w:t>
            </w:r>
            <w:r>
              <w:rPr>
                <w:spacing w:val="7"/>
              </w:rPr>
              <w:t>避光，密封</w:t>
            </w:r>
          </w:p>
        </w:tc>
        <w:tc>
          <w:tcPr>
            <w:tcW w:w="1640" w:type="dxa"/>
            <w:vAlign w:val="top"/>
            <w:vMerge w:val="continue"/>
            <w:tcBorders>
              <w:top w:val="nil"/>
            </w:tcBorders>
          </w:tcPr>
          <w:p>
            <w:pPr>
              <w:rPr>
                <w:rFonts w:ascii="Arial"/>
                <w:sz w:val="21"/>
              </w:rPr>
            </w:pPr>
            <w:r/>
          </w:p>
        </w:tc>
        <w:tc>
          <w:tcPr>
            <w:tcW w:w="1389" w:type="dxa"/>
            <w:vAlign w:val="top"/>
          </w:tcPr>
          <w:p>
            <w:pPr>
              <w:pStyle w:val="TableText"/>
              <w:ind w:left="327" w:right="46" w:hanging="197"/>
              <w:spacing w:before="57" w:line="261" w:lineRule="auto"/>
              <w:rPr/>
            </w:pPr>
            <w:r>
              <w:rPr>
                <w:rFonts w:ascii="Times New Roman" w:hAnsi="Times New Roman" w:eastAsia="Times New Roman" w:cs="Times New Roman"/>
                <w:spacing w:val="-5"/>
              </w:rPr>
              <w:t>14d</w:t>
            </w:r>
            <w:r>
              <w:rPr>
                <w:spacing w:val="-5"/>
              </w:rPr>
              <w:t>（提取</w:t>
            </w:r>
            <w:r>
              <w:rPr>
                <w:spacing w:val="-32"/>
              </w:rPr>
              <w:t>），</w:t>
            </w:r>
            <w:r>
              <w:rPr/>
              <w:t xml:space="preserve"> </w:t>
            </w:r>
            <w:r>
              <w:rPr>
                <w:rFonts w:ascii="Times New Roman" w:hAnsi="Times New Roman" w:eastAsia="Times New Roman" w:cs="Times New Roman"/>
                <w:spacing w:val="6"/>
              </w:rPr>
              <w:t>40d</w:t>
            </w:r>
            <w:r>
              <w:rPr>
                <w:spacing w:val="6"/>
              </w:rPr>
              <w:t>分析</w:t>
            </w:r>
          </w:p>
        </w:tc>
        <w:tc>
          <w:tcPr>
            <w:tcW w:w="1801" w:type="dxa"/>
            <w:vAlign w:val="top"/>
          </w:tcPr>
          <w:p>
            <w:pPr>
              <w:ind w:left="302"/>
              <w:spacing w:before="2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35"/>
              </w:rPr>
              <w:t xml:space="preserve"> </w:t>
            </w:r>
            <w:r>
              <w:rPr>
                <w:rFonts w:ascii="Times New Roman" w:hAnsi="Times New Roman" w:eastAsia="Times New Roman" w:cs="Times New Roman"/>
                <w:sz w:val="20"/>
                <w:szCs w:val="20"/>
                <w:spacing w:val="2"/>
              </w:rPr>
              <w:t>1021-2019</w:t>
            </w:r>
          </w:p>
        </w:tc>
      </w:tr>
    </w:tbl>
    <w:p>
      <w:pPr>
        <w:pStyle w:val="BodyText"/>
        <w:ind w:left="120"/>
        <w:spacing w:before="115" w:line="219" w:lineRule="auto"/>
        <w:outlineLvl w:val="2"/>
        <w:rPr>
          <w:rFonts w:ascii="FangSong" w:hAnsi="FangSong" w:eastAsia="FangSong" w:cs="FangSong"/>
          <w:sz w:val="24"/>
          <w:szCs w:val="24"/>
        </w:rPr>
      </w:pPr>
      <w:r>
        <w:rPr>
          <w:sz w:val="24"/>
          <w:szCs w:val="24"/>
          <w:b/>
          <w:bCs/>
          <w:spacing w:val="-4"/>
        </w:rPr>
        <w:t>7.3.2</w:t>
      </w:r>
      <w:r>
        <w:rPr>
          <w:sz w:val="24"/>
          <w:szCs w:val="24"/>
          <w:b/>
          <w:bCs/>
          <w:spacing w:val="12"/>
        </w:rPr>
        <w:t xml:space="preserve">  </w:t>
      </w:r>
      <w:r>
        <w:rPr>
          <w:rFonts w:ascii="FangSong" w:hAnsi="FangSong" w:eastAsia="FangSong" w:cs="FangSong"/>
          <w:sz w:val="24"/>
          <w:szCs w:val="24"/>
          <w:b/>
          <w:bCs/>
          <w:spacing w:val="-4"/>
        </w:rPr>
        <w:t>土壤样品制样</w:t>
      </w:r>
    </w:p>
    <w:p>
      <w:pPr>
        <w:pStyle w:val="BodyText"/>
        <w:ind w:left="613"/>
        <w:spacing w:before="183" w:line="219" w:lineRule="auto"/>
        <w:rPr>
          <w:rFonts w:ascii="FangSong" w:hAnsi="FangSong" w:eastAsia="FangSong" w:cs="FangSong"/>
          <w:sz w:val="24"/>
          <w:szCs w:val="24"/>
        </w:rPr>
      </w:pPr>
      <w:r>
        <w:rPr>
          <w:rFonts w:ascii="FangSong" w:hAnsi="FangSong" w:eastAsia="FangSong" w:cs="FangSong"/>
          <w:sz w:val="24"/>
          <w:szCs w:val="24"/>
          <w:spacing w:val="-1"/>
        </w:rPr>
        <w:t>（</w:t>
      </w:r>
      <w:r>
        <w:rPr>
          <w:sz w:val="24"/>
          <w:szCs w:val="24"/>
          <w:spacing w:val="-1"/>
        </w:rPr>
        <w:t>1</w:t>
      </w:r>
      <w:r>
        <w:rPr>
          <w:rFonts w:ascii="FangSong" w:hAnsi="FangSong" w:eastAsia="FangSong" w:cs="FangSong"/>
          <w:sz w:val="24"/>
          <w:szCs w:val="24"/>
          <w:spacing w:val="-1"/>
        </w:rPr>
        <w:t>）制样者与样品管理员同时核实清点，交接样品，在样品交接单上双方签字确认。</w:t>
      </w:r>
    </w:p>
    <w:p>
      <w:pPr>
        <w:pStyle w:val="BodyText"/>
        <w:ind w:left="128" w:right="108" w:firstLine="485"/>
        <w:spacing w:before="184" w:line="290" w:lineRule="auto"/>
        <w:rPr>
          <w:rFonts w:ascii="FangSong" w:hAnsi="FangSong" w:eastAsia="FangSong" w:cs="FangSong"/>
          <w:sz w:val="24"/>
          <w:szCs w:val="24"/>
        </w:rPr>
      </w:pPr>
      <w:r>
        <w:rPr>
          <w:rFonts w:ascii="FangSong" w:hAnsi="FangSong" w:eastAsia="FangSong" w:cs="FangSong"/>
          <w:sz w:val="24"/>
          <w:szCs w:val="24"/>
          <w:spacing w:val="-3"/>
        </w:rPr>
        <w:t>（</w:t>
      </w:r>
      <w:r>
        <w:rPr>
          <w:sz w:val="24"/>
          <w:szCs w:val="24"/>
          <w:spacing w:val="-3"/>
        </w:rPr>
        <w:t>2</w:t>
      </w:r>
      <w:r>
        <w:rPr>
          <w:rFonts w:ascii="FangSong" w:hAnsi="FangSong" w:eastAsia="FangSong" w:cs="FangSong"/>
          <w:sz w:val="24"/>
          <w:szCs w:val="24"/>
          <w:spacing w:val="-3"/>
        </w:rPr>
        <w:t>）在风干室将土样放置于风干盘中，摊成</w:t>
      </w:r>
      <w:r>
        <w:rPr>
          <w:rFonts w:ascii="FangSong" w:hAnsi="FangSong" w:eastAsia="FangSong" w:cs="FangSong"/>
          <w:sz w:val="24"/>
          <w:szCs w:val="24"/>
          <w:spacing w:val="-3"/>
        </w:rPr>
        <w:t xml:space="preserve"> </w:t>
      </w:r>
      <w:r>
        <w:rPr>
          <w:sz w:val="24"/>
          <w:szCs w:val="24"/>
          <w:spacing w:val="-3"/>
        </w:rPr>
        <w:t>2</w:t>
      </w:r>
      <w:r>
        <w:rPr>
          <w:rFonts w:ascii="FangSong" w:hAnsi="FangSong" w:eastAsia="FangSong" w:cs="FangSong"/>
          <w:sz w:val="24"/>
          <w:szCs w:val="24"/>
          <w:spacing w:val="-3"/>
        </w:rPr>
        <w:t>～</w:t>
      </w:r>
      <w:r>
        <w:rPr>
          <w:sz w:val="24"/>
          <w:szCs w:val="24"/>
          <w:spacing w:val="-3"/>
        </w:rPr>
        <w:t>3 cm</w:t>
      </w:r>
      <w:r>
        <w:rPr>
          <w:sz w:val="24"/>
          <w:szCs w:val="24"/>
          <w:spacing w:val="15"/>
          <w:w w:val="101"/>
        </w:rPr>
        <w:t xml:space="preserve">  </w:t>
      </w:r>
      <w:r>
        <w:rPr>
          <w:rFonts w:ascii="FangSong" w:hAnsi="FangSong" w:eastAsia="FangSong" w:cs="FangSong"/>
          <w:sz w:val="24"/>
          <w:szCs w:val="24"/>
          <w:spacing w:val="-3"/>
        </w:rPr>
        <w:t>的</w:t>
      </w:r>
      <w:r>
        <w:rPr>
          <w:rFonts w:ascii="FangSong" w:hAnsi="FangSong" w:eastAsia="FangSong" w:cs="FangSong"/>
          <w:sz w:val="24"/>
          <w:szCs w:val="24"/>
          <w:spacing w:val="-4"/>
        </w:rPr>
        <w:t>薄层，适时地压碎、翻动，拣出</w:t>
      </w:r>
      <w:r>
        <w:rPr>
          <w:rFonts w:ascii="FangSong" w:hAnsi="FangSong" w:eastAsia="FangSong" w:cs="FangSong"/>
          <w:sz w:val="24"/>
          <w:szCs w:val="24"/>
        </w:rPr>
        <w:t xml:space="preserve"> </w:t>
      </w:r>
      <w:r>
        <w:rPr>
          <w:rFonts w:ascii="FangSong" w:hAnsi="FangSong" w:eastAsia="FangSong" w:cs="FangSong"/>
          <w:sz w:val="24"/>
          <w:szCs w:val="24"/>
          <w:spacing w:val="-2"/>
        </w:rPr>
        <w:t>碎石、砂砾、植物残体。</w:t>
      </w:r>
    </w:p>
    <w:p>
      <w:pPr>
        <w:spacing w:line="290" w:lineRule="auto"/>
        <w:sectPr>
          <w:headerReference w:type="default" r:id="rId130"/>
          <w:footerReference w:type="default" r:id="rId131"/>
          <w:pgSz w:w="11906" w:h="16839"/>
          <w:pgMar w:top="1139" w:right="971" w:bottom="1252" w:left="967" w:header="831" w:footer="1090" w:gutter="0"/>
        </w:sectPr>
        <w:rPr>
          <w:rFonts w:ascii="FangSong" w:hAnsi="FangSong" w:eastAsia="FangSong" w:cs="FangSong"/>
          <w:sz w:val="24"/>
          <w:szCs w:val="24"/>
        </w:rPr>
      </w:pPr>
    </w:p>
    <w:p>
      <w:pPr>
        <w:spacing w:line="336" w:lineRule="auto"/>
        <w:rPr>
          <w:rFonts w:ascii="Arial"/>
          <w:sz w:val="21"/>
        </w:rPr>
      </w:pPr>
      <w:r/>
    </w:p>
    <w:p>
      <w:pPr>
        <w:pStyle w:val="BodyText"/>
        <w:ind w:left="16" w:right="62" w:firstLine="484"/>
        <w:spacing w:before="78" w:line="332" w:lineRule="auto"/>
        <w:rPr>
          <w:rFonts w:ascii="FangSong" w:hAnsi="FangSong" w:eastAsia="FangSong" w:cs="FangSong"/>
          <w:sz w:val="24"/>
          <w:szCs w:val="24"/>
        </w:rPr>
      </w:pPr>
      <w:r>
        <w:rPr>
          <w:rFonts w:ascii="FangSong" w:hAnsi="FangSong" w:eastAsia="FangSong" w:cs="FangSong"/>
          <w:sz w:val="24"/>
          <w:szCs w:val="24"/>
        </w:rPr>
        <w:t>（</w:t>
      </w:r>
      <w:r>
        <w:rPr>
          <w:sz w:val="24"/>
          <w:szCs w:val="24"/>
        </w:rPr>
        <w:t>3</w:t>
      </w:r>
      <w:r>
        <w:rPr>
          <w:rFonts w:ascii="FangSong" w:hAnsi="FangSong" w:eastAsia="FangSong" w:cs="FangSong"/>
          <w:sz w:val="24"/>
          <w:szCs w:val="24"/>
        </w:rPr>
        <w:t>）在磨样室将风干的样品倒在有机玻璃板上，用木锤敲打，用木滚、木棒、有机玻璃</w:t>
      </w:r>
      <w:r>
        <w:rPr>
          <w:rFonts w:ascii="FangSong" w:hAnsi="FangSong" w:eastAsia="FangSong" w:cs="FangSong"/>
          <w:sz w:val="24"/>
          <w:szCs w:val="24"/>
          <w:spacing w:val="2"/>
        </w:rPr>
        <w:t xml:space="preserve"> </w:t>
      </w:r>
      <w:r>
        <w:rPr>
          <w:rFonts w:ascii="FangSong" w:hAnsi="FangSong" w:eastAsia="FangSong" w:cs="FangSong"/>
          <w:sz w:val="24"/>
          <w:szCs w:val="24"/>
          <w:spacing w:val="1"/>
        </w:rPr>
        <w:t>棒再次压碎，拣出杂质，混匀，并用四分法取压碎样，过孔径</w:t>
      </w:r>
      <w:r>
        <w:rPr>
          <w:sz w:val="24"/>
          <w:szCs w:val="24"/>
          <w:spacing w:val="1"/>
        </w:rPr>
        <w:t>0.25</w:t>
      </w:r>
      <w:r>
        <w:rPr>
          <w:sz w:val="24"/>
          <w:szCs w:val="24"/>
        </w:rPr>
        <w:t>mm</w:t>
      </w:r>
      <w:r>
        <w:rPr>
          <w:rFonts w:ascii="FangSong" w:hAnsi="FangSong" w:eastAsia="FangSong" w:cs="FangSong"/>
          <w:sz w:val="24"/>
          <w:szCs w:val="24"/>
          <w:spacing w:val="1"/>
        </w:rPr>
        <w:t>（</w:t>
      </w:r>
      <w:r>
        <w:rPr>
          <w:sz w:val="24"/>
          <w:szCs w:val="24"/>
          <w:spacing w:val="1"/>
        </w:rPr>
        <w:t>20</w:t>
      </w:r>
      <w:r>
        <w:rPr>
          <w:rFonts w:ascii="FangSong" w:hAnsi="FangSong" w:eastAsia="FangSong" w:cs="FangSong"/>
          <w:sz w:val="24"/>
          <w:szCs w:val="24"/>
          <w:spacing w:val="1"/>
        </w:rPr>
        <w:t>目）尼龙筛。过筛</w:t>
      </w:r>
      <w:r>
        <w:rPr>
          <w:rFonts w:ascii="FangSong" w:hAnsi="FangSong" w:eastAsia="FangSong" w:cs="FangSong"/>
          <w:sz w:val="24"/>
          <w:szCs w:val="24"/>
          <w:spacing w:val="13"/>
        </w:rPr>
        <w:t xml:space="preserve"> </w:t>
      </w:r>
      <w:r>
        <w:rPr>
          <w:rFonts w:ascii="FangSong" w:hAnsi="FangSong" w:eastAsia="FangSong" w:cs="FangSong"/>
          <w:sz w:val="24"/>
          <w:szCs w:val="24"/>
          <w:spacing w:val="-3"/>
        </w:rPr>
        <w:t>后的样品全部置无色聚乙烯薄膜上，并充分搅拌混匀，再采用四分法取其两份，一份交样品库</w:t>
      </w:r>
      <w:r>
        <w:rPr>
          <w:rFonts w:ascii="FangSong" w:hAnsi="FangSong" w:eastAsia="FangSong" w:cs="FangSong"/>
          <w:sz w:val="24"/>
          <w:szCs w:val="24"/>
          <w:spacing w:val="11"/>
        </w:rPr>
        <w:t xml:space="preserve"> </w:t>
      </w:r>
      <w:r>
        <w:rPr>
          <w:rFonts w:ascii="FangSong" w:hAnsi="FangSong" w:eastAsia="FangSong" w:cs="FangSong"/>
          <w:sz w:val="24"/>
          <w:szCs w:val="24"/>
          <w:spacing w:val="1"/>
        </w:rPr>
        <w:t>存放，另一份作样品的细磨用。粗磨样可直接用于土壤</w:t>
      </w:r>
      <w:r>
        <w:rPr>
          <w:sz w:val="24"/>
          <w:szCs w:val="24"/>
        </w:rPr>
        <w:t>pH</w:t>
      </w:r>
      <w:r>
        <w:rPr>
          <w:sz w:val="24"/>
          <w:szCs w:val="24"/>
          <w:spacing w:val="-24"/>
        </w:rPr>
        <w:t xml:space="preserve"> </w:t>
      </w:r>
      <w:r>
        <w:rPr>
          <w:rFonts w:ascii="FangSong" w:hAnsi="FangSong" w:eastAsia="FangSong" w:cs="FangSong"/>
          <w:sz w:val="24"/>
          <w:szCs w:val="24"/>
          <w:spacing w:val="1"/>
        </w:rPr>
        <w:t>、阳离子交换量、元素有效态含量</w:t>
      </w:r>
      <w:r>
        <w:rPr>
          <w:rFonts w:ascii="FangSong" w:hAnsi="FangSong" w:eastAsia="FangSong" w:cs="FangSong"/>
          <w:sz w:val="24"/>
          <w:szCs w:val="24"/>
        </w:rPr>
        <w:t xml:space="preserve"> </w:t>
      </w:r>
      <w:r>
        <w:rPr>
          <w:rFonts w:ascii="FangSong" w:hAnsi="FangSong" w:eastAsia="FangSong" w:cs="FangSong"/>
          <w:sz w:val="24"/>
          <w:szCs w:val="24"/>
          <w:spacing w:val="-3"/>
        </w:rPr>
        <w:t>等项目的分析。</w:t>
      </w:r>
    </w:p>
    <w:p>
      <w:pPr>
        <w:pStyle w:val="BodyText"/>
        <w:ind w:left="15" w:right="37" w:firstLine="485"/>
        <w:spacing w:before="179" w:line="314" w:lineRule="auto"/>
        <w:rPr>
          <w:rFonts w:ascii="FangSong" w:hAnsi="FangSong" w:eastAsia="FangSong" w:cs="FangSong"/>
          <w:sz w:val="24"/>
          <w:szCs w:val="24"/>
        </w:rPr>
      </w:pPr>
      <w:r>
        <w:rPr>
          <w:rFonts w:ascii="FangSong" w:hAnsi="FangSong" w:eastAsia="FangSong" w:cs="FangSong"/>
          <w:sz w:val="24"/>
          <w:szCs w:val="24"/>
          <w:spacing w:val="-1"/>
        </w:rPr>
        <w:t>（</w:t>
      </w:r>
      <w:r>
        <w:rPr>
          <w:sz w:val="24"/>
          <w:szCs w:val="24"/>
          <w:spacing w:val="-1"/>
        </w:rPr>
        <w:t>4</w:t>
      </w:r>
      <w:r>
        <w:rPr>
          <w:rFonts w:ascii="FangSong" w:hAnsi="FangSong" w:eastAsia="FangSong" w:cs="FangSong"/>
          <w:sz w:val="24"/>
          <w:szCs w:val="24"/>
          <w:spacing w:val="-1"/>
        </w:rPr>
        <w:t>）用于细磨的样品再用四分法分成两份，一份研磨到全部过孔径</w:t>
      </w:r>
      <w:r>
        <w:rPr>
          <w:sz w:val="24"/>
          <w:szCs w:val="24"/>
          <w:spacing w:val="-1"/>
        </w:rPr>
        <w:t>0.25mm</w:t>
      </w:r>
      <w:r>
        <w:rPr>
          <w:rFonts w:ascii="FangSong" w:hAnsi="FangSong" w:eastAsia="FangSong" w:cs="FangSong"/>
          <w:sz w:val="24"/>
          <w:szCs w:val="24"/>
          <w:spacing w:val="-1"/>
        </w:rPr>
        <w:t>（</w:t>
      </w:r>
      <w:r>
        <w:rPr>
          <w:sz w:val="24"/>
          <w:szCs w:val="24"/>
          <w:spacing w:val="-1"/>
        </w:rPr>
        <w:t>60</w:t>
      </w:r>
      <w:r>
        <w:rPr>
          <w:rFonts w:ascii="FangSong" w:hAnsi="FangSong" w:eastAsia="FangSong" w:cs="FangSong"/>
          <w:sz w:val="24"/>
          <w:szCs w:val="24"/>
          <w:spacing w:val="-1"/>
        </w:rPr>
        <w:t>目）</w:t>
      </w:r>
      <w:r>
        <w:rPr>
          <w:rFonts w:ascii="FangSong" w:hAnsi="FangSong" w:eastAsia="FangSong" w:cs="FangSong"/>
          <w:sz w:val="24"/>
          <w:szCs w:val="24"/>
          <w:spacing w:val="-2"/>
        </w:rPr>
        <w:t>筛，</w:t>
      </w:r>
      <w:r>
        <w:rPr>
          <w:rFonts w:ascii="FangSong" w:hAnsi="FangSong" w:eastAsia="FangSong" w:cs="FangSong"/>
          <w:sz w:val="24"/>
          <w:szCs w:val="24"/>
        </w:rPr>
        <w:t xml:space="preserve"> </w:t>
      </w:r>
      <w:r>
        <w:rPr>
          <w:rFonts w:ascii="FangSong" w:hAnsi="FangSong" w:eastAsia="FangSong" w:cs="FangSong"/>
          <w:sz w:val="24"/>
          <w:szCs w:val="24"/>
          <w:spacing w:val="-1"/>
        </w:rPr>
        <w:t>用于农药或土壤有机质、土壤全氮量等项目分析；</w:t>
      </w:r>
      <w:r>
        <w:rPr>
          <w:rFonts w:ascii="FangSong" w:hAnsi="FangSong" w:eastAsia="FangSong" w:cs="FangSong"/>
          <w:sz w:val="24"/>
          <w:szCs w:val="24"/>
          <w:spacing w:val="-2"/>
        </w:rPr>
        <w:t>另一份研磨到全部过孔径</w:t>
      </w:r>
      <w:r>
        <w:rPr>
          <w:sz w:val="24"/>
          <w:szCs w:val="24"/>
          <w:spacing w:val="-2"/>
        </w:rPr>
        <w:t>0.</w:t>
      </w:r>
      <w:r>
        <w:rPr>
          <w:sz w:val="24"/>
          <w:szCs w:val="24"/>
          <w:spacing w:val="-32"/>
        </w:rPr>
        <w:t xml:space="preserve"> </w:t>
      </w:r>
      <w:r>
        <w:rPr>
          <w:sz w:val="24"/>
          <w:szCs w:val="24"/>
          <w:spacing w:val="-2"/>
        </w:rPr>
        <w:t>15mm</w:t>
      </w:r>
      <w:r>
        <w:rPr>
          <w:rFonts w:ascii="FangSong" w:hAnsi="FangSong" w:eastAsia="FangSong" w:cs="FangSong"/>
          <w:sz w:val="24"/>
          <w:szCs w:val="24"/>
          <w:spacing w:val="-2"/>
        </w:rPr>
        <w:t>（</w:t>
      </w:r>
      <w:r>
        <w:rPr>
          <w:sz w:val="24"/>
          <w:szCs w:val="24"/>
          <w:spacing w:val="-2"/>
        </w:rPr>
        <w:t>100</w:t>
      </w:r>
      <w:r>
        <w:rPr>
          <w:rFonts w:ascii="FangSong" w:hAnsi="FangSong" w:eastAsia="FangSong" w:cs="FangSong"/>
          <w:sz w:val="24"/>
          <w:szCs w:val="24"/>
          <w:spacing w:val="-2"/>
        </w:rPr>
        <w:t>目）</w:t>
      </w:r>
      <w:r>
        <w:rPr>
          <w:rFonts w:ascii="FangSong" w:hAnsi="FangSong" w:eastAsia="FangSong" w:cs="FangSong"/>
          <w:sz w:val="24"/>
          <w:szCs w:val="24"/>
        </w:rPr>
        <w:t xml:space="preserve"> </w:t>
      </w:r>
      <w:r>
        <w:rPr>
          <w:rFonts w:ascii="FangSong" w:hAnsi="FangSong" w:eastAsia="FangSong" w:cs="FangSong"/>
          <w:sz w:val="24"/>
          <w:szCs w:val="24"/>
          <w:spacing w:val="-2"/>
        </w:rPr>
        <w:t>筛，用于土壤元素全量分析。</w:t>
      </w:r>
    </w:p>
    <w:p>
      <w:pPr>
        <w:pStyle w:val="BodyText"/>
        <w:ind w:left="45" w:right="64" w:firstLine="455"/>
        <w:spacing w:before="180" w:line="291" w:lineRule="auto"/>
        <w:rPr>
          <w:rFonts w:ascii="FangSong" w:hAnsi="FangSong" w:eastAsia="FangSong" w:cs="FangSong"/>
          <w:sz w:val="24"/>
          <w:szCs w:val="24"/>
        </w:rPr>
      </w:pPr>
      <w:r>
        <w:rPr>
          <w:rFonts w:ascii="FangSong" w:hAnsi="FangSong" w:eastAsia="FangSong" w:cs="FangSong"/>
          <w:sz w:val="24"/>
          <w:szCs w:val="24"/>
        </w:rPr>
        <w:t>（</w:t>
      </w:r>
      <w:r>
        <w:rPr>
          <w:sz w:val="24"/>
          <w:szCs w:val="24"/>
        </w:rPr>
        <w:t>5</w:t>
      </w:r>
      <w:r>
        <w:rPr>
          <w:rFonts w:ascii="FangSong" w:hAnsi="FangSong" w:eastAsia="FangSong" w:cs="FangSong"/>
          <w:sz w:val="24"/>
          <w:szCs w:val="24"/>
        </w:rPr>
        <w:t>）研磨混匀后的样品，分别装于样品袋或样品瓶，填写土壤标签一式两份，瓶内或袋</w:t>
      </w:r>
      <w:r>
        <w:rPr>
          <w:rFonts w:ascii="FangSong" w:hAnsi="FangSong" w:eastAsia="FangSong" w:cs="FangSong"/>
          <w:sz w:val="24"/>
          <w:szCs w:val="24"/>
          <w:spacing w:val="2"/>
        </w:rPr>
        <w:t xml:space="preserve"> </w:t>
      </w:r>
      <w:r>
        <w:rPr>
          <w:rFonts w:ascii="FangSong" w:hAnsi="FangSong" w:eastAsia="FangSong" w:cs="FangSong"/>
          <w:sz w:val="24"/>
          <w:szCs w:val="24"/>
          <w:spacing w:val="-4"/>
        </w:rPr>
        <w:t>内一份，瓶外或袋外贴一份。</w:t>
      </w:r>
    </w:p>
    <w:p>
      <w:pPr>
        <w:spacing w:before="179" w:line="219" w:lineRule="auto"/>
        <w:jc w:val="right"/>
        <w:rPr>
          <w:rFonts w:ascii="FangSong" w:hAnsi="FangSong" w:eastAsia="FangSong" w:cs="FangSong"/>
          <w:sz w:val="24"/>
          <w:szCs w:val="24"/>
        </w:rPr>
      </w:pPr>
      <w:r>
        <w:rPr>
          <w:rFonts w:ascii="FangSong" w:hAnsi="FangSong" w:eastAsia="FangSong" w:cs="FangSong"/>
          <w:sz w:val="24"/>
          <w:szCs w:val="24"/>
          <w:spacing w:val="-7"/>
        </w:rPr>
        <w:t>制样过程中采样时的土壤标签与土壤始终放在一起，严禁混错，样品名</w:t>
      </w:r>
      <w:r>
        <w:rPr>
          <w:rFonts w:ascii="FangSong" w:hAnsi="FangSong" w:eastAsia="FangSong" w:cs="FangSong"/>
          <w:sz w:val="24"/>
          <w:szCs w:val="24"/>
          <w:spacing w:val="-8"/>
        </w:rPr>
        <w:t>称和编码始终不变；</w:t>
      </w:r>
    </w:p>
    <w:p>
      <w:pPr>
        <w:ind w:left="496"/>
        <w:spacing w:before="183" w:line="219" w:lineRule="auto"/>
        <w:rPr>
          <w:rFonts w:ascii="FangSong" w:hAnsi="FangSong" w:eastAsia="FangSong" w:cs="FangSong"/>
          <w:sz w:val="24"/>
          <w:szCs w:val="24"/>
        </w:rPr>
      </w:pPr>
      <w:r>
        <w:rPr>
          <w:rFonts w:ascii="FangSong" w:hAnsi="FangSong" w:eastAsia="FangSong" w:cs="FangSong"/>
          <w:sz w:val="24"/>
          <w:szCs w:val="24"/>
          <w:spacing w:val="-1"/>
        </w:rPr>
        <w:t>制样工具每处理一份样后擦抹（洗）干净，严防交叉污染；</w:t>
      </w:r>
    </w:p>
    <w:p>
      <w:pPr>
        <w:ind w:left="16" w:right="62" w:firstLine="481"/>
        <w:spacing w:before="181" w:line="360" w:lineRule="auto"/>
        <w:rPr>
          <w:rFonts w:ascii="FangSong" w:hAnsi="FangSong" w:eastAsia="FangSong" w:cs="FangSong"/>
          <w:sz w:val="24"/>
          <w:szCs w:val="24"/>
        </w:rPr>
      </w:pPr>
      <w:r>
        <w:rPr>
          <w:rFonts w:ascii="FangSong" w:hAnsi="FangSong" w:eastAsia="FangSong" w:cs="FangSong"/>
          <w:sz w:val="24"/>
          <w:szCs w:val="24"/>
          <w:spacing w:val="-3"/>
        </w:rPr>
        <w:t>分析挥发性、半挥发性有机物或可萃取有机物无需上述制样，用新鲜样按特定的方法进行</w:t>
      </w:r>
      <w:r>
        <w:rPr>
          <w:rFonts w:ascii="FangSong" w:hAnsi="FangSong" w:eastAsia="FangSong" w:cs="FangSong"/>
          <w:sz w:val="24"/>
          <w:szCs w:val="24"/>
          <w:spacing w:val="3"/>
        </w:rPr>
        <w:t xml:space="preserve"> </w:t>
      </w:r>
      <w:r>
        <w:rPr>
          <w:rFonts w:ascii="FangSong" w:hAnsi="FangSong" w:eastAsia="FangSong" w:cs="FangSong"/>
          <w:sz w:val="24"/>
          <w:szCs w:val="24"/>
          <w:spacing w:val="-3"/>
        </w:rPr>
        <w:t>样品前处理。</w:t>
      </w:r>
    </w:p>
    <w:p>
      <w:pPr>
        <w:spacing w:line="360" w:lineRule="auto"/>
        <w:sectPr>
          <w:headerReference w:type="default" r:id="rId132"/>
          <w:footerReference w:type="default" r:id="rId133"/>
          <w:pgSz w:w="11906" w:h="16839"/>
          <w:pgMar w:top="1139" w:right="1017" w:bottom="1249" w:left="1080" w:header="831" w:footer="1090" w:gutter="0"/>
        </w:sectPr>
        <w:rPr>
          <w:rFonts w:ascii="FangSong" w:hAnsi="FangSong" w:eastAsia="FangSong" w:cs="FangSong"/>
          <w:sz w:val="24"/>
          <w:szCs w:val="24"/>
        </w:rPr>
      </w:pPr>
    </w:p>
    <w:p>
      <w:pPr>
        <w:spacing w:line="378" w:lineRule="auto"/>
        <w:rPr>
          <w:rFonts w:ascii="Arial"/>
          <w:sz w:val="21"/>
        </w:rPr>
      </w:pPr>
      <w:r/>
    </w:p>
    <w:p>
      <w:pPr>
        <w:pStyle w:val="BodyText"/>
        <w:ind w:left="117"/>
        <w:spacing w:before="91" w:line="221" w:lineRule="auto"/>
        <w:outlineLvl w:val="0"/>
        <w:rPr>
          <w:rFonts w:ascii="FangSong" w:hAnsi="FangSong" w:eastAsia="FangSong" w:cs="FangSong"/>
          <w:sz w:val="28"/>
          <w:szCs w:val="28"/>
        </w:rPr>
      </w:pPr>
      <w:bookmarkStart w:name="bookmark29" w:id="34"/>
      <w:bookmarkEnd w:id="34"/>
      <w:r>
        <w:rPr>
          <w:sz w:val="28"/>
          <w:szCs w:val="28"/>
          <w:b/>
          <w:bCs/>
          <w:spacing w:val="-6"/>
        </w:rPr>
        <w:t>8</w:t>
      </w:r>
      <w:r>
        <w:rPr>
          <w:sz w:val="28"/>
          <w:szCs w:val="28"/>
          <w:b/>
          <w:bCs/>
          <w:spacing w:val="14"/>
        </w:rPr>
        <w:t xml:space="preserve">  </w:t>
      </w:r>
      <w:r>
        <w:rPr>
          <w:rFonts w:ascii="FangSong" w:hAnsi="FangSong" w:eastAsia="FangSong" w:cs="FangSong"/>
          <w:sz w:val="28"/>
          <w:szCs w:val="28"/>
          <w:b/>
          <w:bCs/>
          <w:spacing w:val="-6"/>
        </w:rPr>
        <w:t>监测项目检测方法</w:t>
      </w:r>
    </w:p>
    <w:p>
      <w:pPr>
        <w:pStyle w:val="BodyText"/>
        <w:ind w:left="122" w:right="107" w:firstLine="481"/>
        <w:spacing w:before="231" w:line="360" w:lineRule="auto"/>
        <w:jc w:val="both"/>
        <w:rPr>
          <w:rFonts w:ascii="FangSong" w:hAnsi="FangSong" w:eastAsia="FangSong" w:cs="FangSong"/>
          <w:sz w:val="24"/>
          <w:szCs w:val="24"/>
        </w:rPr>
      </w:pPr>
      <w:r>
        <w:rPr>
          <w:rFonts w:ascii="FangSong" w:hAnsi="FangSong" w:eastAsia="FangSong" w:cs="FangSong"/>
          <w:sz w:val="24"/>
          <w:szCs w:val="24"/>
          <w:spacing w:val="-3"/>
        </w:rPr>
        <w:t>本年度土壤和地下水样品由浙江求实环境监测有限公司实验室制备分析，实验室选择《土</w:t>
      </w:r>
      <w:r>
        <w:rPr>
          <w:rFonts w:ascii="FangSong" w:hAnsi="FangSong" w:eastAsia="FangSong" w:cs="FangSong"/>
          <w:sz w:val="24"/>
          <w:szCs w:val="24"/>
          <w:spacing w:val="5"/>
        </w:rPr>
        <w:t xml:space="preserve"> </w:t>
      </w:r>
      <w:r>
        <w:rPr>
          <w:rFonts w:ascii="FangSong" w:hAnsi="FangSong" w:eastAsia="FangSong" w:cs="FangSong"/>
          <w:sz w:val="24"/>
          <w:szCs w:val="24"/>
        </w:rPr>
        <w:t>壤环境质量</w:t>
      </w:r>
      <w:r>
        <w:rPr>
          <w:rFonts w:ascii="FangSong" w:hAnsi="FangSong" w:eastAsia="FangSong" w:cs="FangSong"/>
          <w:sz w:val="24"/>
          <w:szCs w:val="24"/>
        </w:rPr>
        <w:t xml:space="preserve"> </w:t>
      </w:r>
      <w:r>
        <w:rPr>
          <w:rFonts w:ascii="FangSong" w:hAnsi="FangSong" w:eastAsia="FangSong" w:cs="FangSong"/>
          <w:sz w:val="24"/>
          <w:szCs w:val="24"/>
        </w:rPr>
        <w:t>建设用地土壤污染风险管控标准（试行</w:t>
      </w:r>
      <w:r>
        <w:rPr>
          <w:rFonts w:ascii="FangSong" w:hAnsi="FangSong" w:eastAsia="FangSong" w:cs="FangSong"/>
          <w:sz w:val="24"/>
          <w:szCs w:val="24"/>
          <w:spacing w:val="-23"/>
        </w:rPr>
        <w:t>）（</w:t>
      </w:r>
      <w:r>
        <w:rPr>
          <w:sz w:val="24"/>
          <w:szCs w:val="24"/>
        </w:rPr>
        <w:t>GB36600-2018</w:t>
      </w:r>
      <w:r>
        <w:rPr>
          <w:rFonts w:ascii="FangSong" w:hAnsi="FangSong" w:eastAsia="FangSong" w:cs="FangSong"/>
          <w:sz w:val="24"/>
          <w:szCs w:val="24"/>
        </w:rPr>
        <w:t>）》和《地下水质量标</w:t>
      </w:r>
      <w:r>
        <w:rPr>
          <w:rFonts w:ascii="FangSong" w:hAnsi="FangSong" w:eastAsia="FangSong" w:cs="FangSong"/>
          <w:sz w:val="24"/>
          <w:szCs w:val="24"/>
        </w:rPr>
        <w:t xml:space="preserve"> </w:t>
      </w:r>
      <w:r>
        <w:rPr>
          <w:rFonts w:ascii="FangSong" w:hAnsi="FangSong" w:eastAsia="FangSong" w:cs="FangSong"/>
          <w:sz w:val="24"/>
          <w:szCs w:val="24"/>
          <w:spacing w:val="-1"/>
        </w:rPr>
        <w:t>准</w:t>
      </w:r>
      <w:r>
        <w:rPr>
          <w:sz w:val="24"/>
          <w:szCs w:val="24"/>
          <w:spacing w:val="-1"/>
        </w:rPr>
        <w:t>GB/T</w:t>
      </w:r>
      <w:r>
        <w:rPr>
          <w:sz w:val="24"/>
          <w:szCs w:val="24"/>
          <w:spacing w:val="36"/>
        </w:rPr>
        <w:t xml:space="preserve"> </w:t>
      </w:r>
      <w:r>
        <w:rPr>
          <w:sz w:val="24"/>
          <w:szCs w:val="24"/>
          <w:spacing w:val="-1"/>
        </w:rPr>
        <w:t>14848-2017</w:t>
      </w:r>
      <w:r>
        <w:rPr>
          <w:rFonts w:ascii="FangSong" w:hAnsi="FangSong" w:eastAsia="FangSong" w:cs="FangSong"/>
          <w:sz w:val="24"/>
          <w:szCs w:val="24"/>
          <w:spacing w:val="-1"/>
        </w:rPr>
        <w:t>》</w:t>
      </w:r>
      <w:r>
        <w:rPr>
          <w:rFonts w:ascii="FangSong" w:hAnsi="FangSong" w:eastAsia="FangSong" w:cs="FangSong"/>
          <w:sz w:val="24"/>
          <w:szCs w:val="24"/>
          <w:spacing w:val="-68"/>
        </w:rPr>
        <w:t xml:space="preserve"> </w:t>
      </w:r>
      <w:r>
        <w:rPr>
          <w:rFonts w:ascii="FangSong" w:hAnsi="FangSong" w:eastAsia="FangSong" w:cs="FangSong"/>
          <w:sz w:val="24"/>
          <w:szCs w:val="24"/>
          <w:spacing w:val="-1"/>
        </w:rPr>
        <w:t>中推荐的分析方法或其资质认定范围内的国家标准、区域标准、行业标</w:t>
      </w:r>
      <w:r>
        <w:rPr>
          <w:rFonts w:ascii="FangSong" w:hAnsi="FangSong" w:eastAsia="FangSong" w:cs="FangSong"/>
          <w:sz w:val="24"/>
          <w:szCs w:val="24"/>
        </w:rPr>
        <w:t xml:space="preserve"> </w:t>
      </w:r>
      <w:r>
        <w:rPr>
          <w:rFonts w:ascii="FangSong" w:hAnsi="FangSong" w:eastAsia="FangSong" w:cs="FangSong"/>
          <w:sz w:val="24"/>
          <w:szCs w:val="24"/>
        </w:rPr>
        <w:t>准及国际标准方法。本地块为工业用地，土壤使用《土壤环境质量</w:t>
      </w:r>
      <w:r>
        <w:rPr>
          <w:rFonts w:ascii="FangSong" w:hAnsi="FangSong" w:eastAsia="FangSong" w:cs="FangSong"/>
          <w:sz w:val="24"/>
          <w:szCs w:val="24"/>
        </w:rPr>
        <w:t xml:space="preserve"> </w:t>
      </w:r>
      <w:r>
        <w:rPr>
          <w:rFonts w:ascii="FangSong" w:hAnsi="FangSong" w:eastAsia="FangSong" w:cs="FangSong"/>
          <w:sz w:val="24"/>
          <w:szCs w:val="24"/>
        </w:rPr>
        <w:t>建设用地土壤污染风险管</w:t>
      </w:r>
      <w:r>
        <w:rPr>
          <w:rFonts w:ascii="FangSong" w:hAnsi="FangSong" w:eastAsia="FangSong" w:cs="FangSong"/>
          <w:sz w:val="24"/>
          <w:szCs w:val="24"/>
          <w:spacing w:val="10"/>
        </w:rPr>
        <w:t xml:space="preserve"> </w:t>
      </w:r>
      <w:r>
        <w:rPr>
          <w:rFonts w:ascii="FangSong" w:hAnsi="FangSong" w:eastAsia="FangSong" w:cs="FangSong"/>
          <w:sz w:val="24"/>
          <w:szCs w:val="24"/>
          <w:spacing w:val="-1"/>
        </w:rPr>
        <w:t>控标准（试行）》（</w:t>
      </w:r>
      <w:r>
        <w:rPr>
          <w:sz w:val="24"/>
          <w:szCs w:val="24"/>
          <w:spacing w:val="-1"/>
        </w:rPr>
        <w:t>GB 36600- 2018</w:t>
      </w:r>
      <w:r>
        <w:rPr>
          <w:rFonts w:ascii="FangSong" w:hAnsi="FangSong" w:eastAsia="FangSong" w:cs="FangSong"/>
          <w:sz w:val="24"/>
          <w:szCs w:val="24"/>
          <w:spacing w:val="-1"/>
        </w:rPr>
        <w:t>）第二类用地筛选值和浙江省地方标准《建设用地土壤污</w:t>
      </w:r>
      <w:r>
        <w:rPr>
          <w:rFonts w:ascii="FangSong" w:hAnsi="FangSong" w:eastAsia="FangSong" w:cs="FangSong"/>
          <w:sz w:val="24"/>
          <w:szCs w:val="24"/>
          <w:spacing w:val="2"/>
        </w:rPr>
        <w:t xml:space="preserve"> </w:t>
      </w:r>
      <w:r>
        <w:rPr>
          <w:rFonts w:ascii="FangSong" w:hAnsi="FangSong" w:eastAsia="FangSong" w:cs="FangSong"/>
          <w:sz w:val="24"/>
          <w:szCs w:val="24"/>
        </w:rPr>
        <w:t>染风险评估技术导则》（</w:t>
      </w:r>
      <w:r>
        <w:rPr>
          <w:sz w:val="24"/>
          <w:szCs w:val="24"/>
        </w:rPr>
        <w:t>DB 33/T 892-2022</w:t>
      </w:r>
      <w:r>
        <w:rPr>
          <w:rFonts w:ascii="FangSong" w:hAnsi="FangSong" w:eastAsia="FangSong" w:cs="FangSong"/>
          <w:sz w:val="24"/>
          <w:szCs w:val="24"/>
        </w:rPr>
        <w:t>）非敏感用</w:t>
      </w:r>
      <w:r>
        <w:rPr>
          <w:rFonts w:ascii="FangSong" w:hAnsi="FangSong" w:eastAsia="FangSong" w:cs="FangSong"/>
          <w:sz w:val="24"/>
          <w:szCs w:val="24"/>
          <w:spacing w:val="-1"/>
        </w:rPr>
        <w:t>地筛选值进行评价，地下水不开发利用</w:t>
      </w:r>
      <w:r>
        <w:rPr>
          <w:rFonts w:ascii="FangSong" w:hAnsi="FangSong" w:eastAsia="FangSong" w:cs="FangSong"/>
          <w:sz w:val="24"/>
          <w:szCs w:val="24"/>
        </w:rPr>
        <w:t xml:space="preserve"> </w:t>
      </w:r>
      <w:r>
        <w:rPr>
          <w:rFonts w:ascii="FangSong" w:hAnsi="FangSong" w:eastAsia="FangSong" w:cs="FangSong"/>
          <w:sz w:val="24"/>
          <w:szCs w:val="24"/>
          <w:spacing w:val="-2"/>
        </w:rPr>
        <w:t>且无饮用途径，使用《地下水质量标准》（</w:t>
      </w:r>
      <w:r>
        <w:rPr>
          <w:sz w:val="24"/>
          <w:szCs w:val="24"/>
          <w:spacing w:val="-2"/>
        </w:rPr>
        <w:t>GB/T</w:t>
      </w:r>
      <w:r>
        <w:rPr>
          <w:sz w:val="24"/>
          <w:szCs w:val="24"/>
          <w:spacing w:val="28"/>
        </w:rPr>
        <w:t xml:space="preserve"> </w:t>
      </w:r>
      <w:r>
        <w:rPr>
          <w:sz w:val="24"/>
          <w:szCs w:val="24"/>
          <w:spacing w:val="-2"/>
        </w:rPr>
        <w:t>14848 -</w:t>
      </w:r>
      <w:r>
        <w:rPr>
          <w:sz w:val="24"/>
          <w:szCs w:val="24"/>
          <w:spacing w:val="-3"/>
        </w:rPr>
        <w:t xml:space="preserve"> 2017</w:t>
      </w:r>
      <w:r>
        <w:rPr>
          <w:rFonts w:ascii="FangSong" w:hAnsi="FangSong" w:eastAsia="FangSong" w:cs="FangSong"/>
          <w:sz w:val="24"/>
          <w:szCs w:val="24"/>
          <w:spacing w:val="-3"/>
        </w:rPr>
        <w:t>）</w:t>
      </w:r>
      <w:r>
        <w:rPr>
          <w:sz w:val="24"/>
          <w:szCs w:val="24"/>
          <w:spacing w:val="-3"/>
        </w:rPr>
        <w:t>Ⅳ</w:t>
      </w:r>
      <w:r>
        <w:rPr>
          <w:rFonts w:ascii="FangSong" w:hAnsi="FangSong" w:eastAsia="FangSong" w:cs="FangSong"/>
          <w:sz w:val="24"/>
          <w:szCs w:val="24"/>
          <w:spacing w:val="-3"/>
        </w:rPr>
        <w:t>类标准进行评价。土壤和地</w:t>
      </w:r>
      <w:r>
        <w:rPr>
          <w:rFonts w:ascii="FangSong" w:hAnsi="FangSong" w:eastAsia="FangSong" w:cs="FangSong"/>
          <w:sz w:val="24"/>
          <w:szCs w:val="24"/>
        </w:rPr>
        <w:t xml:space="preserve"> </w:t>
      </w:r>
      <w:r>
        <w:rPr>
          <w:rFonts w:ascii="FangSong" w:hAnsi="FangSong" w:eastAsia="FangSong" w:cs="FangSong"/>
          <w:sz w:val="24"/>
          <w:szCs w:val="24"/>
          <w:spacing w:val="-1"/>
        </w:rPr>
        <w:t>下水中无国标的，参照其他相关标准执行。</w:t>
      </w:r>
    </w:p>
    <w:p>
      <w:pPr>
        <w:pStyle w:val="BodyText"/>
        <w:ind w:left="117"/>
        <w:spacing w:before="58" w:line="222" w:lineRule="auto"/>
        <w:outlineLvl w:val="1"/>
        <w:rPr>
          <w:rFonts w:ascii="FangSong" w:hAnsi="FangSong" w:eastAsia="FangSong" w:cs="FangSong"/>
          <w:sz w:val="28"/>
          <w:szCs w:val="28"/>
        </w:rPr>
      </w:pPr>
      <w:bookmarkStart w:name="bookmark30" w:id="35"/>
      <w:bookmarkEnd w:id="35"/>
      <w:r>
        <w:rPr>
          <w:sz w:val="28"/>
          <w:szCs w:val="28"/>
          <w:b/>
          <w:bCs/>
          <w:spacing w:val="-2"/>
        </w:rPr>
        <w:t>8.1 2025</w:t>
      </w:r>
      <w:r>
        <w:rPr>
          <w:rFonts w:ascii="FangSong" w:hAnsi="FangSong" w:eastAsia="FangSong" w:cs="FangSong"/>
          <w:sz w:val="28"/>
          <w:szCs w:val="28"/>
          <w:b/>
          <w:bCs/>
          <w:spacing w:val="-2"/>
        </w:rPr>
        <w:t>年土壤监测结果分析</w:t>
      </w:r>
    </w:p>
    <w:p>
      <w:pPr>
        <w:pStyle w:val="BodyText"/>
        <w:ind w:left="116"/>
        <w:spacing w:before="227" w:line="222" w:lineRule="auto"/>
        <w:outlineLvl w:val="2"/>
        <w:rPr>
          <w:rFonts w:ascii="FangSong" w:hAnsi="FangSong" w:eastAsia="FangSong" w:cs="FangSong"/>
          <w:sz w:val="24"/>
          <w:szCs w:val="24"/>
        </w:rPr>
      </w:pPr>
      <w:r>
        <w:rPr>
          <w:sz w:val="24"/>
          <w:szCs w:val="24"/>
          <w:b/>
          <w:bCs/>
          <w:spacing w:val="-2"/>
        </w:rPr>
        <w:t>8.1.1  </w:t>
      </w:r>
      <w:r>
        <w:rPr>
          <w:rFonts w:ascii="FangSong" w:hAnsi="FangSong" w:eastAsia="FangSong" w:cs="FangSong"/>
          <w:sz w:val="24"/>
          <w:szCs w:val="24"/>
          <w:b/>
          <w:bCs/>
          <w:spacing w:val="-2"/>
        </w:rPr>
        <w:t>分析方法及评价标准</w:t>
      </w:r>
    </w:p>
    <w:p>
      <w:pPr>
        <w:pStyle w:val="BodyText"/>
        <w:ind w:left="3303"/>
        <w:spacing w:before="180" w:line="219" w:lineRule="auto"/>
        <w:rPr>
          <w:rFonts w:ascii="FangSong" w:hAnsi="FangSong" w:eastAsia="FangSong" w:cs="FangSong"/>
          <w:sz w:val="24"/>
          <w:szCs w:val="24"/>
        </w:rPr>
      </w:pPr>
      <w:r>
        <w:rPr>
          <w:rFonts w:ascii="FangSong" w:hAnsi="FangSong" w:eastAsia="FangSong" w:cs="FangSong"/>
          <w:sz w:val="24"/>
          <w:szCs w:val="24"/>
          <w:b/>
          <w:bCs/>
          <w:spacing w:val="-2"/>
        </w:rPr>
        <w:t>表</w:t>
      </w:r>
      <w:r>
        <w:rPr>
          <w:sz w:val="24"/>
          <w:szCs w:val="24"/>
          <w:b/>
          <w:bCs/>
          <w:spacing w:val="-2"/>
        </w:rPr>
        <w:t>8.1-1    </w:t>
      </w:r>
      <w:r>
        <w:rPr>
          <w:rFonts w:ascii="FangSong" w:hAnsi="FangSong" w:eastAsia="FangSong" w:cs="FangSong"/>
          <w:sz w:val="24"/>
          <w:szCs w:val="24"/>
          <w:b/>
          <w:bCs/>
          <w:spacing w:val="-2"/>
        </w:rPr>
        <w:t>土壤样品分析测试方法</w:t>
      </w:r>
    </w:p>
    <w:p>
      <w:pPr>
        <w:spacing w:line="69" w:lineRule="exact"/>
        <w:rPr/>
      </w:pPr>
      <w:r/>
    </w:p>
    <w:tbl>
      <w:tblPr>
        <w:tblStyle w:val="TableNormal"/>
        <w:tblW w:w="99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4"/>
        <w:gridCol w:w="1965"/>
        <w:gridCol w:w="5920"/>
        <w:gridCol w:w="1357"/>
      </w:tblGrid>
      <w:tr>
        <w:trPr>
          <w:trHeight w:val="349" w:hRule="atLeast"/>
        </w:trPr>
        <w:tc>
          <w:tcPr>
            <w:tcW w:w="714" w:type="dxa"/>
            <w:vAlign w:val="top"/>
          </w:tcPr>
          <w:p>
            <w:pPr>
              <w:pStyle w:val="TableText"/>
              <w:ind w:left="157"/>
              <w:spacing w:before="70" w:line="231" w:lineRule="auto"/>
              <w:rPr/>
            </w:pPr>
            <w:r>
              <w:rPr>
                <w:b/>
                <w:bCs/>
                <w:spacing w:val="1"/>
              </w:rPr>
              <w:t>序号</w:t>
            </w:r>
          </w:p>
        </w:tc>
        <w:tc>
          <w:tcPr>
            <w:tcW w:w="1965" w:type="dxa"/>
            <w:vAlign w:val="top"/>
          </w:tcPr>
          <w:p>
            <w:pPr>
              <w:pStyle w:val="TableText"/>
              <w:ind w:left="783"/>
              <w:spacing w:before="71" w:line="232" w:lineRule="auto"/>
              <w:rPr/>
            </w:pPr>
            <w:r>
              <w:rPr>
                <w:b/>
                <w:bCs/>
              </w:rPr>
              <w:t>项目</w:t>
            </w:r>
          </w:p>
        </w:tc>
        <w:tc>
          <w:tcPr>
            <w:tcW w:w="5920" w:type="dxa"/>
            <w:vAlign w:val="top"/>
          </w:tcPr>
          <w:p>
            <w:pPr>
              <w:pStyle w:val="TableText"/>
              <w:ind w:left="1920"/>
              <w:spacing w:before="70" w:line="229" w:lineRule="auto"/>
              <w:rPr/>
            </w:pPr>
            <w:r>
              <w:rPr>
                <w:b/>
                <w:bCs/>
                <w:spacing w:val="7"/>
              </w:rPr>
              <w:t>检测分析方法及标准号</w:t>
            </w:r>
          </w:p>
        </w:tc>
        <w:tc>
          <w:tcPr>
            <w:tcW w:w="1357" w:type="dxa"/>
            <w:vAlign w:val="top"/>
          </w:tcPr>
          <w:p>
            <w:pPr>
              <w:pStyle w:val="TableText"/>
              <w:ind w:left="375"/>
              <w:spacing w:before="70" w:line="229" w:lineRule="auto"/>
              <w:rPr/>
            </w:pPr>
            <w:r>
              <w:rPr>
                <w:b/>
                <w:bCs/>
                <w:spacing w:val="3"/>
              </w:rPr>
              <w:t>检出限</w:t>
            </w:r>
          </w:p>
        </w:tc>
      </w:tr>
      <w:tr>
        <w:trPr>
          <w:trHeight w:val="345" w:hRule="atLeast"/>
        </w:trPr>
        <w:tc>
          <w:tcPr>
            <w:tcW w:w="714" w:type="dxa"/>
            <w:vAlign w:val="top"/>
          </w:tcPr>
          <w:p>
            <w:pPr>
              <w:ind w:left="326"/>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65" w:type="dxa"/>
            <w:vAlign w:val="top"/>
          </w:tcPr>
          <w:p>
            <w:pPr>
              <w:pStyle w:val="TableText"/>
              <w:ind w:left="717"/>
              <w:spacing w:before="67" w:line="221" w:lineRule="auto"/>
              <w:rPr/>
            </w:pPr>
            <w:r>
              <w:rPr>
                <w:rFonts w:ascii="Times New Roman" w:hAnsi="Times New Roman" w:eastAsia="Times New Roman" w:cs="Times New Roman"/>
              </w:rPr>
              <w:t>pH</w:t>
            </w:r>
            <w:r>
              <w:rPr>
                <w:rFonts w:ascii="Times New Roman" w:hAnsi="Times New Roman" w:eastAsia="Times New Roman" w:cs="Times New Roman"/>
                <w:spacing w:val="16"/>
              </w:rPr>
              <w:t xml:space="preserve"> </w:t>
            </w:r>
            <w:r>
              <w:rPr>
                <w:spacing w:val="12"/>
              </w:rPr>
              <w:t>值</w:t>
            </w:r>
          </w:p>
        </w:tc>
        <w:tc>
          <w:tcPr>
            <w:tcW w:w="5920" w:type="dxa"/>
            <w:vAlign w:val="top"/>
          </w:tcPr>
          <w:p>
            <w:pPr>
              <w:pStyle w:val="TableText"/>
              <w:ind w:left="1172"/>
              <w:spacing w:before="67" w:line="221" w:lineRule="auto"/>
              <w:rPr>
                <w:rFonts w:ascii="Times New Roman" w:hAnsi="Times New Roman" w:eastAsia="Times New Roman" w:cs="Times New Roman"/>
              </w:rPr>
            </w:pPr>
            <w:r>
              <w:rPr>
                <w:spacing w:val="4"/>
              </w:rPr>
              <w:t>土壤</w:t>
            </w:r>
            <w:r>
              <w:rPr>
                <w:spacing w:val="4"/>
              </w:rPr>
              <w:t xml:space="preserve"> </w:t>
            </w:r>
            <w:r>
              <w:rPr>
                <w:rFonts w:ascii="Times New Roman" w:hAnsi="Times New Roman" w:eastAsia="Times New Roman" w:cs="Times New Roman"/>
              </w:rPr>
              <w:t>pH</w:t>
            </w:r>
            <w:r>
              <w:rPr>
                <w:rFonts w:ascii="Times New Roman" w:hAnsi="Times New Roman" w:eastAsia="Times New Roman" w:cs="Times New Roman"/>
                <w:spacing w:val="4"/>
              </w:rPr>
              <w:t xml:space="preserve"> </w:t>
            </w:r>
            <w:r>
              <w:rPr>
                <w:spacing w:val="4"/>
              </w:rPr>
              <w:t>值的测定</w:t>
            </w:r>
            <w:r>
              <w:rPr>
                <w:spacing w:val="61"/>
              </w:rPr>
              <w:t xml:space="preserve"> </w:t>
            </w:r>
            <w:r>
              <w:rPr>
                <w:spacing w:val="4"/>
              </w:rPr>
              <w:t>电位法</w:t>
            </w:r>
            <w:r>
              <w:rPr>
                <w:spacing w:val="4"/>
              </w:rPr>
              <w:t xml:space="preserve"> </w:t>
            </w:r>
            <w:r>
              <w:rPr>
                <w:rFonts w:ascii="Times New Roman" w:hAnsi="Times New Roman" w:eastAsia="Times New Roman" w:cs="Times New Roman"/>
              </w:rPr>
              <w:t>HJ</w:t>
            </w:r>
            <w:r>
              <w:rPr>
                <w:rFonts w:ascii="Times New Roman" w:hAnsi="Times New Roman" w:eastAsia="Times New Roman" w:cs="Times New Roman"/>
                <w:spacing w:val="14"/>
              </w:rPr>
              <w:t xml:space="preserve"> </w:t>
            </w:r>
            <w:r>
              <w:rPr>
                <w:rFonts w:ascii="Times New Roman" w:hAnsi="Times New Roman" w:eastAsia="Times New Roman" w:cs="Times New Roman"/>
                <w:spacing w:val="4"/>
              </w:rPr>
              <w:t>962-2018</w:t>
            </w:r>
          </w:p>
        </w:tc>
        <w:tc>
          <w:tcPr>
            <w:tcW w:w="1357" w:type="dxa"/>
            <w:vAlign w:val="top"/>
          </w:tcPr>
          <w:p>
            <w:pPr>
              <w:ind w:left="648"/>
              <w:spacing w:before="9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628" w:hRule="atLeast"/>
        </w:trPr>
        <w:tc>
          <w:tcPr>
            <w:tcW w:w="714" w:type="dxa"/>
            <w:vAlign w:val="top"/>
          </w:tcPr>
          <w:p>
            <w:pPr>
              <w:ind w:left="306"/>
              <w:spacing w:before="2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965" w:type="dxa"/>
            <w:vAlign w:val="top"/>
          </w:tcPr>
          <w:p>
            <w:pPr>
              <w:pStyle w:val="TableText"/>
              <w:ind w:left="791"/>
              <w:spacing w:before="208" w:line="229" w:lineRule="auto"/>
              <w:rPr/>
            </w:pPr>
            <w:r>
              <w:rPr>
                <w:spacing w:val="-3"/>
              </w:rPr>
              <w:t>总砷</w:t>
            </w:r>
          </w:p>
        </w:tc>
        <w:tc>
          <w:tcPr>
            <w:tcW w:w="5920" w:type="dxa"/>
            <w:vAlign w:val="top"/>
          </w:tcPr>
          <w:p>
            <w:pPr>
              <w:pStyle w:val="TableText"/>
              <w:ind w:left="120"/>
              <w:spacing w:before="52" w:line="229" w:lineRule="auto"/>
              <w:rPr/>
            </w:pPr>
            <w:r>
              <w:rPr>
                <w:spacing w:val="5"/>
              </w:rPr>
              <w:t>土壤质量</w:t>
            </w:r>
            <w:r>
              <w:rPr>
                <w:spacing w:val="40"/>
              </w:rPr>
              <w:t xml:space="preserve"> </w:t>
            </w:r>
            <w:r>
              <w:rPr>
                <w:spacing w:val="5"/>
              </w:rPr>
              <w:t>总汞、总砷、总铅的测定</w:t>
            </w:r>
            <w:r>
              <w:rPr>
                <w:spacing w:val="5"/>
              </w:rPr>
              <w:t xml:space="preserve"> </w:t>
            </w:r>
            <w:r>
              <w:rPr>
                <w:spacing w:val="5"/>
              </w:rPr>
              <w:t>原子荧光法</w:t>
            </w:r>
            <w:r>
              <w:rPr>
                <w:spacing w:val="28"/>
              </w:rPr>
              <w:t xml:space="preserve"> </w:t>
            </w:r>
            <w:r>
              <w:rPr>
                <w:spacing w:val="5"/>
              </w:rPr>
              <w:t>第</w:t>
            </w:r>
            <w:r>
              <w:rPr>
                <w:spacing w:val="-40"/>
              </w:rPr>
              <w:t xml:space="preserve"> </w:t>
            </w:r>
            <w:r>
              <w:rPr>
                <w:rFonts w:ascii="Times New Roman" w:hAnsi="Times New Roman" w:eastAsia="Times New Roman" w:cs="Times New Roman"/>
                <w:spacing w:val="5"/>
              </w:rPr>
              <w:t>2</w:t>
            </w:r>
            <w:r>
              <w:rPr>
                <w:rFonts w:ascii="Times New Roman" w:hAnsi="Times New Roman" w:eastAsia="Times New Roman" w:cs="Times New Roman"/>
                <w:spacing w:val="16"/>
              </w:rPr>
              <w:t xml:space="preserve"> </w:t>
            </w:r>
            <w:r>
              <w:rPr>
                <w:spacing w:val="5"/>
              </w:rPr>
              <w:t>部分</w:t>
            </w:r>
            <w:r>
              <w:rPr>
                <w:rFonts w:ascii="Times New Roman" w:hAnsi="Times New Roman" w:eastAsia="Times New Roman" w:cs="Times New Roman"/>
                <w:spacing w:val="5"/>
              </w:rPr>
              <w:t>:  </w:t>
            </w:r>
            <w:r>
              <w:rPr>
                <w:spacing w:val="5"/>
              </w:rPr>
              <w:t>土</w:t>
            </w:r>
          </w:p>
          <w:p>
            <w:pPr>
              <w:pStyle w:val="TableText"/>
              <w:ind w:left="1332"/>
              <w:spacing w:before="63" w:line="229" w:lineRule="auto"/>
              <w:rPr>
                <w:rFonts w:ascii="Times New Roman" w:hAnsi="Times New Roman" w:eastAsia="Times New Roman" w:cs="Times New Roman"/>
              </w:rPr>
            </w:pPr>
            <w:r>
              <w:rPr>
                <w:spacing w:val="6"/>
              </w:rPr>
              <w:t>壤中总砷的测定</w:t>
            </w:r>
            <w:r>
              <w:rPr>
                <w:spacing w:val="6"/>
              </w:rPr>
              <w:t xml:space="preserve"> </w:t>
            </w:r>
            <w:r>
              <w:rPr>
                <w:rFonts w:ascii="Times New Roman" w:hAnsi="Times New Roman" w:eastAsia="Times New Roman" w:cs="Times New Roman"/>
              </w:rPr>
              <w:t>GB</w:t>
            </w:r>
            <w:r>
              <w:rPr>
                <w:rFonts w:ascii="Times New Roman" w:hAnsi="Times New Roman" w:eastAsia="Times New Roman" w:cs="Times New Roman"/>
                <w:spacing w:val="6"/>
              </w:rPr>
              <w:t>/T 22105.2-2008</w:t>
            </w:r>
          </w:p>
        </w:tc>
        <w:tc>
          <w:tcPr>
            <w:tcW w:w="1357" w:type="dxa"/>
            <w:vAlign w:val="top"/>
          </w:tcPr>
          <w:p>
            <w:pPr>
              <w:ind w:left="230"/>
              <w:spacing w:before="24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0.01</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rPr>
              <w:t>kg</w:t>
            </w:r>
          </w:p>
        </w:tc>
      </w:tr>
      <w:tr>
        <w:trPr>
          <w:trHeight w:val="629" w:hRule="atLeast"/>
        </w:trPr>
        <w:tc>
          <w:tcPr>
            <w:tcW w:w="714" w:type="dxa"/>
            <w:vAlign w:val="top"/>
          </w:tcPr>
          <w:p>
            <w:pPr>
              <w:ind w:left="310"/>
              <w:spacing w:before="2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965" w:type="dxa"/>
            <w:vAlign w:val="top"/>
          </w:tcPr>
          <w:p>
            <w:pPr>
              <w:pStyle w:val="TableText"/>
              <w:ind w:left="889"/>
              <w:spacing w:before="210" w:line="232" w:lineRule="auto"/>
              <w:rPr/>
            </w:pPr>
            <w:r>
              <w:rPr/>
              <w:t>镉</w:t>
            </w:r>
          </w:p>
        </w:tc>
        <w:tc>
          <w:tcPr>
            <w:tcW w:w="5920" w:type="dxa"/>
            <w:vAlign w:val="top"/>
          </w:tcPr>
          <w:p>
            <w:pPr>
              <w:pStyle w:val="TableText"/>
              <w:ind w:left="293"/>
              <w:spacing w:before="53" w:line="231" w:lineRule="auto"/>
              <w:rPr>
                <w:rFonts w:ascii="Times New Roman" w:hAnsi="Times New Roman" w:eastAsia="Times New Roman" w:cs="Times New Roman"/>
              </w:rPr>
            </w:pPr>
            <w:r>
              <w:rPr>
                <w:spacing w:val="8"/>
              </w:rPr>
              <w:t>土壤质量</w:t>
            </w:r>
            <w:r>
              <w:rPr>
                <w:spacing w:val="8"/>
              </w:rPr>
              <w:t xml:space="preserve"> </w:t>
            </w:r>
            <w:r>
              <w:rPr>
                <w:spacing w:val="8"/>
              </w:rPr>
              <w:t>铅、镉的测定</w:t>
            </w:r>
            <w:r>
              <w:rPr>
                <w:spacing w:val="8"/>
              </w:rPr>
              <w:t xml:space="preserve"> </w:t>
            </w:r>
            <w:r>
              <w:rPr>
                <w:spacing w:val="8"/>
              </w:rPr>
              <w:t>石墨炉原子吸收分光光度法</w:t>
            </w:r>
            <w:r>
              <w:rPr>
                <w:spacing w:val="-24"/>
              </w:rPr>
              <w:t xml:space="preserve"> </w:t>
            </w:r>
            <w:r>
              <w:rPr>
                <w:rFonts w:ascii="Times New Roman" w:hAnsi="Times New Roman" w:eastAsia="Times New Roman" w:cs="Times New Roman"/>
              </w:rPr>
              <w:t>GB</w:t>
            </w:r>
            <w:r>
              <w:rPr>
                <w:rFonts w:ascii="Times New Roman" w:hAnsi="Times New Roman" w:eastAsia="Times New Roman" w:cs="Times New Roman"/>
                <w:spacing w:val="8"/>
              </w:rPr>
              <w:t>/T</w:t>
            </w:r>
          </w:p>
          <w:p>
            <w:pPr>
              <w:ind w:left="2476"/>
              <w:spacing w:before="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17141-1997</w:t>
            </w:r>
          </w:p>
        </w:tc>
        <w:tc>
          <w:tcPr>
            <w:tcW w:w="1357" w:type="dxa"/>
            <w:vAlign w:val="top"/>
          </w:tcPr>
          <w:p>
            <w:pPr>
              <w:ind w:left="230"/>
              <w:spacing w:before="24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0.01</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rPr>
              <w:t>kg</w:t>
            </w:r>
          </w:p>
        </w:tc>
      </w:tr>
      <w:tr>
        <w:trPr>
          <w:trHeight w:val="629" w:hRule="atLeast"/>
        </w:trPr>
        <w:tc>
          <w:tcPr>
            <w:tcW w:w="714" w:type="dxa"/>
            <w:vAlign w:val="top"/>
          </w:tcPr>
          <w:p>
            <w:pPr>
              <w:ind w:left="305"/>
              <w:spacing w:before="2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965" w:type="dxa"/>
            <w:vAlign w:val="top"/>
          </w:tcPr>
          <w:p>
            <w:pPr>
              <w:pStyle w:val="TableText"/>
              <w:ind w:left="678"/>
              <w:spacing w:before="209" w:line="230" w:lineRule="auto"/>
              <w:rPr/>
            </w:pPr>
            <w:r>
              <w:rPr>
                <w:spacing w:val="4"/>
              </w:rPr>
              <w:t>六价铬</w:t>
            </w:r>
          </w:p>
        </w:tc>
        <w:tc>
          <w:tcPr>
            <w:tcW w:w="5920" w:type="dxa"/>
            <w:vAlign w:val="top"/>
          </w:tcPr>
          <w:p>
            <w:pPr>
              <w:pStyle w:val="TableText"/>
              <w:ind w:left="209"/>
              <w:spacing w:before="53" w:line="229" w:lineRule="auto"/>
              <w:rPr/>
            </w:pPr>
            <w:r>
              <w:rPr>
                <w:spacing w:val="8"/>
              </w:rPr>
              <w:t>土壤和沉积物</w:t>
            </w:r>
            <w:r>
              <w:rPr>
                <w:spacing w:val="8"/>
              </w:rPr>
              <w:t xml:space="preserve"> </w:t>
            </w:r>
            <w:r>
              <w:rPr>
                <w:spacing w:val="8"/>
              </w:rPr>
              <w:t>六价铬的测定</w:t>
            </w:r>
            <w:r>
              <w:rPr>
                <w:spacing w:val="8"/>
              </w:rPr>
              <w:t xml:space="preserve"> </w:t>
            </w:r>
            <w:r>
              <w:rPr>
                <w:spacing w:val="8"/>
              </w:rPr>
              <w:t>碱溶液提取</w:t>
            </w:r>
            <w:r>
              <w:rPr>
                <w:rFonts w:ascii="Times New Roman" w:hAnsi="Times New Roman" w:eastAsia="Times New Roman" w:cs="Times New Roman"/>
                <w:spacing w:val="8"/>
              </w:rPr>
              <w:t>-</w:t>
            </w:r>
            <w:r>
              <w:rPr>
                <w:spacing w:val="8"/>
              </w:rPr>
              <w:t>火焰原子吸收分光</w:t>
            </w:r>
          </w:p>
          <w:p>
            <w:pPr>
              <w:pStyle w:val="TableText"/>
              <w:ind w:left="2012"/>
              <w:spacing w:before="63" w:line="232" w:lineRule="auto"/>
              <w:rPr>
                <w:rFonts w:ascii="Times New Roman" w:hAnsi="Times New Roman" w:eastAsia="Times New Roman" w:cs="Times New Roman"/>
              </w:rPr>
            </w:pPr>
            <w:r>
              <w:rPr>
                <w:spacing w:val="3"/>
              </w:rPr>
              <w:t>光度法</w:t>
            </w:r>
            <w:r>
              <w:rPr>
                <w:spacing w:val="3"/>
              </w:rPr>
              <w:t xml:space="preserve"> </w:t>
            </w:r>
            <w:r>
              <w:rPr>
                <w:rFonts w:ascii="Times New Roman" w:hAnsi="Times New Roman" w:eastAsia="Times New Roman" w:cs="Times New Roman"/>
              </w:rPr>
              <w:t>HJ</w:t>
            </w:r>
            <w:r>
              <w:rPr>
                <w:rFonts w:ascii="Times New Roman" w:hAnsi="Times New Roman" w:eastAsia="Times New Roman" w:cs="Times New Roman"/>
                <w:spacing w:val="30"/>
                <w:w w:val="101"/>
              </w:rPr>
              <w:t xml:space="preserve"> </w:t>
            </w:r>
            <w:r>
              <w:rPr>
                <w:rFonts w:ascii="Times New Roman" w:hAnsi="Times New Roman" w:eastAsia="Times New Roman" w:cs="Times New Roman"/>
                <w:spacing w:val="3"/>
              </w:rPr>
              <w:t>1082-2019</w:t>
            </w:r>
          </w:p>
        </w:tc>
        <w:tc>
          <w:tcPr>
            <w:tcW w:w="1357" w:type="dxa"/>
            <w:vAlign w:val="top"/>
          </w:tcPr>
          <w:p>
            <w:pPr>
              <w:ind w:left="283"/>
              <w:spacing w:before="24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0.5</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rPr>
              <w:t>kg</w:t>
            </w:r>
          </w:p>
        </w:tc>
      </w:tr>
      <w:tr>
        <w:trPr>
          <w:trHeight w:val="628" w:hRule="atLeast"/>
        </w:trPr>
        <w:tc>
          <w:tcPr>
            <w:tcW w:w="714" w:type="dxa"/>
            <w:vAlign w:val="top"/>
          </w:tcPr>
          <w:p>
            <w:pPr>
              <w:ind w:left="312"/>
              <w:spacing w:before="24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965" w:type="dxa"/>
            <w:vAlign w:val="top"/>
          </w:tcPr>
          <w:p>
            <w:pPr>
              <w:pStyle w:val="TableText"/>
              <w:ind w:left="889"/>
              <w:spacing w:before="208" w:line="232" w:lineRule="auto"/>
              <w:rPr/>
            </w:pPr>
            <w:r>
              <w:rPr/>
              <w:t>铜</w:t>
            </w:r>
          </w:p>
        </w:tc>
        <w:tc>
          <w:tcPr>
            <w:tcW w:w="5920" w:type="dxa"/>
            <w:vAlign w:val="top"/>
          </w:tcPr>
          <w:p>
            <w:pPr>
              <w:pStyle w:val="TableText"/>
              <w:ind w:left="140"/>
              <w:spacing w:before="53" w:line="229" w:lineRule="auto"/>
              <w:rPr/>
            </w:pPr>
            <w:r>
              <w:rPr>
                <w:spacing w:val="9"/>
              </w:rPr>
              <w:t>土壤和沉积物</w:t>
            </w:r>
            <w:r>
              <w:rPr>
                <w:spacing w:val="9"/>
              </w:rPr>
              <w:t xml:space="preserve"> </w:t>
            </w:r>
            <w:r>
              <w:rPr>
                <w:spacing w:val="9"/>
              </w:rPr>
              <w:t>铜、锌、铅、镍、铬的测定</w:t>
            </w:r>
            <w:r>
              <w:rPr>
                <w:spacing w:val="9"/>
              </w:rPr>
              <w:t xml:space="preserve"> </w:t>
            </w:r>
            <w:r>
              <w:rPr>
                <w:spacing w:val="9"/>
              </w:rPr>
              <w:t>火焰原子吸</w:t>
            </w:r>
            <w:r>
              <w:rPr>
                <w:spacing w:val="8"/>
              </w:rPr>
              <w:t>收分光</w:t>
            </w:r>
          </w:p>
          <w:p>
            <w:pPr>
              <w:pStyle w:val="TableText"/>
              <w:ind w:left="2062"/>
              <w:spacing w:before="63" w:line="232" w:lineRule="auto"/>
              <w:rPr>
                <w:rFonts w:ascii="Times New Roman" w:hAnsi="Times New Roman" w:eastAsia="Times New Roman" w:cs="Times New Roman"/>
              </w:rPr>
            </w:pPr>
            <w:r>
              <w:rPr>
                <w:spacing w:val="5"/>
              </w:rPr>
              <w:t>光度法</w:t>
            </w:r>
            <w:r>
              <w:rPr>
                <w:spacing w:val="5"/>
              </w:rPr>
              <w:t xml:space="preserve"> </w:t>
            </w:r>
            <w:r>
              <w:rPr>
                <w:rFonts w:ascii="Times New Roman" w:hAnsi="Times New Roman" w:eastAsia="Times New Roman" w:cs="Times New Roman"/>
              </w:rPr>
              <w:t>HJ</w:t>
            </w:r>
            <w:r>
              <w:rPr>
                <w:rFonts w:ascii="Times New Roman" w:hAnsi="Times New Roman" w:eastAsia="Times New Roman" w:cs="Times New Roman"/>
                <w:spacing w:val="5"/>
              </w:rPr>
              <w:t xml:space="preserve"> 491-2019</w:t>
            </w:r>
          </w:p>
        </w:tc>
        <w:tc>
          <w:tcPr>
            <w:tcW w:w="1357" w:type="dxa"/>
            <w:vAlign w:val="top"/>
          </w:tcPr>
          <w:p>
            <w:pPr>
              <w:ind w:left="379"/>
              <w:spacing w:before="24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rPr>
              <w:t>kg</w:t>
            </w:r>
          </w:p>
        </w:tc>
      </w:tr>
      <w:tr>
        <w:trPr>
          <w:trHeight w:val="628" w:hRule="atLeast"/>
        </w:trPr>
        <w:tc>
          <w:tcPr>
            <w:tcW w:w="714" w:type="dxa"/>
            <w:vAlign w:val="top"/>
          </w:tcPr>
          <w:p>
            <w:pPr>
              <w:ind w:left="310"/>
              <w:spacing w:before="2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965" w:type="dxa"/>
            <w:vAlign w:val="top"/>
          </w:tcPr>
          <w:p>
            <w:pPr>
              <w:pStyle w:val="TableText"/>
              <w:ind w:left="887"/>
              <w:spacing w:before="209" w:line="231" w:lineRule="auto"/>
              <w:rPr/>
            </w:pPr>
            <w:r>
              <w:rPr/>
              <w:t>铅</w:t>
            </w:r>
          </w:p>
        </w:tc>
        <w:tc>
          <w:tcPr>
            <w:tcW w:w="5920" w:type="dxa"/>
            <w:vAlign w:val="top"/>
          </w:tcPr>
          <w:p>
            <w:pPr>
              <w:pStyle w:val="TableText"/>
              <w:ind w:left="140"/>
              <w:spacing w:before="54" w:line="229" w:lineRule="auto"/>
              <w:rPr/>
            </w:pPr>
            <w:r>
              <w:rPr>
                <w:spacing w:val="9"/>
              </w:rPr>
              <w:t>土壤和沉积物</w:t>
            </w:r>
            <w:r>
              <w:rPr>
                <w:spacing w:val="9"/>
              </w:rPr>
              <w:t xml:space="preserve"> </w:t>
            </w:r>
            <w:r>
              <w:rPr>
                <w:spacing w:val="9"/>
              </w:rPr>
              <w:t>铜、锌、铅、镍、铬的测定</w:t>
            </w:r>
            <w:r>
              <w:rPr>
                <w:spacing w:val="9"/>
              </w:rPr>
              <w:t xml:space="preserve"> </w:t>
            </w:r>
            <w:r>
              <w:rPr>
                <w:spacing w:val="9"/>
              </w:rPr>
              <w:t>火焰原子吸</w:t>
            </w:r>
            <w:r>
              <w:rPr>
                <w:spacing w:val="8"/>
              </w:rPr>
              <w:t>收分光</w:t>
            </w:r>
          </w:p>
          <w:p>
            <w:pPr>
              <w:pStyle w:val="TableText"/>
              <w:ind w:left="2062"/>
              <w:spacing w:before="63" w:line="232" w:lineRule="auto"/>
              <w:rPr>
                <w:rFonts w:ascii="Times New Roman" w:hAnsi="Times New Roman" w:eastAsia="Times New Roman" w:cs="Times New Roman"/>
              </w:rPr>
            </w:pPr>
            <w:r>
              <w:rPr>
                <w:spacing w:val="5"/>
              </w:rPr>
              <w:t>光度法</w:t>
            </w:r>
            <w:r>
              <w:rPr>
                <w:spacing w:val="5"/>
              </w:rPr>
              <w:t xml:space="preserve"> </w:t>
            </w:r>
            <w:r>
              <w:rPr>
                <w:rFonts w:ascii="Times New Roman" w:hAnsi="Times New Roman" w:eastAsia="Times New Roman" w:cs="Times New Roman"/>
              </w:rPr>
              <w:t>HJ</w:t>
            </w:r>
            <w:r>
              <w:rPr>
                <w:rFonts w:ascii="Times New Roman" w:hAnsi="Times New Roman" w:eastAsia="Times New Roman" w:cs="Times New Roman"/>
                <w:spacing w:val="5"/>
              </w:rPr>
              <w:t xml:space="preserve"> 491-2019</w:t>
            </w:r>
          </w:p>
        </w:tc>
        <w:tc>
          <w:tcPr>
            <w:tcW w:w="1357" w:type="dxa"/>
            <w:vAlign w:val="top"/>
          </w:tcPr>
          <w:p>
            <w:pPr>
              <w:ind w:left="326"/>
              <w:spacing w:before="24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rPr>
              <w:t>kg</w:t>
            </w:r>
          </w:p>
        </w:tc>
      </w:tr>
      <w:tr>
        <w:trPr>
          <w:trHeight w:val="629" w:hRule="atLeast"/>
        </w:trPr>
        <w:tc>
          <w:tcPr>
            <w:tcW w:w="714" w:type="dxa"/>
            <w:vAlign w:val="top"/>
          </w:tcPr>
          <w:p>
            <w:pPr>
              <w:ind w:left="309"/>
              <w:spacing w:before="24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965" w:type="dxa"/>
            <w:vAlign w:val="top"/>
          </w:tcPr>
          <w:p>
            <w:pPr>
              <w:pStyle w:val="TableText"/>
              <w:ind w:left="791"/>
              <w:spacing w:before="210" w:line="232" w:lineRule="auto"/>
              <w:rPr/>
            </w:pPr>
            <w:r>
              <w:rPr>
                <w:spacing w:val="-3"/>
              </w:rPr>
              <w:t>总汞</w:t>
            </w:r>
          </w:p>
        </w:tc>
        <w:tc>
          <w:tcPr>
            <w:tcW w:w="5920" w:type="dxa"/>
            <w:vAlign w:val="top"/>
          </w:tcPr>
          <w:p>
            <w:pPr>
              <w:pStyle w:val="TableText"/>
              <w:ind w:left="120"/>
              <w:spacing w:before="53" w:line="229" w:lineRule="auto"/>
              <w:rPr/>
            </w:pPr>
            <w:r>
              <w:rPr>
                <w:spacing w:val="3"/>
              </w:rPr>
              <w:t>土壤质量</w:t>
            </w:r>
            <w:r>
              <w:rPr>
                <w:spacing w:val="40"/>
              </w:rPr>
              <w:t xml:space="preserve"> </w:t>
            </w:r>
            <w:r>
              <w:rPr>
                <w:spacing w:val="3"/>
              </w:rPr>
              <w:t>总汞、总砷、总铅的测定</w:t>
            </w:r>
            <w:r>
              <w:rPr>
                <w:spacing w:val="3"/>
              </w:rPr>
              <w:t xml:space="preserve"> </w:t>
            </w:r>
            <w:r>
              <w:rPr>
                <w:spacing w:val="3"/>
              </w:rPr>
              <w:t>原子荧光法</w:t>
            </w:r>
            <w:r>
              <w:rPr>
                <w:spacing w:val="28"/>
              </w:rPr>
              <w:t xml:space="preserve"> </w:t>
            </w:r>
            <w:r>
              <w:rPr>
                <w:spacing w:val="3"/>
              </w:rPr>
              <w:t>第</w:t>
            </w:r>
            <w:r>
              <w:rPr>
                <w:spacing w:val="-21"/>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7"/>
              </w:rPr>
              <w:t xml:space="preserve"> </w:t>
            </w:r>
            <w:r>
              <w:rPr>
                <w:spacing w:val="3"/>
              </w:rPr>
              <w:t>部分：土</w:t>
            </w:r>
          </w:p>
          <w:p>
            <w:pPr>
              <w:pStyle w:val="TableText"/>
              <w:ind w:left="1358"/>
              <w:spacing w:before="64" w:line="231" w:lineRule="auto"/>
              <w:rPr>
                <w:rFonts w:ascii="Times New Roman" w:hAnsi="Times New Roman" w:eastAsia="Times New Roman" w:cs="Times New Roman"/>
              </w:rPr>
            </w:pPr>
            <w:r>
              <w:rPr>
                <w:spacing w:val="5"/>
              </w:rPr>
              <w:t>壤中总汞的测定</w:t>
            </w:r>
            <w:r>
              <w:rPr>
                <w:spacing w:val="-22"/>
              </w:rPr>
              <w:t xml:space="preserve"> </w:t>
            </w:r>
            <w:r>
              <w:rPr>
                <w:rFonts w:ascii="Times New Roman" w:hAnsi="Times New Roman" w:eastAsia="Times New Roman" w:cs="Times New Roman"/>
              </w:rPr>
              <w:t>GB</w:t>
            </w:r>
            <w:r>
              <w:rPr>
                <w:rFonts w:ascii="Times New Roman" w:hAnsi="Times New Roman" w:eastAsia="Times New Roman" w:cs="Times New Roman"/>
                <w:spacing w:val="5"/>
              </w:rPr>
              <w:t>/T 22105.1-2008</w:t>
            </w:r>
          </w:p>
        </w:tc>
        <w:tc>
          <w:tcPr>
            <w:tcW w:w="1357" w:type="dxa"/>
            <w:vAlign w:val="top"/>
          </w:tcPr>
          <w:p>
            <w:pPr>
              <w:ind w:left="180"/>
              <w:spacing w:before="24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0.002</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rPr>
              <w:t>kg</w:t>
            </w:r>
          </w:p>
        </w:tc>
      </w:tr>
      <w:tr>
        <w:trPr>
          <w:trHeight w:val="629" w:hRule="atLeast"/>
        </w:trPr>
        <w:tc>
          <w:tcPr>
            <w:tcW w:w="714" w:type="dxa"/>
            <w:vAlign w:val="top"/>
          </w:tcPr>
          <w:p>
            <w:pPr>
              <w:ind w:left="314"/>
              <w:spacing w:before="2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965" w:type="dxa"/>
            <w:vAlign w:val="top"/>
          </w:tcPr>
          <w:p>
            <w:pPr>
              <w:pStyle w:val="TableText"/>
              <w:ind w:left="889"/>
              <w:spacing w:before="212" w:line="231" w:lineRule="auto"/>
              <w:rPr/>
            </w:pPr>
            <w:r>
              <w:rPr/>
              <w:t>镍</w:t>
            </w:r>
          </w:p>
        </w:tc>
        <w:tc>
          <w:tcPr>
            <w:tcW w:w="5920" w:type="dxa"/>
            <w:vAlign w:val="top"/>
          </w:tcPr>
          <w:p>
            <w:pPr>
              <w:pStyle w:val="TableText"/>
              <w:ind w:left="140"/>
              <w:spacing w:before="56" w:line="229" w:lineRule="auto"/>
              <w:rPr/>
            </w:pPr>
            <w:r>
              <w:rPr>
                <w:spacing w:val="9"/>
              </w:rPr>
              <w:t>土壤和沉积物</w:t>
            </w:r>
            <w:r>
              <w:rPr>
                <w:spacing w:val="9"/>
              </w:rPr>
              <w:t xml:space="preserve"> </w:t>
            </w:r>
            <w:r>
              <w:rPr>
                <w:spacing w:val="9"/>
              </w:rPr>
              <w:t>铜、锌、铅、镍、铬的测定</w:t>
            </w:r>
            <w:r>
              <w:rPr>
                <w:spacing w:val="9"/>
              </w:rPr>
              <w:t xml:space="preserve"> </w:t>
            </w:r>
            <w:r>
              <w:rPr>
                <w:spacing w:val="9"/>
              </w:rPr>
              <w:t>火焰原子吸</w:t>
            </w:r>
            <w:r>
              <w:rPr>
                <w:spacing w:val="8"/>
              </w:rPr>
              <w:t>收分光</w:t>
            </w:r>
          </w:p>
          <w:p>
            <w:pPr>
              <w:pStyle w:val="TableText"/>
              <w:ind w:left="2062"/>
              <w:spacing w:before="63" w:line="231" w:lineRule="auto"/>
              <w:rPr>
                <w:rFonts w:ascii="Times New Roman" w:hAnsi="Times New Roman" w:eastAsia="Times New Roman" w:cs="Times New Roman"/>
              </w:rPr>
            </w:pPr>
            <w:r>
              <w:rPr>
                <w:spacing w:val="5"/>
              </w:rPr>
              <w:t>光度法</w:t>
            </w:r>
            <w:r>
              <w:rPr>
                <w:spacing w:val="5"/>
              </w:rPr>
              <w:t xml:space="preserve"> </w:t>
            </w:r>
            <w:r>
              <w:rPr>
                <w:rFonts w:ascii="Times New Roman" w:hAnsi="Times New Roman" w:eastAsia="Times New Roman" w:cs="Times New Roman"/>
              </w:rPr>
              <w:t>HJ</w:t>
            </w:r>
            <w:r>
              <w:rPr>
                <w:rFonts w:ascii="Times New Roman" w:hAnsi="Times New Roman" w:eastAsia="Times New Roman" w:cs="Times New Roman"/>
                <w:spacing w:val="5"/>
              </w:rPr>
              <w:t xml:space="preserve"> 491-2019</w:t>
            </w:r>
          </w:p>
        </w:tc>
        <w:tc>
          <w:tcPr>
            <w:tcW w:w="1357" w:type="dxa"/>
            <w:vAlign w:val="top"/>
          </w:tcPr>
          <w:p>
            <w:pPr>
              <w:ind w:left="363"/>
              <w:spacing w:before="244"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9"/>
              </w:rPr>
              <w:t>3</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rPr>
              <w:t>kg</w:t>
            </w:r>
          </w:p>
        </w:tc>
      </w:tr>
      <w:tr>
        <w:trPr>
          <w:trHeight w:val="629" w:hRule="atLeast"/>
        </w:trPr>
        <w:tc>
          <w:tcPr>
            <w:tcW w:w="714" w:type="dxa"/>
            <w:vAlign w:val="top"/>
          </w:tcPr>
          <w:p>
            <w:pPr>
              <w:ind w:left="310"/>
              <w:spacing w:before="2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965" w:type="dxa"/>
            <w:vAlign w:val="top"/>
          </w:tcPr>
          <w:p>
            <w:pPr>
              <w:pStyle w:val="TableText"/>
              <w:ind w:left="889"/>
              <w:spacing w:before="211" w:line="230" w:lineRule="auto"/>
              <w:rPr/>
            </w:pPr>
            <w:r>
              <w:rPr/>
              <w:t>铬</w:t>
            </w:r>
          </w:p>
        </w:tc>
        <w:tc>
          <w:tcPr>
            <w:tcW w:w="5920" w:type="dxa"/>
            <w:vAlign w:val="top"/>
          </w:tcPr>
          <w:p>
            <w:pPr>
              <w:pStyle w:val="TableText"/>
              <w:ind w:left="140"/>
              <w:spacing w:before="56" w:line="229" w:lineRule="auto"/>
              <w:rPr/>
            </w:pPr>
            <w:r>
              <w:rPr>
                <w:spacing w:val="9"/>
              </w:rPr>
              <w:t>土壤和沉积物</w:t>
            </w:r>
            <w:r>
              <w:rPr>
                <w:spacing w:val="9"/>
              </w:rPr>
              <w:t xml:space="preserve"> </w:t>
            </w:r>
            <w:r>
              <w:rPr>
                <w:spacing w:val="9"/>
              </w:rPr>
              <w:t>铜、锌、铅、镍、铬的测定</w:t>
            </w:r>
            <w:r>
              <w:rPr>
                <w:spacing w:val="9"/>
              </w:rPr>
              <w:t xml:space="preserve"> </w:t>
            </w:r>
            <w:r>
              <w:rPr>
                <w:spacing w:val="9"/>
              </w:rPr>
              <w:t>火焰原子吸</w:t>
            </w:r>
            <w:r>
              <w:rPr>
                <w:spacing w:val="8"/>
              </w:rPr>
              <w:t>收分光</w:t>
            </w:r>
          </w:p>
          <w:p>
            <w:pPr>
              <w:pStyle w:val="TableText"/>
              <w:ind w:left="2062"/>
              <w:spacing w:before="62" w:line="232" w:lineRule="auto"/>
              <w:rPr>
                <w:rFonts w:ascii="Times New Roman" w:hAnsi="Times New Roman" w:eastAsia="Times New Roman" w:cs="Times New Roman"/>
              </w:rPr>
            </w:pPr>
            <w:r>
              <w:rPr>
                <w:spacing w:val="5"/>
              </w:rPr>
              <w:t>光度法</w:t>
            </w:r>
            <w:r>
              <w:rPr>
                <w:spacing w:val="5"/>
              </w:rPr>
              <w:t xml:space="preserve"> </w:t>
            </w:r>
            <w:r>
              <w:rPr>
                <w:rFonts w:ascii="Times New Roman" w:hAnsi="Times New Roman" w:eastAsia="Times New Roman" w:cs="Times New Roman"/>
              </w:rPr>
              <w:t>HJ</w:t>
            </w:r>
            <w:r>
              <w:rPr>
                <w:rFonts w:ascii="Times New Roman" w:hAnsi="Times New Roman" w:eastAsia="Times New Roman" w:cs="Times New Roman"/>
                <w:spacing w:val="5"/>
              </w:rPr>
              <w:t xml:space="preserve"> 491-2019</w:t>
            </w:r>
          </w:p>
        </w:tc>
        <w:tc>
          <w:tcPr>
            <w:tcW w:w="1357" w:type="dxa"/>
            <w:vAlign w:val="top"/>
          </w:tcPr>
          <w:p>
            <w:pPr>
              <w:ind w:left="358"/>
              <w:spacing w:before="24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2"/>
              </w:rPr>
              <w:t>4</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rPr>
              <w:t>kg</w:t>
            </w:r>
          </w:p>
        </w:tc>
      </w:tr>
      <w:tr>
        <w:trPr>
          <w:trHeight w:val="629" w:hRule="atLeast"/>
        </w:trPr>
        <w:tc>
          <w:tcPr>
            <w:tcW w:w="714" w:type="dxa"/>
            <w:vAlign w:val="top"/>
          </w:tcPr>
          <w:p>
            <w:pPr>
              <w:ind w:left="273"/>
              <w:spacing w:before="2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1965" w:type="dxa"/>
            <w:vAlign w:val="top"/>
          </w:tcPr>
          <w:p>
            <w:pPr>
              <w:ind w:left="881"/>
              <w:spacing w:before="211" w:line="228" w:lineRule="auto"/>
              <w:rPr>
                <w:rFonts w:ascii="SimSun" w:hAnsi="SimSun" w:eastAsia="SimSun" w:cs="SimSun"/>
                <w:sz w:val="20"/>
                <w:szCs w:val="20"/>
              </w:rPr>
            </w:pPr>
            <w:r>
              <w:rPr>
                <w:rFonts w:ascii="SimSun" w:hAnsi="SimSun" w:eastAsia="SimSun" w:cs="SimSun"/>
                <w:sz w:val="20"/>
                <w:szCs w:val="20"/>
                <w:spacing w:val="1"/>
              </w:rPr>
              <w:t>锌</w:t>
            </w:r>
          </w:p>
        </w:tc>
        <w:tc>
          <w:tcPr>
            <w:tcW w:w="5920" w:type="dxa"/>
            <w:vAlign w:val="top"/>
          </w:tcPr>
          <w:p>
            <w:pPr>
              <w:pStyle w:val="TableText"/>
              <w:ind w:left="140"/>
              <w:spacing w:before="55" w:line="229" w:lineRule="auto"/>
              <w:rPr/>
            </w:pPr>
            <w:r>
              <w:rPr>
                <w:spacing w:val="9"/>
              </w:rPr>
              <w:t>土壤和沉积物</w:t>
            </w:r>
            <w:r>
              <w:rPr>
                <w:spacing w:val="9"/>
              </w:rPr>
              <w:t xml:space="preserve"> </w:t>
            </w:r>
            <w:r>
              <w:rPr>
                <w:spacing w:val="9"/>
              </w:rPr>
              <w:t>铜、锌、铅、镍、铬的测定</w:t>
            </w:r>
            <w:r>
              <w:rPr>
                <w:spacing w:val="9"/>
              </w:rPr>
              <w:t xml:space="preserve"> </w:t>
            </w:r>
            <w:r>
              <w:rPr>
                <w:spacing w:val="9"/>
              </w:rPr>
              <w:t>火焰原子吸</w:t>
            </w:r>
            <w:r>
              <w:rPr>
                <w:spacing w:val="8"/>
              </w:rPr>
              <w:t>收分光</w:t>
            </w:r>
          </w:p>
          <w:p>
            <w:pPr>
              <w:pStyle w:val="TableText"/>
              <w:ind w:left="2062"/>
              <w:spacing w:before="63" w:line="232" w:lineRule="auto"/>
              <w:rPr>
                <w:rFonts w:ascii="Times New Roman" w:hAnsi="Times New Roman" w:eastAsia="Times New Roman" w:cs="Times New Roman"/>
              </w:rPr>
            </w:pPr>
            <w:r>
              <w:rPr>
                <w:spacing w:val="5"/>
              </w:rPr>
              <w:t>光度法</w:t>
            </w:r>
            <w:r>
              <w:rPr>
                <w:spacing w:val="5"/>
              </w:rPr>
              <w:t xml:space="preserve"> </w:t>
            </w:r>
            <w:r>
              <w:rPr>
                <w:rFonts w:ascii="Times New Roman" w:hAnsi="Times New Roman" w:eastAsia="Times New Roman" w:cs="Times New Roman"/>
              </w:rPr>
              <w:t>HJ</w:t>
            </w:r>
            <w:r>
              <w:rPr>
                <w:rFonts w:ascii="Times New Roman" w:hAnsi="Times New Roman" w:eastAsia="Times New Roman" w:cs="Times New Roman"/>
                <w:spacing w:val="5"/>
              </w:rPr>
              <w:t xml:space="preserve"> 491-2019</w:t>
            </w:r>
          </w:p>
        </w:tc>
        <w:tc>
          <w:tcPr>
            <w:tcW w:w="1357" w:type="dxa"/>
            <w:vAlign w:val="top"/>
          </w:tcPr>
          <w:p>
            <w:pPr>
              <w:ind w:left="379"/>
              <w:spacing w:before="24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rPr>
              <w:t>kg</w:t>
            </w:r>
          </w:p>
        </w:tc>
      </w:tr>
      <w:tr>
        <w:trPr>
          <w:trHeight w:val="628" w:hRule="atLeast"/>
        </w:trPr>
        <w:tc>
          <w:tcPr>
            <w:tcW w:w="714" w:type="dxa"/>
            <w:vAlign w:val="top"/>
          </w:tcPr>
          <w:p>
            <w:pPr>
              <w:ind w:left="273"/>
              <w:spacing w:before="2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11</w:t>
            </w:r>
          </w:p>
        </w:tc>
        <w:tc>
          <w:tcPr>
            <w:tcW w:w="1965" w:type="dxa"/>
            <w:vAlign w:val="top"/>
          </w:tcPr>
          <w:p>
            <w:pPr>
              <w:pStyle w:val="TableText"/>
              <w:ind w:left="682"/>
              <w:spacing w:before="211" w:line="229" w:lineRule="auto"/>
              <w:rPr/>
            </w:pPr>
            <w:r>
              <w:rPr>
                <w:spacing w:val="3"/>
              </w:rPr>
              <w:t>氟化物</w:t>
            </w:r>
          </w:p>
        </w:tc>
        <w:tc>
          <w:tcPr>
            <w:tcW w:w="5920" w:type="dxa"/>
            <w:vAlign w:val="top"/>
          </w:tcPr>
          <w:p>
            <w:pPr>
              <w:pStyle w:val="TableText"/>
              <w:ind w:left="1083"/>
              <w:spacing w:before="54" w:line="229" w:lineRule="auto"/>
              <w:rPr/>
            </w:pPr>
            <w:r>
              <w:rPr>
                <w:spacing w:val="7"/>
              </w:rPr>
              <w:t>土壤质量</w:t>
            </w:r>
            <w:r>
              <w:rPr>
                <w:spacing w:val="7"/>
              </w:rPr>
              <w:t xml:space="preserve"> </w:t>
            </w:r>
            <w:r>
              <w:rPr>
                <w:spacing w:val="7"/>
              </w:rPr>
              <w:t>氟化物的测定</w:t>
            </w:r>
            <w:r>
              <w:rPr>
                <w:spacing w:val="36"/>
              </w:rPr>
              <w:t xml:space="preserve"> </w:t>
            </w:r>
            <w:r>
              <w:rPr>
                <w:spacing w:val="7"/>
              </w:rPr>
              <w:t>离子选择电极法</w:t>
            </w:r>
          </w:p>
          <w:p>
            <w:pPr>
              <w:ind w:left="2192"/>
              <w:spacing w:before="9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4"/>
              </w:rPr>
              <w:t>/T 22104-2008</w:t>
            </w:r>
          </w:p>
        </w:tc>
        <w:tc>
          <w:tcPr>
            <w:tcW w:w="1357" w:type="dxa"/>
            <w:vAlign w:val="top"/>
          </w:tcPr>
          <w:p>
            <w:pPr>
              <w:ind w:left="247"/>
              <w:spacing w:before="24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12.5</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rPr>
              <w:t>kg</w:t>
            </w:r>
          </w:p>
        </w:tc>
      </w:tr>
      <w:tr>
        <w:trPr>
          <w:trHeight w:val="631" w:hRule="atLeast"/>
        </w:trPr>
        <w:tc>
          <w:tcPr>
            <w:tcW w:w="714" w:type="dxa"/>
            <w:vAlign w:val="top"/>
          </w:tcPr>
          <w:p>
            <w:pPr>
              <w:ind w:left="273"/>
              <w:spacing w:before="2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1965" w:type="dxa"/>
            <w:vAlign w:val="top"/>
          </w:tcPr>
          <w:p>
            <w:pPr>
              <w:pStyle w:val="TableText"/>
              <w:ind w:left="156"/>
              <w:spacing w:before="211" w:line="233" w:lineRule="auto"/>
              <w:rPr/>
            </w:pPr>
            <w:r>
              <w:rPr>
                <w:spacing w:val="4"/>
              </w:rPr>
              <w:t>石油烃（</w:t>
            </w:r>
            <w:r>
              <w:rPr>
                <w:rFonts w:ascii="Times New Roman" w:hAnsi="Times New Roman" w:eastAsia="Times New Roman" w:cs="Times New Roman"/>
                <w:spacing w:val="4"/>
              </w:rPr>
              <w:t>C</w:t>
            </w:r>
            <w:r>
              <w:rPr>
                <w:rFonts w:ascii="Times New Roman" w:hAnsi="Times New Roman" w:eastAsia="Times New Roman" w:cs="Times New Roman"/>
                <w:sz w:val="13"/>
                <w:szCs w:val="13"/>
                <w:spacing w:val="4"/>
              </w:rPr>
              <w:t>10</w:t>
            </w:r>
            <w:r>
              <w:rPr>
                <w:rFonts w:ascii="Times New Roman" w:hAnsi="Times New Roman" w:eastAsia="Times New Roman" w:cs="Times New Roman"/>
                <w:spacing w:val="4"/>
              </w:rPr>
              <w:t>-C</w:t>
            </w:r>
            <w:r>
              <w:rPr>
                <w:rFonts w:ascii="Times New Roman" w:hAnsi="Times New Roman" w:eastAsia="Times New Roman" w:cs="Times New Roman"/>
                <w:sz w:val="13"/>
                <w:szCs w:val="13"/>
                <w:spacing w:val="4"/>
                <w:position w:val="-1"/>
              </w:rPr>
              <w:t>40</w:t>
            </w:r>
            <w:r>
              <w:rPr>
                <w:spacing w:val="4"/>
              </w:rPr>
              <w:t>）</w:t>
            </w:r>
          </w:p>
        </w:tc>
        <w:tc>
          <w:tcPr>
            <w:tcW w:w="5920" w:type="dxa"/>
            <w:vAlign w:val="top"/>
          </w:tcPr>
          <w:p>
            <w:pPr>
              <w:pStyle w:val="TableText"/>
              <w:ind w:left="562"/>
              <w:spacing w:before="56" w:line="229" w:lineRule="auto"/>
              <w:rPr/>
            </w:pPr>
            <w:r>
              <w:rPr>
                <w:spacing w:val="6"/>
              </w:rPr>
              <w:t>土壤和沉积物</w:t>
            </w:r>
            <w:r>
              <w:rPr>
                <w:spacing w:val="6"/>
              </w:rPr>
              <w:t xml:space="preserve"> </w:t>
            </w:r>
            <w:r>
              <w:rPr>
                <w:spacing w:val="6"/>
              </w:rPr>
              <w:t>石油烃（</w:t>
            </w:r>
            <w:r>
              <w:rPr>
                <w:rFonts w:ascii="Times New Roman" w:hAnsi="Times New Roman" w:eastAsia="Times New Roman" w:cs="Times New Roman"/>
                <w:spacing w:val="6"/>
              </w:rPr>
              <w:t>C</w:t>
            </w:r>
            <w:r>
              <w:rPr>
                <w:rFonts w:ascii="Times New Roman" w:hAnsi="Times New Roman" w:eastAsia="Times New Roman" w:cs="Times New Roman"/>
                <w:sz w:val="13"/>
                <w:szCs w:val="13"/>
                <w:spacing w:val="6"/>
              </w:rPr>
              <w:t>10</w:t>
            </w:r>
            <w:r>
              <w:rPr>
                <w:rFonts w:ascii="Times New Roman" w:hAnsi="Times New Roman" w:eastAsia="Times New Roman" w:cs="Times New Roman"/>
                <w:spacing w:val="6"/>
              </w:rPr>
              <w:t>-C</w:t>
            </w:r>
            <w:r>
              <w:rPr>
                <w:rFonts w:ascii="Times New Roman" w:hAnsi="Times New Roman" w:eastAsia="Times New Roman" w:cs="Times New Roman"/>
                <w:sz w:val="13"/>
                <w:szCs w:val="13"/>
                <w:spacing w:val="6"/>
                <w:position w:val="-1"/>
              </w:rPr>
              <w:t>40 </w:t>
            </w:r>
            <w:r>
              <w:rPr>
                <w:spacing w:val="6"/>
              </w:rPr>
              <w:t>）的测定</w:t>
            </w:r>
            <w:r>
              <w:rPr>
                <w:spacing w:val="6"/>
              </w:rPr>
              <w:t xml:space="preserve"> </w:t>
            </w:r>
            <w:r>
              <w:rPr>
                <w:spacing w:val="6"/>
              </w:rPr>
              <w:t>气相色谱法</w:t>
            </w:r>
          </w:p>
          <w:p>
            <w:pPr>
              <w:ind w:left="2364"/>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32"/>
                <w:w w:val="101"/>
              </w:rPr>
              <w:t xml:space="preserve"> </w:t>
            </w:r>
            <w:r>
              <w:rPr>
                <w:rFonts w:ascii="Times New Roman" w:hAnsi="Times New Roman" w:eastAsia="Times New Roman" w:cs="Times New Roman"/>
                <w:sz w:val="20"/>
                <w:szCs w:val="20"/>
                <w:spacing w:val="2"/>
              </w:rPr>
              <w:t>1021-2019</w:t>
            </w:r>
          </w:p>
        </w:tc>
        <w:tc>
          <w:tcPr>
            <w:tcW w:w="1357" w:type="dxa"/>
            <w:vAlign w:val="top"/>
          </w:tcPr>
          <w:p>
            <w:pPr>
              <w:ind w:left="363"/>
              <w:spacing w:before="24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9"/>
              </w:rPr>
              <w:t>6</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rPr>
              <w:t>kg</w:t>
            </w:r>
          </w:p>
        </w:tc>
      </w:tr>
    </w:tbl>
    <w:p>
      <w:pPr>
        <w:rPr>
          <w:rFonts w:ascii="Arial"/>
          <w:sz w:val="21"/>
        </w:rPr>
      </w:pPr>
      <w:r/>
    </w:p>
    <w:p>
      <w:pPr>
        <w:sectPr>
          <w:headerReference w:type="default" r:id="rId114"/>
          <w:footerReference w:type="default" r:id="rId134"/>
          <w:pgSz w:w="11906" w:h="16839"/>
          <w:pgMar w:top="1139" w:right="972" w:bottom="1252" w:left="972" w:header="831" w:footer="1090" w:gutter="0"/>
        </w:sectPr>
        <w:rPr>
          <w:rFonts w:ascii="Arial" w:hAnsi="Arial" w:eastAsia="Arial" w:cs="Arial"/>
          <w:sz w:val="21"/>
          <w:szCs w:val="21"/>
        </w:rPr>
      </w:pPr>
    </w:p>
    <w:p>
      <w:pPr>
        <w:spacing w:before="58"/>
        <w:rPr/>
      </w:pPr>
      <w:r/>
    </w:p>
    <w:tbl>
      <w:tblPr>
        <w:tblStyle w:val="TableNormal"/>
        <w:tblW w:w="99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4"/>
        <w:gridCol w:w="1965"/>
        <w:gridCol w:w="5920"/>
        <w:gridCol w:w="1357"/>
      </w:tblGrid>
      <w:tr>
        <w:trPr>
          <w:trHeight w:val="349" w:hRule="atLeast"/>
        </w:trPr>
        <w:tc>
          <w:tcPr>
            <w:tcW w:w="714" w:type="dxa"/>
            <w:vAlign w:val="top"/>
          </w:tcPr>
          <w:p>
            <w:pPr>
              <w:pStyle w:val="TableText"/>
              <w:ind w:left="157"/>
              <w:spacing w:before="70" w:line="231" w:lineRule="auto"/>
              <w:rPr/>
            </w:pPr>
            <w:r>
              <w:rPr>
                <w:b/>
                <w:bCs/>
                <w:spacing w:val="1"/>
              </w:rPr>
              <w:t>序号</w:t>
            </w:r>
          </w:p>
        </w:tc>
        <w:tc>
          <w:tcPr>
            <w:tcW w:w="1965" w:type="dxa"/>
            <w:vAlign w:val="top"/>
          </w:tcPr>
          <w:p>
            <w:pPr>
              <w:pStyle w:val="TableText"/>
              <w:ind w:left="783"/>
              <w:spacing w:before="71" w:line="232" w:lineRule="auto"/>
              <w:rPr/>
            </w:pPr>
            <w:r>
              <w:rPr>
                <w:b/>
                <w:bCs/>
              </w:rPr>
              <w:t>项目</w:t>
            </w:r>
          </w:p>
        </w:tc>
        <w:tc>
          <w:tcPr>
            <w:tcW w:w="5920" w:type="dxa"/>
            <w:vAlign w:val="top"/>
          </w:tcPr>
          <w:p>
            <w:pPr>
              <w:pStyle w:val="TableText"/>
              <w:ind w:left="1920"/>
              <w:spacing w:before="70" w:line="229" w:lineRule="auto"/>
              <w:rPr/>
            </w:pPr>
            <w:r>
              <w:rPr>
                <w:b/>
                <w:bCs/>
                <w:spacing w:val="7"/>
              </w:rPr>
              <w:t>检测分析方法及标准号</w:t>
            </w:r>
          </w:p>
        </w:tc>
        <w:tc>
          <w:tcPr>
            <w:tcW w:w="1357" w:type="dxa"/>
            <w:vAlign w:val="top"/>
          </w:tcPr>
          <w:p>
            <w:pPr>
              <w:pStyle w:val="TableText"/>
              <w:ind w:left="375"/>
              <w:spacing w:before="70" w:line="229" w:lineRule="auto"/>
              <w:rPr/>
            </w:pPr>
            <w:r>
              <w:rPr>
                <w:b/>
                <w:bCs/>
                <w:spacing w:val="3"/>
              </w:rPr>
              <w:t>检出限</w:t>
            </w:r>
          </w:p>
        </w:tc>
      </w:tr>
      <w:tr>
        <w:trPr>
          <w:trHeight w:val="629" w:hRule="atLeast"/>
        </w:trPr>
        <w:tc>
          <w:tcPr>
            <w:tcW w:w="714" w:type="dxa"/>
            <w:vAlign w:val="top"/>
          </w:tcPr>
          <w:p>
            <w:pPr>
              <w:ind w:left="273"/>
              <w:spacing w:before="2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c>
          <w:tcPr>
            <w:tcW w:w="1965" w:type="dxa"/>
            <w:vAlign w:val="top"/>
          </w:tcPr>
          <w:p>
            <w:pPr>
              <w:pStyle w:val="TableText"/>
              <w:ind w:left="596"/>
              <w:spacing w:before="208" w:line="231" w:lineRule="auto"/>
              <w:rPr/>
            </w:pPr>
            <w:r>
              <w:rPr>
                <w:spacing w:val="-1"/>
              </w:rPr>
              <w:t>四氯化碳</w:t>
            </w:r>
          </w:p>
        </w:tc>
        <w:tc>
          <w:tcPr>
            <w:tcW w:w="5920" w:type="dxa"/>
            <w:vAlign w:val="top"/>
          </w:tcPr>
          <w:p>
            <w:pPr>
              <w:pStyle w:val="TableText"/>
              <w:ind w:left="180"/>
              <w:spacing w:before="52" w:line="229" w:lineRule="auto"/>
              <w:rPr/>
            </w:pPr>
            <w:r>
              <w:rPr>
                <w:spacing w:val="7"/>
              </w:rPr>
              <w:t>土壤和沉积物</w:t>
            </w:r>
            <w:r>
              <w:rPr>
                <w:spacing w:val="7"/>
              </w:rPr>
              <w:t xml:space="preserve"> </w:t>
            </w:r>
            <w:r>
              <w:rPr>
                <w:spacing w:val="7"/>
              </w:rPr>
              <w:t>挥发性有机物的测定</w:t>
            </w:r>
            <w:r>
              <w:rPr>
                <w:spacing w:val="49"/>
              </w:rPr>
              <w:t xml:space="preserve"> </w:t>
            </w:r>
            <w:r>
              <w:rPr>
                <w:spacing w:val="7"/>
              </w:rPr>
              <w:t>吹扫捕集</w:t>
            </w:r>
            <w:r>
              <w:rPr>
                <w:rFonts w:ascii="Times New Roman" w:hAnsi="Times New Roman" w:eastAsia="Times New Roman" w:cs="Times New Roman"/>
                <w:spacing w:val="7"/>
              </w:rPr>
              <w:t>/</w:t>
            </w:r>
            <w:r>
              <w:rPr>
                <w:spacing w:val="7"/>
              </w:rPr>
              <w:t>气相色谱</w:t>
            </w:r>
            <w:r>
              <w:rPr>
                <w:rFonts w:ascii="Times New Roman" w:hAnsi="Times New Roman" w:eastAsia="Times New Roman" w:cs="Times New Roman"/>
                <w:spacing w:val="7"/>
              </w:rPr>
              <w:t>-</w:t>
            </w:r>
            <w:r>
              <w:rPr>
                <w:spacing w:val="7"/>
              </w:rPr>
              <w:t>质谱</w:t>
            </w:r>
          </w:p>
          <w:p>
            <w:pPr>
              <w:pStyle w:val="TableText"/>
              <w:ind w:left="2301"/>
              <w:spacing w:before="63" w:line="235" w:lineRule="auto"/>
              <w:rPr>
                <w:rFonts w:ascii="Times New Roman" w:hAnsi="Times New Roman" w:eastAsia="Times New Roman" w:cs="Times New Roman"/>
              </w:rPr>
            </w:pPr>
            <w:r>
              <w:rPr>
                <w:spacing w:val="3"/>
              </w:rPr>
              <w:t>法</w:t>
            </w:r>
            <w:r>
              <w:rPr>
                <w:spacing w:val="-38"/>
              </w:rPr>
              <w:t xml:space="preserve"> </w:t>
            </w:r>
            <w:r>
              <w:rPr>
                <w:rFonts w:ascii="Times New Roman" w:hAnsi="Times New Roman" w:eastAsia="Times New Roman" w:cs="Times New Roman"/>
              </w:rPr>
              <w:t>HJ</w:t>
            </w:r>
            <w:r>
              <w:rPr>
                <w:rFonts w:ascii="Times New Roman" w:hAnsi="Times New Roman" w:eastAsia="Times New Roman" w:cs="Times New Roman"/>
                <w:spacing w:val="3"/>
              </w:rPr>
              <w:t xml:space="preserve"> 605-2011</w:t>
            </w:r>
          </w:p>
        </w:tc>
        <w:tc>
          <w:tcPr>
            <w:tcW w:w="1357" w:type="dxa"/>
            <w:vAlign w:val="top"/>
          </w:tcPr>
          <w:p>
            <w:pPr>
              <w:ind w:left="127"/>
              <w:spacing w:before="24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0.0013</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kg</w:t>
            </w:r>
          </w:p>
        </w:tc>
      </w:tr>
      <w:tr>
        <w:trPr>
          <w:trHeight w:val="629" w:hRule="atLeast"/>
        </w:trPr>
        <w:tc>
          <w:tcPr>
            <w:tcW w:w="714" w:type="dxa"/>
            <w:vAlign w:val="top"/>
          </w:tcPr>
          <w:p>
            <w:pPr>
              <w:ind w:left="273"/>
              <w:spacing w:before="2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14</w:t>
            </w:r>
          </w:p>
        </w:tc>
        <w:tc>
          <w:tcPr>
            <w:tcW w:w="1965" w:type="dxa"/>
            <w:vAlign w:val="top"/>
          </w:tcPr>
          <w:p>
            <w:pPr>
              <w:pStyle w:val="TableText"/>
              <w:ind w:left="786"/>
              <w:spacing w:before="208" w:line="231" w:lineRule="auto"/>
              <w:rPr/>
            </w:pPr>
            <w:r>
              <w:rPr>
                <w:spacing w:val="-1"/>
              </w:rPr>
              <w:t>氯仿</w:t>
            </w:r>
          </w:p>
        </w:tc>
        <w:tc>
          <w:tcPr>
            <w:tcW w:w="5920" w:type="dxa"/>
            <w:vAlign w:val="top"/>
          </w:tcPr>
          <w:p>
            <w:pPr>
              <w:pStyle w:val="TableText"/>
              <w:ind w:left="180"/>
              <w:spacing w:before="52" w:line="229" w:lineRule="auto"/>
              <w:rPr/>
            </w:pPr>
            <w:r>
              <w:rPr>
                <w:spacing w:val="7"/>
              </w:rPr>
              <w:t>土壤和沉积物</w:t>
            </w:r>
            <w:r>
              <w:rPr>
                <w:spacing w:val="7"/>
              </w:rPr>
              <w:t xml:space="preserve"> </w:t>
            </w:r>
            <w:r>
              <w:rPr>
                <w:spacing w:val="7"/>
              </w:rPr>
              <w:t>挥发性有机物的测定</w:t>
            </w:r>
            <w:r>
              <w:rPr>
                <w:spacing w:val="49"/>
              </w:rPr>
              <w:t xml:space="preserve"> </w:t>
            </w:r>
            <w:r>
              <w:rPr>
                <w:spacing w:val="7"/>
              </w:rPr>
              <w:t>吹扫捕集</w:t>
            </w:r>
            <w:r>
              <w:rPr>
                <w:rFonts w:ascii="Times New Roman" w:hAnsi="Times New Roman" w:eastAsia="Times New Roman" w:cs="Times New Roman"/>
                <w:spacing w:val="7"/>
              </w:rPr>
              <w:t>/</w:t>
            </w:r>
            <w:r>
              <w:rPr>
                <w:spacing w:val="7"/>
              </w:rPr>
              <w:t>气相色谱</w:t>
            </w:r>
            <w:r>
              <w:rPr>
                <w:rFonts w:ascii="Times New Roman" w:hAnsi="Times New Roman" w:eastAsia="Times New Roman" w:cs="Times New Roman"/>
                <w:spacing w:val="7"/>
              </w:rPr>
              <w:t>-</w:t>
            </w:r>
            <w:r>
              <w:rPr>
                <w:spacing w:val="7"/>
              </w:rPr>
              <w:t>质谱</w:t>
            </w:r>
          </w:p>
          <w:p>
            <w:pPr>
              <w:pStyle w:val="TableText"/>
              <w:ind w:left="2301"/>
              <w:spacing w:before="64" w:line="235" w:lineRule="auto"/>
              <w:rPr>
                <w:rFonts w:ascii="Times New Roman" w:hAnsi="Times New Roman" w:eastAsia="Times New Roman" w:cs="Times New Roman"/>
              </w:rPr>
            </w:pPr>
            <w:r>
              <w:rPr>
                <w:spacing w:val="3"/>
              </w:rPr>
              <w:t>法</w:t>
            </w:r>
            <w:r>
              <w:rPr>
                <w:spacing w:val="-38"/>
              </w:rPr>
              <w:t xml:space="preserve"> </w:t>
            </w:r>
            <w:r>
              <w:rPr>
                <w:rFonts w:ascii="Times New Roman" w:hAnsi="Times New Roman" w:eastAsia="Times New Roman" w:cs="Times New Roman"/>
              </w:rPr>
              <w:t>HJ</w:t>
            </w:r>
            <w:r>
              <w:rPr>
                <w:rFonts w:ascii="Times New Roman" w:hAnsi="Times New Roman" w:eastAsia="Times New Roman" w:cs="Times New Roman"/>
                <w:spacing w:val="3"/>
              </w:rPr>
              <w:t xml:space="preserve"> 605-2011</w:t>
            </w:r>
          </w:p>
        </w:tc>
        <w:tc>
          <w:tcPr>
            <w:tcW w:w="1357" w:type="dxa"/>
            <w:vAlign w:val="top"/>
          </w:tcPr>
          <w:p>
            <w:pPr>
              <w:ind w:left="127"/>
              <w:spacing w:before="24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0.0011</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kg</w:t>
            </w:r>
          </w:p>
        </w:tc>
      </w:tr>
      <w:tr>
        <w:trPr>
          <w:trHeight w:val="628" w:hRule="atLeast"/>
        </w:trPr>
        <w:tc>
          <w:tcPr>
            <w:tcW w:w="714" w:type="dxa"/>
            <w:vAlign w:val="top"/>
          </w:tcPr>
          <w:p>
            <w:pPr>
              <w:ind w:left="273"/>
              <w:spacing w:before="2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1965" w:type="dxa"/>
            <w:vAlign w:val="top"/>
          </w:tcPr>
          <w:p>
            <w:pPr>
              <w:pStyle w:val="TableText"/>
              <w:ind w:left="681"/>
              <w:spacing w:before="207" w:line="231" w:lineRule="auto"/>
              <w:rPr/>
            </w:pPr>
            <w:r>
              <w:rPr>
                <w:spacing w:val="3"/>
              </w:rPr>
              <w:t>氯甲烷</w:t>
            </w:r>
          </w:p>
        </w:tc>
        <w:tc>
          <w:tcPr>
            <w:tcW w:w="5920" w:type="dxa"/>
            <w:vAlign w:val="top"/>
          </w:tcPr>
          <w:p>
            <w:pPr>
              <w:pStyle w:val="TableText"/>
              <w:ind w:left="180"/>
              <w:spacing w:before="51" w:line="229" w:lineRule="auto"/>
              <w:rPr/>
            </w:pPr>
            <w:r>
              <w:rPr>
                <w:spacing w:val="7"/>
              </w:rPr>
              <w:t>土壤和沉积物</w:t>
            </w:r>
            <w:r>
              <w:rPr>
                <w:spacing w:val="7"/>
              </w:rPr>
              <w:t xml:space="preserve"> </w:t>
            </w:r>
            <w:r>
              <w:rPr>
                <w:spacing w:val="7"/>
              </w:rPr>
              <w:t>挥发性有机物的测定</w:t>
            </w:r>
            <w:r>
              <w:rPr>
                <w:spacing w:val="49"/>
              </w:rPr>
              <w:t xml:space="preserve"> </w:t>
            </w:r>
            <w:r>
              <w:rPr>
                <w:spacing w:val="7"/>
              </w:rPr>
              <w:t>吹扫捕集</w:t>
            </w:r>
            <w:r>
              <w:rPr>
                <w:rFonts w:ascii="Times New Roman" w:hAnsi="Times New Roman" w:eastAsia="Times New Roman" w:cs="Times New Roman"/>
                <w:spacing w:val="7"/>
              </w:rPr>
              <w:t>/</w:t>
            </w:r>
            <w:r>
              <w:rPr>
                <w:spacing w:val="7"/>
              </w:rPr>
              <w:t>气相色谱</w:t>
            </w:r>
            <w:r>
              <w:rPr>
                <w:rFonts w:ascii="Times New Roman" w:hAnsi="Times New Roman" w:eastAsia="Times New Roman" w:cs="Times New Roman"/>
                <w:spacing w:val="7"/>
              </w:rPr>
              <w:t>-</w:t>
            </w:r>
            <w:r>
              <w:rPr>
                <w:spacing w:val="7"/>
              </w:rPr>
              <w:t>质谱</w:t>
            </w:r>
          </w:p>
          <w:p>
            <w:pPr>
              <w:pStyle w:val="TableText"/>
              <w:ind w:left="2301"/>
              <w:spacing w:before="64" w:line="234" w:lineRule="auto"/>
              <w:rPr>
                <w:rFonts w:ascii="Times New Roman" w:hAnsi="Times New Roman" w:eastAsia="Times New Roman" w:cs="Times New Roman"/>
              </w:rPr>
            </w:pPr>
            <w:r>
              <w:rPr>
                <w:spacing w:val="3"/>
              </w:rPr>
              <w:t>法</w:t>
            </w:r>
            <w:r>
              <w:rPr>
                <w:spacing w:val="-38"/>
              </w:rPr>
              <w:t xml:space="preserve"> </w:t>
            </w:r>
            <w:r>
              <w:rPr>
                <w:rFonts w:ascii="Times New Roman" w:hAnsi="Times New Roman" w:eastAsia="Times New Roman" w:cs="Times New Roman"/>
              </w:rPr>
              <w:t>HJ</w:t>
            </w:r>
            <w:r>
              <w:rPr>
                <w:rFonts w:ascii="Times New Roman" w:hAnsi="Times New Roman" w:eastAsia="Times New Roman" w:cs="Times New Roman"/>
                <w:spacing w:val="3"/>
              </w:rPr>
              <w:t xml:space="preserve"> 605-2011</w:t>
            </w:r>
          </w:p>
        </w:tc>
        <w:tc>
          <w:tcPr>
            <w:tcW w:w="1357" w:type="dxa"/>
            <w:vAlign w:val="top"/>
          </w:tcPr>
          <w:p>
            <w:pPr>
              <w:ind w:left="127"/>
              <w:spacing w:before="24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0.0010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kg</w:t>
            </w:r>
          </w:p>
        </w:tc>
      </w:tr>
      <w:tr>
        <w:trPr>
          <w:trHeight w:val="629" w:hRule="atLeast"/>
        </w:trPr>
        <w:tc>
          <w:tcPr>
            <w:tcW w:w="714" w:type="dxa"/>
            <w:vAlign w:val="top"/>
          </w:tcPr>
          <w:p>
            <w:pPr>
              <w:ind w:left="273"/>
              <w:spacing w:before="2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16</w:t>
            </w:r>
          </w:p>
        </w:tc>
        <w:tc>
          <w:tcPr>
            <w:tcW w:w="1965" w:type="dxa"/>
            <w:vAlign w:val="top"/>
          </w:tcPr>
          <w:p>
            <w:pPr>
              <w:pStyle w:val="TableText"/>
              <w:ind w:left="416"/>
              <w:spacing w:before="208" w:line="221" w:lineRule="auto"/>
              <w:rPr/>
            </w:pPr>
            <w:r>
              <w:rPr>
                <w:rFonts w:ascii="Times New Roman" w:hAnsi="Times New Roman" w:eastAsia="Times New Roman" w:cs="Times New Roman"/>
              </w:rPr>
              <w:t>1,</w:t>
            </w:r>
            <w:r>
              <w:rPr>
                <w:rFonts w:ascii="Times New Roman" w:hAnsi="Times New Roman" w:eastAsia="Times New Roman" w:cs="Times New Roman"/>
                <w:spacing w:val="-21"/>
              </w:rPr>
              <w:t xml:space="preserve"> </w:t>
            </w:r>
            <w:r>
              <w:rPr>
                <w:rFonts w:ascii="Times New Roman" w:hAnsi="Times New Roman" w:eastAsia="Times New Roman" w:cs="Times New Roman"/>
              </w:rPr>
              <w:t>1-</w:t>
            </w:r>
            <w:r>
              <w:rPr/>
              <w:t>二氯乙烷</w:t>
            </w:r>
          </w:p>
        </w:tc>
        <w:tc>
          <w:tcPr>
            <w:tcW w:w="5920" w:type="dxa"/>
            <w:vAlign w:val="top"/>
          </w:tcPr>
          <w:p>
            <w:pPr>
              <w:pStyle w:val="TableText"/>
              <w:ind w:left="180"/>
              <w:spacing w:before="52" w:line="229" w:lineRule="auto"/>
              <w:rPr/>
            </w:pPr>
            <w:r>
              <w:rPr>
                <w:spacing w:val="7"/>
              </w:rPr>
              <w:t>土壤和沉积物</w:t>
            </w:r>
            <w:r>
              <w:rPr>
                <w:spacing w:val="7"/>
              </w:rPr>
              <w:t xml:space="preserve"> </w:t>
            </w:r>
            <w:r>
              <w:rPr>
                <w:spacing w:val="7"/>
              </w:rPr>
              <w:t>挥发性有机物的测定</w:t>
            </w:r>
            <w:r>
              <w:rPr>
                <w:spacing w:val="49"/>
              </w:rPr>
              <w:t xml:space="preserve"> </w:t>
            </w:r>
            <w:r>
              <w:rPr>
                <w:spacing w:val="7"/>
              </w:rPr>
              <w:t>吹扫捕集</w:t>
            </w:r>
            <w:r>
              <w:rPr>
                <w:rFonts w:ascii="Times New Roman" w:hAnsi="Times New Roman" w:eastAsia="Times New Roman" w:cs="Times New Roman"/>
                <w:spacing w:val="7"/>
              </w:rPr>
              <w:t>/</w:t>
            </w:r>
            <w:r>
              <w:rPr>
                <w:spacing w:val="7"/>
              </w:rPr>
              <w:t>气相色谱</w:t>
            </w:r>
            <w:r>
              <w:rPr>
                <w:rFonts w:ascii="Times New Roman" w:hAnsi="Times New Roman" w:eastAsia="Times New Roman" w:cs="Times New Roman"/>
                <w:spacing w:val="7"/>
              </w:rPr>
              <w:t>-</w:t>
            </w:r>
            <w:r>
              <w:rPr>
                <w:spacing w:val="7"/>
              </w:rPr>
              <w:t>质谱</w:t>
            </w:r>
          </w:p>
          <w:p>
            <w:pPr>
              <w:pStyle w:val="TableText"/>
              <w:ind w:left="2301"/>
              <w:spacing w:before="64" w:line="235" w:lineRule="auto"/>
              <w:rPr>
                <w:rFonts w:ascii="Times New Roman" w:hAnsi="Times New Roman" w:eastAsia="Times New Roman" w:cs="Times New Roman"/>
              </w:rPr>
            </w:pPr>
            <w:r>
              <w:rPr>
                <w:spacing w:val="3"/>
              </w:rPr>
              <w:t>法</w:t>
            </w:r>
            <w:r>
              <w:rPr>
                <w:spacing w:val="-38"/>
              </w:rPr>
              <w:t xml:space="preserve"> </w:t>
            </w:r>
            <w:r>
              <w:rPr>
                <w:rFonts w:ascii="Times New Roman" w:hAnsi="Times New Roman" w:eastAsia="Times New Roman" w:cs="Times New Roman"/>
              </w:rPr>
              <w:t>HJ</w:t>
            </w:r>
            <w:r>
              <w:rPr>
                <w:rFonts w:ascii="Times New Roman" w:hAnsi="Times New Roman" w:eastAsia="Times New Roman" w:cs="Times New Roman"/>
                <w:spacing w:val="3"/>
              </w:rPr>
              <w:t xml:space="preserve"> 605-2011</w:t>
            </w:r>
          </w:p>
        </w:tc>
        <w:tc>
          <w:tcPr>
            <w:tcW w:w="1357" w:type="dxa"/>
            <w:vAlign w:val="top"/>
          </w:tcPr>
          <w:p>
            <w:pPr>
              <w:ind w:left="127"/>
              <w:spacing w:before="24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0.0012</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kg</w:t>
            </w:r>
          </w:p>
        </w:tc>
      </w:tr>
      <w:tr>
        <w:trPr>
          <w:trHeight w:val="628" w:hRule="atLeast"/>
        </w:trPr>
        <w:tc>
          <w:tcPr>
            <w:tcW w:w="714" w:type="dxa"/>
            <w:vAlign w:val="top"/>
          </w:tcPr>
          <w:p>
            <w:pPr>
              <w:ind w:left="273"/>
              <w:spacing w:before="2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17</w:t>
            </w:r>
          </w:p>
        </w:tc>
        <w:tc>
          <w:tcPr>
            <w:tcW w:w="1965" w:type="dxa"/>
            <w:vAlign w:val="top"/>
          </w:tcPr>
          <w:p>
            <w:pPr>
              <w:pStyle w:val="TableText"/>
              <w:ind w:left="416"/>
              <w:spacing w:before="207" w:line="221" w:lineRule="auto"/>
              <w:rPr/>
            </w:pPr>
            <w:r>
              <w:rPr>
                <w:rFonts w:ascii="Times New Roman" w:hAnsi="Times New Roman" w:eastAsia="Times New Roman" w:cs="Times New Roman"/>
                <w:spacing w:val="3"/>
              </w:rPr>
              <w:t>1,2-</w:t>
            </w:r>
            <w:r>
              <w:rPr>
                <w:spacing w:val="3"/>
              </w:rPr>
              <w:t>二氯乙烷</w:t>
            </w:r>
          </w:p>
        </w:tc>
        <w:tc>
          <w:tcPr>
            <w:tcW w:w="5920" w:type="dxa"/>
            <w:vAlign w:val="top"/>
          </w:tcPr>
          <w:p>
            <w:pPr>
              <w:pStyle w:val="TableText"/>
              <w:ind w:left="180"/>
              <w:spacing w:before="51" w:line="229" w:lineRule="auto"/>
              <w:rPr/>
            </w:pPr>
            <w:r>
              <w:rPr>
                <w:spacing w:val="7"/>
              </w:rPr>
              <w:t>土壤和沉积物</w:t>
            </w:r>
            <w:r>
              <w:rPr>
                <w:spacing w:val="7"/>
              </w:rPr>
              <w:t xml:space="preserve"> </w:t>
            </w:r>
            <w:r>
              <w:rPr>
                <w:spacing w:val="7"/>
              </w:rPr>
              <w:t>挥发性有机物的测定</w:t>
            </w:r>
            <w:r>
              <w:rPr>
                <w:spacing w:val="49"/>
              </w:rPr>
              <w:t xml:space="preserve"> </w:t>
            </w:r>
            <w:r>
              <w:rPr>
                <w:spacing w:val="7"/>
              </w:rPr>
              <w:t>吹扫捕集</w:t>
            </w:r>
            <w:r>
              <w:rPr>
                <w:rFonts w:ascii="Times New Roman" w:hAnsi="Times New Roman" w:eastAsia="Times New Roman" w:cs="Times New Roman"/>
                <w:spacing w:val="7"/>
              </w:rPr>
              <w:t>/</w:t>
            </w:r>
            <w:r>
              <w:rPr>
                <w:spacing w:val="7"/>
              </w:rPr>
              <w:t>气相色谱</w:t>
            </w:r>
            <w:r>
              <w:rPr>
                <w:rFonts w:ascii="Times New Roman" w:hAnsi="Times New Roman" w:eastAsia="Times New Roman" w:cs="Times New Roman"/>
                <w:spacing w:val="7"/>
              </w:rPr>
              <w:t>-</w:t>
            </w:r>
            <w:r>
              <w:rPr>
                <w:spacing w:val="7"/>
              </w:rPr>
              <w:t>质谱</w:t>
            </w:r>
          </w:p>
          <w:p>
            <w:pPr>
              <w:pStyle w:val="TableText"/>
              <w:ind w:left="2301"/>
              <w:spacing w:before="64" w:line="234" w:lineRule="auto"/>
              <w:rPr>
                <w:rFonts w:ascii="Times New Roman" w:hAnsi="Times New Roman" w:eastAsia="Times New Roman" w:cs="Times New Roman"/>
              </w:rPr>
            </w:pPr>
            <w:r>
              <w:rPr>
                <w:spacing w:val="3"/>
              </w:rPr>
              <w:t>法</w:t>
            </w:r>
            <w:r>
              <w:rPr>
                <w:spacing w:val="-38"/>
              </w:rPr>
              <w:t xml:space="preserve"> </w:t>
            </w:r>
            <w:r>
              <w:rPr>
                <w:rFonts w:ascii="Times New Roman" w:hAnsi="Times New Roman" w:eastAsia="Times New Roman" w:cs="Times New Roman"/>
              </w:rPr>
              <w:t>HJ</w:t>
            </w:r>
            <w:r>
              <w:rPr>
                <w:rFonts w:ascii="Times New Roman" w:hAnsi="Times New Roman" w:eastAsia="Times New Roman" w:cs="Times New Roman"/>
                <w:spacing w:val="3"/>
              </w:rPr>
              <w:t xml:space="preserve"> 605-2011</w:t>
            </w:r>
          </w:p>
        </w:tc>
        <w:tc>
          <w:tcPr>
            <w:tcW w:w="1357" w:type="dxa"/>
            <w:vAlign w:val="top"/>
          </w:tcPr>
          <w:p>
            <w:pPr>
              <w:ind w:left="127"/>
              <w:spacing w:before="24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0.0013</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kg</w:t>
            </w:r>
          </w:p>
        </w:tc>
      </w:tr>
      <w:tr>
        <w:trPr>
          <w:trHeight w:val="629" w:hRule="atLeast"/>
        </w:trPr>
        <w:tc>
          <w:tcPr>
            <w:tcW w:w="714" w:type="dxa"/>
            <w:vAlign w:val="top"/>
          </w:tcPr>
          <w:p>
            <w:pPr>
              <w:ind w:left="273"/>
              <w:spacing w:before="2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18</w:t>
            </w:r>
          </w:p>
        </w:tc>
        <w:tc>
          <w:tcPr>
            <w:tcW w:w="1965" w:type="dxa"/>
            <w:vAlign w:val="top"/>
          </w:tcPr>
          <w:p>
            <w:pPr>
              <w:pStyle w:val="TableText"/>
              <w:ind w:left="416"/>
              <w:spacing w:before="210" w:line="221" w:lineRule="auto"/>
              <w:rPr/>
            </w:pPr>
            <w:r>
              <w:rPr>
                <w:rFonts w:ascii="Times New Roman" w:hAnsi="Times New Roman" w:eastAsia="Times New Roman" w:cs="Times New Roman"/>
              </w:rPr>
              <w:t>1,</w:t>
            </w:r>
            <w:r>
              <w:rPr>
                <w:rFonts w:ascii="Times New Roman" w:hAnsi="Times New Roman" w:eastAsia="Times New Roman" w:cs="Times New Roman"/>
                <w:spacing w:val="-21"/>
              </w:rPr>
              <w:t xml:space="preserve"> </w:t>
            </w:r>
            <w:r>
              <w:rPr>
                <w:rFonts w:ascii="Times New Roman" w:hAnsi="Times New Roman" w:eastAsia="Times New Roman" w:cs="Times New Roman"/>
              </w:rPr>
              <w:t>1-</w:t>
            </w:r>
            <w:r>
              <w:rPr/>
              <w:t>二氯乙烯</w:t>
            </w:r>
          </w:p>
        </w:tc>
        <w:tc>
          <w:tcPr>
            <w:tcW w:w="5920" w:type="dxa"/>
            <w:vAlign w:val="top"/>
          </w:tcPr>
          <w:p>
            <w:pPr>
              <w:pStyle w:val="TableText"/>
              <w:ind w:left="180"/>
              <w:spacing w:before="54" w:line="229" w:lineRule="auto"/>
              <w:rPr/>
            </w:pPr>
            <w:r>
              <w:rPr>
                <w:spacing w:val="7"/>
              </w:rPr>
              <w:t>土壤和沉积物</w:t>
            </w:r>
            <w:r>
              <w:rPr>
                <w:spacing w:val="7"/>
              </w:rPr>
              <w:t xml:space="preserve"> </w:t>
            </w:r>
            <w:r>
              <w:rPr>
                <w:spacing w:val="7"/>
              </w:rPr>
              <w:t>挥发性有机物的测定</w:t>
            </w:r>
            <w:r>
              <w:rPr>
                <w:spacing w:val="49"/>
              </w:rPr>
              <w:t xml:space="preserve"> </w:t>
            </w:r>
            <w:r>
              <w:rPr>
                <w:spacing w:val="7"/>
              </w:rPr>
              <w:t>吹扫捕集</w:t>
            </w:r>
            <w:r>
              <w:rPr>
                <w:rFonts w:ascii="Times New Roman" w:hAnsi="Times New Roman" w:eastAsia="Times New Roman" w:cs="Times New Roman"/>
                <w:spacing w:val="7"/>
              </w:rPr>
              <w:t>/</w:t>
            </w:r>
            <w:r>
              <w:rPr>
                <w:spacing w:val="7"/>
              </w:rPr>
              <w:t>气相色谱</w:t>
            </w:r>
            <w:r>
              <w:rPr>
                <w:rFonts w:ascii="Times New Roman" w:hAnsi="Times New Roman" w:eastAsia="Times New Roman" w:cs="Times New Roman"/>
                <w:spacing w:val="7"/>
              </w:rPr>
              <w:t>-</w:t>
            </w:r>
            <w:r>
              <w:rPr>
                <w:spacing w:val="7"/>
              </w:rPr>
              <w:t>质谱</w:t>
            </w:r>
          </w:p>
          <w:p>
            <w:pPr>
              <w:pStyle w:val="TableText"/>
              <w:ind w:left="2301"/>
              <w:spacing w:before="64" w:line="232" w:lineRule="auto"/>
              <w:rPr>
                <w:rFonts w:ascii="Times New Roman" w:hAnsi="Times New Roman" w:eastAsia="Times New Roman" w:cs="Times New Roman"/>
              </w:rPr>
            </w:pPr>
            <w:r>
              <w:rPr>
                <w:spacing w:val="3"/>
              </w:rPr>
              <w:t>法</w:t>
            </w:r>
            <w:r>
              <w:rPr>
                <w:spacing w:val="-38"/>
              </w:rPr>
              <w:t xml:space="preserve"> </w:t>
            </w:r>
            <w:r>
              <w:rPr>
                <w:rFonts w:ascii="Times New Roman" w:hAnsi="Times New Roman" w:eastAsia="Times New Roman" w:cs="Times New Roman"/>
              </w:rPr>
              <w:t>HJ</w:t>
            </w:r>
            <w:r>
              <w:rPr>
                <w:rFonts w:ascii="Times New Roman" w:hAnsi="Times New Roman" w:eastAsia="Times New Roman" w:cs="Times New Roman"/>
                <w:spacing w:val="3"/>
              </w:rPr>
              <w:t xml:space="preserve"> 605-2011</w:t>
            </w:r>
          </w:p>
        </w:tc>
        <w:tc>
          <w:tcPr>
            <w:tcW w:w="1357" w:type="dxa"/>
            <w:vAlign w:val="top"/>
          </w:tcPr>
          <w:p>
            <w:pPr>
              <w:ind w:left="127"/>
              <w:spacing w:before="24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0.0010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kg</w:t>
            </w:r>
          </w:p>
        </w:tc>
      </w:tr>
      <w:tr>
        <w:trPr>
          <w:trHeight w:val="629" w:hRule="atLeast"/>
        </w:trPr>
        <w:tc>
          <w:tcPr>
            <w:tcW w:w="714" w:type="dxa"/>
            <w:vAlign w:val="top"/>
          </w:tcPr>
          <w:p>
            <w:pPr>
              <w:ind w:left="273"/>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19</w:t>
            </w:r>
          </w:p>
        </w:tc>
        <w:tc>
          <w:tcPr>
            <w:tcW w:w="1965" w:type="dxa"/>
            <w:vAlign w:val="top"/>
          </w:tcPr>
          <w:p>
            <w:pPr>
              <w:pStyle w:val="TableText"/>
              <w:ind w:left="161"/>
              <w:spacing w:before="210" w:line="221" w:lineRule="auto"/>
              <w:rPr/>
            </w:pPr>
            <w:r>
              <w:rPr>
                <w:spacing w:val="5"/>
              </w:rPr>
              <w:t>顺式</w:t>
            </w:r>
            <w:r>
              <w:rPr>
                <w:rFonts w:ascii="Times New Roman" w:hAnsi="Times New Roman" w:eastAsia="Times New Roman" w:cs="Times New Roman"/>
                <w:spacing w:val="5"/>
              </w:rPr>
              <w:t>-1,2-</w:t>
            </w:r>
            <w:r>
              <w:rPr>
                <w:spacing w:val="5"/>
              </w:rPr>
              <w:t>二氯乙烯</w:t>
            </w:r>
          </w:p>
        </w:tc>
        <w:tc>
          <w:tcPr>
            <w:tcW w:w="5920" w:type="dxa"/>
            <w:vAlign w:val="top"/>
          </w:tcPr>
          <w:p>
            <w:pPr>
              <w:pStyle w:val="TableText"/>
              <w:ind w:left="180"/>
              <w:spacing w:before="54" w:line="229" w:lineRule="auto"/>
              <w:rPr/>
            </w:pPr>
            <w:r>
              <w:rPr>
                <w:spacing w:val="7"/>
              </w:rPr>
              <w:t>土壤和沉积物</w:t>
            </w:r>
            <w:r>
              <w:rPr>
                <w:spacing w:val="7"/>
              </w:rPr>
              <w:t xml:space="preserve"> </w:t>
            </w:r>
            <w:r>
              <w:rPr>
                <w:spacing w:val="7"/>
              </w:rPr>
              <w:t>挥发性有机物的测定</w:t>
            </w:r>
            <w:r>
              <w:rPr>
                <w:spacing w:val="49"/>
              </w:rPr>
              <w:t xml:space="preserve"> </w:t>
            </w:r>
            <w:r>
              <w:rPr>
                <w:spacing w:val="7"/>
              </w:rPr>
              <w:t>吹扫捕集</w:t>
            </w:r>
            <w:r>
              <w:rPr>
                <w:rFonts w:ascii="Times New Roman" w:hAnsi="Times New Roman" w:eastAsia="Times New Roman" w:cs="Times New Roman"/>
                <w:spacing w:val="7"/>
              </w:rPr>
              <w:t>/</w:t>
            </w:r>
            <w:r>
              <w:rPr>
                <w:spacing w:val="7"/>
              </w:rPr>
              <w:t>气相色谱</w:t>
            </w:r>
            <w:r>
              <w:rPr>
                <w:rFonts w:ascii="Times New Roman" w:hAnsi="Times New Roman" w:eastAsia="Times New Roman" w:cs="Times New Roman"/>
                <w:spacing w:val="7"/>
              </w:rPr>
              <w:t>-</w:t>
            </w:r>
            <w:r>
              <w:rPr>
                <w:spacing w:val="7"/>
              </w:rPr>
              <w:t>质谱</w:t>
            </w:r>
          </w:p>
          <w:p>
            <w:pPr>
              <w:pStyle w:val="TableText"/>
              <w:ind w:left="2301"/>
              <w:spacing w:before="64" w:line="233" w:lineRule="auto"/>
              <w:rPr>
                <w:rFonts w:ascii="Times New Roman" w:hAnsi="Times New Roman" w:eastAsia="Times New Roman" w:cs="Times New Roman"/>
              </w:rPr>
            </w:pPr>
            <w:r>
              <w:rPr>
                <w:spacing w:val="3"/>
              </w:rPr>
              <w:t>法</w:t>
            </w:r>
            <w:r>
              <w:rPr>
                <w:spacing w:val="-38"/>
              </w:rPr>
              <w:t xml:space="preserve"> </w:t>
            </w:r>
            <w:r>
              <w:rPr>
                <w:rFonts w:ascii="Times New Roman" w:hAnsi="Times New Roman" w:eastAsia="Times New Roman" w:cs="Times New Roman"/>
              </w:rPr>
              <w:t>HJ</w:t>
            </w:r>
            <w:r>
              <w:rPr>
                <w:rFonts w:ascii="Times New Roman" w:hAnsi="Times New Roman" w:eastAsia="Times New Roman" w:cs="Times New Roman"/>
                <w:spacing w:val="3"/>
              </w:rPr>
              <w:t xml:space="preserve"> 605-2011</w:t>
            </w:r>
          </w:p>
        </w:tc>
        <w:tc>
          <w:tcPr>
            <w:tcW w:w="1357" w:type="dxa"/>
            <w:vAlign w:val="top"/>
          </w:tcPr>
          <w:p>
            <w:pPr>
              <w:ind w:left="127"/>
              <w:spacing w:before="24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0.0013</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kg</w:t>
            </w:r>
          </w:p>
        </w:tc>
      </w:tr>
      <w:tr>
        <w:trPr>
          <w:trHeight w:val="628" w:hRule="atLeast"/>
        </w:trPr>
        <w:tc>
          <w:tcPr>
            <w:tcW w:w="714" w:type="dxa"/>
            <w:vAlign w:val="top"/>
          </w:tcPr>
          <w:p>
            <w:pPr>
              <w:ind w:left="253"/>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965" w:type="dxa"/>
            <w:vAlign w:val="top"/>
          </w:tcPr>
          <w:p>
            <w:pPr>
              <w:pStyle w:val="TableText"/>
              <w:ind w:left="161"/>
              <w:spacing w:before="210" w:line="221" w:lineRule="auto"/>
              <w:rPr/>
            </w:pPr>
            <w:r>
              <w:rPr>
                <w:spacing w:val="5"/>
              </w:rPr>
              <w:t>反式</w:t>
            </w:r>
            <w:r>
              <w:rPr>
                <w:rFonts w:ascii="Times New Roman" w:hAnsi="Times New Roman" w:eastAsia="Times New Roman" w:cs="Times New Roman"/>
                <w:spacing w:val="5"/>
              </w:rPr>
              <w:t>-1,2-</w:t>
            </w:r>
            <w:r>
              <w:rPr>
                <w:spacing w:val="5"/>
              </w:rPr>
              <w:t>二氯乙烯</w:t>
            </w:r>
          </w:p>
        </w:tc>
        <w:tc>
          <w:tcPr>
            <w:tcW w:w="5920" w:type="dxa"/>
            <w:vAlign w:val="top"/>
          </w:tcPr>
          <w:p>
            <w:pPr>
              <w:pStyle w:val="TableText"/>
              <w:ind w:left="180"/>
              <w:spacing w:before="54" w:line="229" w:lineRule="auto"/>
              <w:rPr/>
            </w:pPr>
            <w:r>
              <w:rPr>
                <w:spacing w:val="7"/>
              </w:rPr>
              <w:t>土壤和沉积物</w:t>
            </w:r>
            <w:r>
              <w:rPr>
                <w:spacing w:val="7"/>
              </w:rPr>
              <w:t xml:space="preserve"> </w:t>
            </w:r>
            <w:r>
              <w:rPr>
                <w:spacing w:val="7"/>
              </w:rPr>
              <w:t>挥发性有机物的测定</w:t>
            </w:r>
            <w:r>
              <w:rPr>
                <w:spacing w:val="49"/>
              </w:rPr>
              <w:t xml:space="preserve"> </w:t>
            </w:r>
            <w:r>
              <w:rPr>
                <w:spacing w:val="7"/>
              </w:rPr>
              <w:t>吹扫捕集</w:t>
            </w:r>
            <w:r>
              <w:rPr>
                <w:rFonts w:ascii="Times New Roman" w:hAnsi="Times New Roman" w:eastAsia="Times New Roman" w:cs="Times New Roman"/>
                <w:spacing w:val="7"/>
              </w:rPr>
              <w:t>/</w:t>
            </w:r>
            <w:r>
              <w:rPr>
                <w:spacing w:val="7"/>
              </w:rPr>
              <w:t>气相色谱</w:t>
            </w:r>
            <w:r>
              <w:rPr>
                <w:rFonts w:ascii="Times New Roman" w:hAnsi="Times New Roman" w:eastAsia="Times New Roman" w:cs="Times New Roman"/>
                <w:spacing w:val="7"/>
              </w:rPr>
              <w:t>-</w:t>
            </w:r>
            <w:r>
              <w:rPr>
                <w:spacing w:val="7"/>
              </w:rPr>
              <w:t>质谱</w:t>
            </w:r>
          </w:p>
          <w:p>
            <w:pPr>
              <w:pStyle w:val="TableText"/>
              <w:ind w:left="2301"/>
              <w:spacing w:before="64" w:line="232" w:lineRule="auto"/>
              <w:rPr>
                <w:rFonts w:ascii="Times New Roman" w:hAnsi="Times New Roman" w:eastAsia="Times New Roman" w:cs="Times New Roman"/>
              </w:rPr>
            </w:pPr>
            <w:r>
              <w:rPr>
                <w:spacing w:val="3"/>
              </w:rPr>
              <w:t>法</w:t>
            </w:r>
            <w:r>
              <w:rPr>
                <w:spacing w:val="-38"/>
              </w:rPr>
              <w:t xml:space="preserve"> </w:t>
            </w:r>
            <w:r>
              <w:rPr>
                <w:rFonts w:ascii="Times New Roman" w:hAnsi="Times New Roman" w:eastAsia="Times New Roman" w:cs="Times New Roman"/>
              </w:rPr>
              <w:t>HJ</w:t>
            </w:r>
            <w:r>
              <w:rPr>
                <w:rFonts w:ascii="Times New Roman" w:hAnsi="Times New Roman" w:eastAsia="Times New Roman" w:cs="Times New Roman"/>
                <w:spacing w:val="3"/>
              </w:rPr>
              <w:t xml:space="preserve"> 605-2011</w:t>
            </w:r>
          </w:p>
        </w:tc>
        <w:tc>
          <w:tcPr>
            <w:tcW w:w="1357" w:type="dxa"/>
            <w:vAlign w:val="top"/>
          </w:tcPr>
          <w:p>
            <w:pPr>
              <w:ind w:left="127"/>
              <w:spacing w:before="24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0.0014</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kg</w:t>
            </w:r>
          </w:p>
        </w:tc>
      </w:tr>
      <w:tr>
        <w:trPr>
          <w:trHeight w:val="629" w:hRule="atLeast"/>
        </w:trPr>
        <w:tc>
          <w:tcPr>
            <w:tcW w:w="714" w:type="dxa"/>
            <w:vAlign w:val="top"/>
          </w:tcPr>
          <w:p>
            <w:pPr>
              <w:ind w:left="253"/>
              <w:spacing w:before="2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21</w:t>
            </w:r>
          </w:p>
        </w:tc>
        <w:tc>
          <w:tcPr>
            <w:tcW w:w="1965" w:type="dxa"/>
            <w:vAlign w:val="top"/>
          </w:tcPr>
          <w:p>
            <w:pPr>
              <w:pStyle w:val="TableText"/>
              <w:ind w:left="578"/>
              <w:spacing w:before="210" w:line="231" w:lineRule="auto"/>
              <w:rPr/>
            </w:pPr>
            <w:r>
              <w:rPr>
                <w:spacing w:val="4"/>
              </w:rPr>
              <w:t>二氯甲烷</w:t>
            </w:r>
          </w:p>
        </w:tc>
        <w:tc>
          <w:tcPr>
            <w:tcW w:w="5920" w:type="dxa"/>
            <w:vAlign w:val="top"/>
          </w:tcPr>
          <w:p>
            <w:pPr>
              <w:pStyle w:val="TableText"/>
              <w:ind w:left="180"/>
              <w:spacing w:before="54" w:line="229" w:lineRule="auto"/>
              <w:rPr/>
            </w:pPr>
            <w:r>
              <w:rPr>
                <w:spacing w:val="7"/>
              </w:rPr>
              <w:t>土壤和沉积物</w:t>
            </w:r>
            <w:r>
              <w:rPr>
                <w:spacing w:val="7"/>
              </w:rPr>
              <w:t xml:space="preserve"> </w:t>
            </w:r>
            <w:r>
              <w:rPr>
                <w:spacing w:val="7"/>
              </w:rPr>
              <w:t>挥发性有机物的测定</w:t>
            </w:r>
            <w:r>
              <w:rPr>
                <w:spacing w:val="49"/>
              </w:rPr>
              <w:t xml:space="preserve"> </w:t>
            </w:r>
            <w:r>
              <w:rPr>
                <w:spacing w:val="7"/>
              </w:rPr>
              <w:t>吹扫捕集</w:t>
            </w:r>
            <w:r>
              <w:rPr>
                <w:rFonts w:ascii="Times New Roman" w:hAnsi="Times New Roman" w:eastAsia="Times New Roman" w:cs="Times New Roman"/>
                <w:spacing w:val="7"/>
              </w:rPr>
              <w:t>/</w:t>
            </w:r>
            <w:r>
              <w:rPr>
                <w:spacing w:val="7"/>
              </w:rPr>
              <w:t>气相色谱</w:t>
            </w:r>
            <w:r>
              <w:rPr>
                <w:rFonts w:ascii="Times New Roman" w:hAnsi="Times New Roman" w:eastAsia="Times New Roman" w:cs="Times New Roman"/>
                <w:spacing w:val="7"/>
              </w:rPr>
              <w:t>-</w:t>
            </w:r>
            <w:r>
              <w:rPr>
                <w:spacing w:val="7"/>
              </w:rPr>
              <w:t>质谱</w:t>
            </w:r>
          </w:p>
          <w:p>
            <w:pPr>
              <w:pStyle w:val="TableText"/>
              <w:ind w:left="2301"/>
              <w:spacing w:before="63" w:line="233" w:lineRule="auto"/>
              <w:rPr>
                <w:rFonts w:ascii="Times New Roman" w:hAnsi="Times New Roman" w:eastAsia="Times New Roman" w:cs="Times New Roman"/>
              </w:rPr>
            </w:pPr>
            <w:r>
              <w:rPr>
                <w:spacing w:val="3"/>
              </w:rPr>
              <w:t>法</w:t>
            </w:r>
            <w:r>
              <w:rPr>
                <w:spacing w:val="-38"/>
              </w:rPr>
              <w:t xml:space="preserve"> </w:t>
            </w:r>
            <w:r>
              <w:rPr>
                <w:rFonts w:ascii="Times New Roman" w:hAnsi="Times New Roman" w:eastAsia="Times New Roman" w:cs="Times New Roman"/>
              </w:rPr>
              <w:t>HJ</w:t>
            </w:r>
            <w:r>
              <w:rPr>
                <w:rFonts w:ascii="Times New Roman" w:hAnsi="Times New Roman" w:eastAsia="Times New Roman" w:cs="Times New Roman"/>
                <w:spacing w:val="3"/>
              </w:rPr>
              <w:t xml:space="preserve"> 605-2011</w:t>
            </w:r>
          </w:p>
        </w:tc>
        <w:tc>
          <w:tcPr>
            <w:tcW w:w="1357" w:type="dxa"/>
            <w:vAlign w:val="top"/>
          </w:tcPr>
          <w:p>
            <w:pPr>
              <w:ind w:left="127"/>
              <w:spacing w:before="24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0.0015</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kg</w:t>
            </w:r>
          </w:p>
        </w:tc>
      </w:tr>
      <w:tr>
        <w:trPr>
          <w:trHeight w:val="629" w:hRule="atLeast"/>
        </w:trPr>
        <w:tc>
          <w:tcPr>
            <w:tcW w:w="714" w:type="dxa"/>
            <w:vAlign w:val="top"/>
          </w:tcPr>
          <w:p>
            <w:pPr>
              <w:ind w:left="253"/>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22</w:t>
            </w:r>
          </w:p>
        </w:tc>
        <w:tc>
          <w:tcPr>
            <w:tcW w:w="1965" w:type="dxa"/>
            <w:vAlign w:val="top"/>
          </w:tcPr>
          <w:p>
            <w:pPr>
              <w:pStyle w:val="TableText"/>
              <w:ind w:left="416"/>
              <w:spacing w:before="210" w:line="221" w:lineRule="auto"/>
              <w:rPr/>
            </w:pPr>
            <w:r>
              <w:rPr>
                <w:rFonts w:ascii="Times New Roman" w:hAnsi="Times New Roman" w:eastAsia="Times New Roman" w:cs="Times New Roman"/>
                <w:spacing w:val="3"/>
              </w:rPr>
              <w:t>1,2-</w:t>
            </w:r>
            <w:r>
              <w:rPr>
                <w:spacing w:val="3"/>
              </w:rPr>
              <w:t>二氯丙烷</w:t>
            </w:r>
          </w:p>
        </w:tc>
        <w:tc>
          <w:tcPr>
            <w:tcW w:w="5920" w:type="dxa"/>
            <w:vAlign w:val="top"/>
          </w:tcPr>
          <w:p>
            <w:pPr>
              <w:pStyle w:val="TableText"/>
              <w:ind w:left="180"/>
              <w:spacing w:before="54" w:line="229" w:lineRule="auto"/>
              <w:rPr/>
            </w:pPr>
            <w:r>
              <w:rPr>
                <w:spacing w:val="7"/>
              </w:rPr>
              <w:t>土壤和沉积物</w:t>
            </w:r>
            <w:r>
              <w:rPr>
                <w:spacing w:val="7"/>
              </w:rPr>
              <w:t xml:space="preserve"> </w:t>
            </w:r>
            <w:r>
              <w:rPr>
                <w:spacing w:val="7"/>
              </w:rPr>
              <w:t>挥发性有机物的测定</w:t>
            </w:r>
            <w:r>
              <w:rPr>
                <w:spacing w:val="49"/>
              </w:rPr>
              <w:t xml:space="preserve"> </w:t>
            </w:r>
            <w:r>
              <w:rPr>
                <w:spacing w:val="7"/>
              </w:rPr>
              <w:t>吹扫捕集</w:t>
            </w:r>
            <w:r>
              <w:rPr>
                <w:rFonts w:ascii="Times New Roman" w:hAnsi="Times New Roman" w:eastAsia="Times New Roman" w:cs="Times New Roman"/>
                <w:spacing w:val="7"/>
              </w:rPr>
              <w:t>/</w:t>
            </w:r>
            <w:r>
              <w:rPr>
                <w:spacing w:val="7"/>
              </w:rPr>
              <w:t>气相色谱</w:t>
            </w:r>
            <w:r>
              <w:rPr>
                <w:rFonts w:ascii="Times New Roman" w:hAnsi="Times New Roman" w:eastAsia="Times New Roman" w:cs="Times New Roman"/>
                <w:spacing w:val="7"/>
              </w:rPr>
              <w:t>-</w:t>
            </w:r>
            <w:r>
              <w:rPr>
                <w:spacing w:val="7"/>
              </w:rPr>
              <w:t>质谱</w:t>
            </w:r>
          </w:p>
          <w:p>
            <w:pPr>
              <w:pStyle w:val="TableText"/>
              <w:ind w:left="2301"/>
              <w:spacing w:before="64" w:line="233" w:lineRule="auto"/>
              <w:rPr>
                <w:rFonts w:ascii="Times New Roman" w:hAnsi="Times New Roman" w:eastAsia="Times New Roman" w:cs="Times New Roman"/>
              </w:rPr>
            </w:pPr>
            <w:r>
              <w:rPr>
                <w:spacing w:val="3"/>
              </w:rPr>
              <w:t>法</w:t>
            </w:r>
            <w:r>
              <w:rPr>
                <w:spacing w:val="-38"/>
              </w:rPr>
              <w:t xml:space="preserve"> </w:t>
            </w:r>
            <w:r>
              <w:rPr>
                <w:rFonts w:ascii="Times New Roman" w:hAnsi="Times New Roman" w:eastAsia="Times New Roman" w:cs="Times New Roman"/>
              </w:rPr>
              <w:t>HJ</w:t>
            </w:r>
            <w:r>
              <w:rPr>
                <w:rFonts w:ascii="Times New Roman" w:hAnsi="Times New Roman" w:eastAsia="Times New Roman" w:cs="Times New Roman"/>
                <w:spacing w:val="3"/>
              </w:rPr>
              <w:t xml:space="preserve"> 605-2011</w:t>
            </w:r>
          </w:p>
        </w:tc>
        <w:tc>
          <w:tcPr>
            <w:tcW w:w="1357" w:type="dxa"/>
            <w:vAlign w:val="top"/>
          </w:tcPr>
          <w:p>
            <w:pPr>
              <w:ind w:left="127"/>
              <w:spacing w:before="24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0.0011</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kg</w:t>
            </w:r>
          </w:p>
        </w:tc>
      </w:tr>
      <w:tr>
        <w:trPr>
          <w:trHeight w:val="629" w:hRule="atLeast"/>
        </w:trPr>
        <w:tc>
          <w:tcPr>
            <w:tcW w:w="714" w:type="dxa"/>
            <w:vAlign w:val="top"/>
          </w:tcPr>
          <w:p>
            <w:pPr>
              <w:ind w:left="253"/>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23</w:t>
            </w:r>
          </w:p>
        </w:tc>
        <w:tc>
          <w:tcPr>
            <w:tcW w:w="1965" w:type="dxa"/>
            <w:vAlign w:val="top"/>
          </w:tcPr>
          <w:p>
            <w:pPr>
              <w:pStyle w:val="TableText"/>
              <w:ind w:left="258"/>
              <w:spacing w:before="209" w:line="221" w:lineRule="auto"/>
              <w:rPr/>
            </w:pPr>
            <w:r>
              <w:rPr>
                <w:rFonts w:ascii="Times New Roman" w:hAnsi="Times New Roman" w:eastAsia="Times New Roman" w:cs="Times New Roman"/>
                <w:spacing w:val="-1"/>
              </w:rPr>
              <w:t>1,</w:t>
            </w:r>
            <w:r>
              <w:rPr>
                <w:rFonts w:ascii="Times New Roman" w:hAnsi="Times New Roman" w:eastAsia="Times New Roman" w:cs="Times New Roman"/>
                <w:spacing w:val="-20"/>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1,2-</w:t>
            </w:r>
            <w:r>
              <w:rPr>
                <w:spacing w:val="-1"/>
              </w:rPr>
              <w:t>四氯乙烷</w:t>
            </w:r>
          </w:p>
        </w:tc>
        <w:tc>
          <w:tcPr>
            <w:tcW w:w="5920" w:type="dxa"/>
            <w:vAlign w:val="top"/>
          </w:tcPr>
          <w:p>
            <w:pPr>
              <w:pStyle w:val="TableText"/>
              <w:ind w:left="180"/>
              <w:spacing w:before="53" w:line="229" w:lineRule="auto"/>
              <w:rPr/>
            </w:pPr>
            <w:r>
              <w:rPr>
                <w:spacing w:val="7"/>
              </w:rPr>
              <w:t>土壤和沉积物</w:t>
            </w:r>
            <w:r>
              <w:rPr>
                <w:spacing w:val="7"/>
              </w:rPr>
              <w:t xml:space="preserve"> </w:t>
            </w:r>
            <w:r>
              <w:rPr>
                <w:spacing w:val="7"/>
              </w:rPr>
              <w:t>挥发性有机物的测定</w:t>
            </w:r>
            <w:r>
              <w:rPr>
                <w:spacing w:val="49"/>
              </w:rPr>
              <w:t xml:space="preserve"> </w:t>
            </w:r>
            <w:r>
              <w:rPr>
                <w:spacing w:val="7"/>
              </w:rPr>
              <w:t>吹扫捕集</w:t>
            </w:r>
            <w:r>
              <w:rPr>
                <w:rFonts w:ascii="Times New Roman" w:hAnsi="Times New Roman" w:eastAsia="Times New Roman" w:cs="Times New Roman"/>
                <w:spacing w:val="7"/>
              </w:rPr>
              <w:t>/</w:t>
            </w:r>
            <w:r>
              <w:rPr>
                <w:spacing w:val="7"/>
              </w:rPr>
              <w:t>气相色谱</w:t>
            </w:r>
            <w:r>
              <w:rPr>
                <w:rFonts w:ascii="Times New Roman" w:hAnsi="Times New Roman" w:eastAsia="Times New Roman" w:cs="Times New Roman"/>
                <w:spacing w:val="7"/>
              </w:rPr>
              <w:t>-</w:t>
            </w:r>
            <w:r>
              <w:rPr>
                <w:spacing w:val="7"/>
              </w:rPr>
              <w:t>质谱</w:t>
            </w:r>
          </w:p>
          <w:p>
            <w:pPr>
              <w:pStyle w:val="TableText"/>
              <w:ind w:left="2301"/>
              <w:spacing w:before="64" w:line="233" w:lineRule="auto"/>
              <w:rPr>
                <w:rFonts w:ascii="Times New Roman" w:hAnsi="Times New Roman" w:eastAsia="Times New Roman" w:cs="Times New Roman"/>
              </w:rPr>
            </w:pPr>
            <w:r>
              <w:rPr>
                <w:spacing w:val="3"/>
              </w:rPr>
              <w:t>法</w:t>
            </w:r>
            <w:r>
              <w:rPr>
                <w:spacing w:val="-38"/>
              </w:rPr>
              <w:t xml:space="preserve"> </w:t>
            </w:r>
            <w:r>
              <w:rPr>
                <w:rFonts w:ascii="Times New Roman" w:hAnsi="Times New Roman" w:eastAsia="Times New Roman" w:cs="Times New Roman"/>
              </w:rPr>
              <w:t>HJ</w:t>
            </w:r>
            <w:r>
              <w:rPr>
                <w:rFonts w:ascii="Times New Roman" w:hAnsi="Times New Roman" w:eastAsia="Times New Roman" w:cs="Times New Roman"/>
                <w:spacing w:val="3"/>
              </w:rPr>
              <w:t xml:space="preserve"> 605-2011</w:t>
            </w:r>
          </w:p>
        </w:tc>
        <w:tc>
          <w:tcPr>
            <w:tcW w:w="1357" w:type="dxa"/>
            <w:vAlign w:val="top"/>
          </w:tcPr>
          <w:p>
            <w:pPr>
              <w:ind w:left="127"/>
              <w:spacing w:before="24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0.0012</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kg</w:t>
            </w:r>
          </w:p>
        </w:tc>
      </w:tr>
      <w:tr>
        <w:trPr>
          <w:trHeight w:val="629" w:hRule="atLeast"/>
        </w:trPr>
        <w:tc>
          <w:tcPr>
            <w:tcW w:w="714" w:type="dxa"/>
            <w:vAlign w:val="top"/>
          </w:tcPr>
          <w:p>
            <w:pPr>
              <w:ind w:left="253"/>
              <w:spacing w:before="2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24</w:t>
            </w:r>
          </w:p>
        </w:tc>
        <w:tc>
          <w:tcPr>
            <w:tcW w:w="1965" w:type="dxa"/>
            <w:vAlign w:val="top"/>
          </w:tcPr>
          <w:p>
            <w:pPr>
              <w:pStyle w:val="TableText"/>
              <w:ind w:left="258"/>
              <w:spacing w:before="211" w:line="221" w:lineRule="auto"/>
              <w:rPr/>
            </w:pPr>
            <w:r>
              <w:rPr>
                <w:rFonts w:ascii="Times New Roman" w:hAnsi="Times New Roman" w:eastAsia="Times New Roman" w:cs="Times New Roman"/>
                <w:spacing w:val="1"/>
              </w:rPr>
              <w:t>1,</w:t>
            </w:r>
            <w:r>
              <w:rPr>
                <w:rFonts w:ascii="Times New Roman" w:hAnsi="Times New Roman" w:eastAsia="Times New Roman" w:cs="Times New Roman"/>
                <w:spacing w:val="-19"/>
              </w:rPr>
              <w:t xml:space="preserve"> </w:t>
            </w:r>
            <w:r>
              <w:rPr>
                <w:rFonts w:ascii="Times New Roman" w:hAnsi="Times New Roman" w:eastAsia="Times New Roman" w:cs="Times New Roman"/>
                <w:spacing w:val="1"/>
              </w:rPr>
              <w:t>1,2,2-</w:t>
            </w:r>
            <w:r>
              <w:rPr>
                <w:spacing w:val="1"/>
              </w:rPr>
              <w:t>四氯乙烷</w:t>
            </w:r>
          </w:p>
        </w:tc>
        <w:tc>
          <w:tcPr>
            <w:tcW w:w="5920" w:type="dxa"/>
            <w:vAlign w:val="top"/>
          </w:tcPr>
          <w:p>
            <w:pPr>
              <w:pStyle w:val="TableText"/>
              <w:ind w:left="180"/>
              <w:spacing w:before="55" w:line="229" w:lineRule="auto"/>
              <w:rPr/>
            </w:pPr>
            <w:r>
              <w:rPr>
                <w:spacing w:val="7"/>
              </w:rPr>
              <w:t>土壤和沉积物</w:t>
            </w:r>
            <w:r>
              <w:rPr>
                <w:spacing w:val="7"/>
              </w:rPr>
              <w:t xml:space="preserve"> </w:t>
            </w:r>
            <w:r>
              <w:rPr>
                <w:spacing w:val="7"/>
              </w:rPr>
              <w:t>挥发性有机物的测定</w:t>
            </w:r>
            <w:r>
              <w:rPr>
                <w:spacing w:val="49"/>
              </w:rPr>
              <w:t xml:space="preserve"> </w:t>
            </w:r>
            <w:r>
              <w:rPr>
                <w:spacing w:val="7"/>
              </w:rPr>
              <w:t>吹扫捕集</w:t>
            </w:r>
            <w:r>
              <w:rPr>
                <w:rFonts w:ascii="Times New Roman" w:hAnsi="Times New Roman" w:eastAsia="Times New Roman" w:cs="Times New Roman"/>
                <w:spacing w:val="7"/>
              </w:rPr>
              <w:t>/</w:t>
            </w:r>
            <w:r>
              <w:rPr>
                <w:spacing w:val="7"/>
              </w:rPr>
              <w:t>气相色谱</w:t>
            </w:r>
            <w:r>
              <w:rPr>
                <w:rFonts w:ascii="Times New Roman" w:hAnsi="Times New Roman" w:eastAsia="Times New Roman" w:cs="Times New Roman"/>
                <w:spacing w:val="7"/>
              </w:rPr>
              <w:t>-</w:t>
            </w:r>
            <w:r>
              <w:rPr>
                <w:spacing w:val="7"/>
              </w:rPr>
              <w:t>质谱</w:t>
            </w:r>
          </w:p>
          <w:p>
            <w:pPr>
              <w:pStyle w:val="TableText"/>
              <w:ind w:left="2301"/>
              <w:spacing w:before="64" w:line="231" w:lineRule="auto"/>
              <w:rPr>
                <w:rFonts w:ascii="Times New Roman" w:hAnsi="Times New Roman" w:eastAsia="Times New Roman" w:cs="Times New Roman"/>
              </w:rPr>
            </w:pPr>
            <w:r>
              <w:rPr>
                <w:spacing w:val="3"/>
              </w:rPr>
              <w:t>法</w:t>
            </w:r>
            <w:r>
              <w:rPr>
                <w:spacing w:val="-38"/>
              </w:rPr>
              <w:t xml:space="preserve"> </w:t>
            </w:r>
            <w:r>
              <w:rPr>
                <w:rFonts w:ascii="Times New Roman" w:hAnsi="Times New Roman" w:eastAsia="Times New Roman" w:cs="Times New Roman"/>
              </w:rPr>
              <w:t>HJ</w:t>
            </w:r>
            <w:r>
              <w:rPr>
                <w:rFonts w:ascii="Times New Roman" w:hAnsi="Times New Roman" w:eastAsia="Times New Roman" w:cs="Times New Roman"/>
                <w:spacing w:val="3"/>
              </w:rPr>
              <w:t xml:space="preserve"> 605-2011</w:t>
            </w:r>
          </w:p>
        </w:tc>
        <w:tc>
          <w:tcPr>
            <w:tcW w:w="1357" w:type="dxa"/>
            <w:vAlign w:val="top"/>
          </w:tcPr>
          <w:p>
            <w:pPr>
              <w:ind w:left="127"/>
              <w:spacing w:before="244"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0.0012</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kg</w:t>
            </w:r>
          </w:p>
        </w:tc>
      </w:tr>
      <w:tr>
        <w:trPr>
          <w:trHeight w:val="629" w:hRule="atLeast"/>
        </w:trPr>
        <w:tc>
          <w:tcPr>
            <w:tcW w:w="714" w:type="dxa"/>
            <w:vAlign w:val="top"/>
          </w:tcPr>
          <w:p>
            <w:pPr>
              <w:ind w:left="253"/>
              <w:spacing w:before="2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1965" w:type="dxa"/>
            <w:vAlign w:val="top"/>
          </w:tcPr>
          <w:p>
            <w:pPr>
              <w:pStyle w:val="TableText"/>
              <w:ind w:left="596"/>
              <w:spacing w:before="211" w:line="231" w:lineRule="auto"/>
              <w:rPr/>
            </w:pPr>
            <w:r>
              <w:rPr>
                <w:spacing w:val="-1"/>
              </w:rPr>
              <w:t>四氯乙烯</w:t>
            </w:r>
          </w:p>
        </w:tc>
        <w:tc>
          <w:tcPr>
            <w:tcW w:w="5920" w:type="dxa"/>
            <w:vAlign w:val="top"/>
          </w:tcPr>
          <w:p>
            <w:pPr>
              <w:pStyle w:val="TableText"/>
              <w:ind w:left="180"/>
              <w:spacing w:before="55" w:line="229" w:lineRule="auto"/>
              <w:rPr/>
            </w:pPr>
            <w:r>
              <w:rPr>
                <w:spacing w:val="7"/>
              </w:rPr>
              <w:t>土壤和沉积物</w:t>
            </w:r>
            <w:r>
              <w:rPr>
                <w:spacing w:val="7"/>
              </w:rPr>
              <w:t xml:space="preserve"> </w:t>
            </w:r>
            <w:r>
              <w:rPr>
                <w:spacing w:val="7"/>
              </w:rPr>
              <w:t>挥发性有机物的测定</w:t>
            </w:r>
            <w:r>
              <w:rPr>
                <w:spacing w:val="49"/>
              </w:rPr>
              <w:t xml:space="preserve"> </w:t>
            </w:r>
            <w:r>
              <w:rPr>
                <w:spacing w:val="7"/>
              </w:rPr>
              <w:t>吹扫捕集</w:t>
            </w:r>
            <w:r>
              <w:rPr>
                <w:rFonts w:ascii="Times New Roman" w:hAnsi="Times New Roman" w:eastAsia="Times New Roman" w:cs="Times New Roman"/>
                <w:spacing w:val="7"/>
              </w:rPr>
              <w:t>/</w:t>
            </w:r>
            <w:r>
              <w:rPr>
                <w:spacing w:val="7"/>
              </w:rPr>
              <w:t>气相色谱</w:t>
            </w:r>
            <w:r>
              <w:rPr>
                <w:rFonts w:ascii="Times New Roman" w:hAnsi="Times New Roman" w:eastAsia="Times New Roman" w:cs="Times New Roman"/>
                <w:spacing w:val="7"/>
              </w:rPr>
              <w:t>-</w:t>
            </w:r>
            <w:r>
              <w:rPr>
                <w:spacing w:val="7"/>
              </w:rPr>
              <w:t>质谱</w:t>
            </w:r>
          </w:p>
          <w:p>
            <w:pPr>
              <w:pStyle w:val="TableText"/>
              <w:ind w:left="2301"/>
              <w:spacing w:before="64" w:line="232" w:lineRule="auto"/>
              <w:rPr>
                <w:rFonts w:ascii="Times New Roman" w:hAnsi="Times New Roman" w:eastAsia="Times New Roman" w:cs="Times New Roman"/>
              </w:rPr>
            </w:pPr>
            <w:r>
              <w:rPr>
                <w:spacing w:val="3"/>
              </w:rPr>
              <w:t>法</w:t>
            </w:r>
            <w:r>
              <w:rPr>
                <w:spacing w:val="-38"/>
              </w:rPr>
              <w:t xml:space="preserve"> </w:t>
            </w:r>
            <w:r>
              <w:rPr>
                <w:rFonts w:ascii="Times New Roman" w:hAnsi="Times New Roman" w:eastAsia="Times New Roman" w:cs="Times New Roman"/>
              </w:rPr>
              <w:t>HJ</w:t>
            </w:r>
            <w:r>
              <w:rPr>
                <w:rFonts w:ascii="Times New Roman" w:hAnsi="Times New Roman" w:eastAsia="Times New Roman" w:cs="Times New Roman"/>
                <w:spacing w:val="3"/>
              </w:rPr>
              <w:t xml:space="preserve"> 605-2011</w:t>
            </w:r>
          </w:p>
        </w:tc>
        <w:tc>
          <w:tcPr>
            <w:tcW w:w="1357" w:type="dxa"/>
            <w:vAlign w:val="top"/>
          </w:tcPr>
          <w:p>
            <w:pPr>
              <w:ind w:left="127"/>
              <w:spacing w:before="24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0.0014</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kg</w:t>
            </w:r>
          </w:p>
        </w:tc>
      </w:tr>
      <w:tr>
        <w:trPr>
          <w:trHeight w:val="629" w:hRule="atLeast"/>
        </w:trPr>
        <w:tc>
          <w:tcPr>
            <w:tcW w:w="714" w:type="dxa"/>
            <w:vAlign w:val="top"/>
          </w:tcPr>
          <w:p>
            <w:pPr>
              <w:ind w:left="253"/>
              <w:spacing w:before="2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26</w:t>
            </w:r>
          </w:p>
        </w:tc>
        <w:tc>
          <w:tcPr>
            <w:tcW w:w="1965" w:type="dxa"/>
            <w:vAlign w:val="top"/>
          </w:tcPr>
          <w:p>
            <w:pPr>
              <w:pStyle w:val="TableText"/>
              <w:ind w:left="337"/>
              <w:spacing w:before="211" w:line="221" w:lineRule="auto"/>
              <w:rPr/>
            </w:pPr>
            <w:r>
              <w:rPr>
                <w:rFonts w:ascii="Times New Roman" w:hAnsi="Times New Roman" w:eastAsia="Times New Roman" w:cs="Times New Roman"/>
                <w:spacing w:val="-2"/>
              </w:rPr>
              <w:t>1,</w:t>
            </w:r>
            <w:r>
              <w:rPr>
                <w:rFonts w:ascii="Times New Roman" w:hAnsi="Times New Roman" w:eastAsia="Times New Roman" w:cs="Times New Roman"/>
                <w:spacing w:val="-20"/>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w:t>
            </w:r>
            <w:r>
              <w:rPr>
                <w:spacing w:val="-2"/>
              </w:rPr>
              <w:t>三氯乙烷</w:t>
            </w:r>
          </w:p>
        </w:tc>
        <w:tc>
          <w:tcPr>
            <w:tcW w:w="5920" w:type="dxa"/>
            <w:vAlign w:val="top"/>
          </w:tcPr>
          <w:p>
            <w:pPr>
              <w:pStyle w:val="TableText"/>
              <w:ind w:left="180"/>
              <w:spacing w:before="55" w:line="229" w:lineRule="auto"/>
              <w:rPr/>
            </w:pPr>
            <w:r>
              <w:rPr>
                <w:spacing w:val="7"/>
              </w:rPr>
              <w:t>土壤和沉积物</w:t>
            </w:r>
            <w:r>
              <w:rPr>
                <w:spacing w:val="7"/>
              </w:rPr>
              <w:t xml:space="preserve"> </w:t>
            </w:r>
            <w:r>
              <w:rPr>
                <w:spacing w:val="7"/>
              </w:rPr>
              <w:t>挥发性有机物的测定</w:t>
            </w:r>
            <w:r>
              <w:rPr>
                <w:spacing w:val="49"/>
              </w:rPr>
              <w:t xml:space="preserve"> </w:t>
            </w:r>
            <w:r>
              <w:rPr>
                <w:spacing w:val="7"/>
              </w:rPr>
              <w:t>吹扫捕集</w:t>
            </w:r>
            <w:r>
              <w:rPr>
                <w:rFonts w:ascii="Times New Roman" w:hAnsi="Times New Roman" w:eastAsia="Times New Roman" w:cs="Times New Roman"/>
                <w:spacing w:val="7"/>
              </w:rPr>
              <w:t>/</w:t>
            </w:r>
            <w:r>
              <w:rPr>
                <w:spacing w:val="7"/>
              </w:rPr>
              <w:t>气相色谱</w:t>
            </w:r>
            <w:r>
              <w:rPr>
                <w:rFonts w:ascii="Times New Roman" w:hAnsi="Times New Roman" w:eastAsia="Times New Roman" w:cs="Times New Roman"/>
                <w:spacing w:val="7"/>
              </w:rPr>
              <w:t>-</w:t>
            </w:r>
            <w:r>
              <w:rPr>
                <w:spacing w:val="7"/>
              </w:rPr>
              <w:t>质谱</w:t>
            </w:r>
          </w:p>
          <w:p>
            <w:pPr>
              <w:pStyle w:val="TableText"/>
              <w:ind w:left="2301"/>
              <w:spacing w:before="64" w:line="232" w:lineRule="auto"/>
              <w:rPr>
                <w:rFonts w:ascii="Times New Roman" w:hAnsi="Times New Roman" w:eastAsia="Times New Roman" w:cs="Times New Roman"/>
              </w:rPr>
            </w:pPr>
            <w:r>
              <w:rPr>
                <w:spacing w:val="3"/>
              </w:rPr>
              <w:t>法</w:t>
            </w:r>
            <w:r>
              <w:rPr>
                <w:spacing w:val="-38"/>
              </w:rPr>
              <w:t xml:space="preserve"> </w:t>
            </w:r>
            <w:r>
              <w:rPr>
                <w:rFonts w:ascii="Times New Roman" w:hAnsi="Times New Roman" w:eastAsia="Times New Roman" w:cs="Times New Roman"/>
              </w:rPr>
              <w:t>HJ</w:t>
            </w:r>
            <w:r>
              <w:rPr>
                <w:rFonts w:ascii="Times New Roman" w:hAnsi="Times New Roman" w:eastAsia="Times New Roman" w:cs="Times New Roman"/>
                <w:spacing w:val="3"/>
              </w:rPr>
              <w:t xml:space="preserve"> 605-2011</w:t>
            </w:r>
          </w:p>
        </w:tc>
        <w:tc>
          <w:tcPr>
            <w:tcW w:w="1357" w:type="dxa"/>
            <w:vAlign w:val="top"/>
          </w:tcPr>
          <w:p>
            <w:pPr>
              <w:ind w:left="127"/>
              <w:spacing w:before="24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0.0013</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kg</w:t>
            </w:r>
          </w:p>
        </w:tc>
      </w:tr>
      <w:tr>
        <w:trPr>
          <w:trHeight w:val="629" w:hRule="atLeast"/>
        </w:trPr>
        <w:tc>
          <w:tcPr>
            <w:tcW w:w="714" w:type="dxa"/>
            <w:vAlign w:val="top"/>
          </w:tcPr>
          <w:p>
            <w:pPr>
              <w:ind w:left="253"/>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27</w:t>
            </w:r>
          </w:p>
        </w:tc>
        <w:tc>
          <w:tcPr>
            <w:tcW w:w="1965" w:type="dxa"/>
            <w:vAlign w:val="top"/>
          </w:tcPr>
          <w:p>
            <w:pPr>
              <w:pStyle w:val="TableText"/>
              <w:ind w:left="337"/>
              <w:spacing w:before="210" w:line="221" w:lineRule="auto"/>
              <w:rPr/>
            </w:pP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1,2-</w:t>
            </w:r>
            <w:r>
              <w:rPr>
                <w:spacing w:val="1"/>
              </w:rPr>
              <w:t>三氯乙烷</w:t>
            </w:r>
          </w:p>
        </w:tc>
        <w:tc>
          <w:tcPr>
            <w:tcW w:w="5920" w:type="dxa"/>
            <w:vAlign w:val="top"/>
          </w:tcPr>
          <w:p>
            <w:pPr>
              <w:pStyle w:val="TableText"/>
              <w:ind w:left="180"/>
              <w:spacing w:before="54" w:line="229" w:lineRule="auto"/>
              <w:rPr/>
            </w:pPr>
            <w:r>
              <w:rPr>
                <w:spacing w:val="7"/>
              </w:rPr>
              <w:t>土壤和沉积物</w:t>
            </w:r>
            <w:r>
              <w:rPr>
                <w:spacing w:val="7"/>
              </w:rPr>
              <w:t xml:space="preserve"> </w:t>
            </w:r>
            <w:r>
              <w:rPr>
                <w:spacing w:val="7"/>
              </w:rPr>
              <w:t>挥发性有机物的测定</w:t>
            </w:r>
            <w:r>
              <w:rPr>
                <w:spacing w:val="49"/>
              </w:rPr>
              <w:t xml:space="preserve"> </w:t>
            </w:r>
            <w:r>
              <w:rPr>
                <w:spacing w:val="7"/>
              </w:rPr>
              <w:t>吹扫捕集</w:t>
            </w:r>
            <w:r>
              <w:rPr>
                <w:rFonts w:ascii="Times New Roman" w:hAnsi="Times New Roman" w:eastAsia="Times New Roman" w:cs="Times New Roman"/>
                <w:spacing w:val="7"/>
              </w:rPr>
              <w:t>/</w:t>
            </w:r>
            <w:r>
              <w:rPr>
                <w:spacing w:val="7"/>
              </w:rPr>
              <w:t>气相色谱</w:t>
            </w:r>
            <w:r>
              <w:rPr>
                <w:rFonts w:ascii="Times New Roman" w:hAnsi="Times New Roman" w:eastAsia="Times New Roman" w:cs="Times New Roman"/>
                <w:spacing w:val="7"/>
              </w:rPr>
              <w:t>-</w:t>
            </w:r>
            <w:r>
              <w:rPr>
                <w:spacing w:val="7"/>
              </w:rPr>
              <w:t>质谱</w:t>
            </w:r>
          </w:p>
          <w:p>
            <w:pPr>
              <w:pStyle w:val="TableText"/>
              <w:ind w:left="2301"/>
              <w:spacing w:before="63" w:line="233" w:lineRule="auto"/>
              <w:rPr>
                <w:rFonts w:ascii="Times New Roman" w:hAnsi="Times New Roman" w:eastAsia="Times New Roman" w:cs="Times New Roman"/>
              </w:rPr>
            </w:pPr>
            <w:r>
              <w:rPr>
                <w:spacing w:val="3"/>
              </w:rPr>
              <w:t>法</w:t>
            </w:r>
            <w:r>
              <w:rPr>
                <w:spacing w:val="-38"/>
              </w:rPr>
              <w:t xml:space="preserve"> </w:t>
            </w:r>
            <w:r>
              <w:rPr>
                <w:rFonts w:ascii="Times New Roman" w:hAnsi="Times New Roman" w:eastAsia="Times New Roman" w:cs="Times New Roman"/>
              </w:rPr>
              <w:t>HJ</w:t>
            </w:r>
            <w:r>
              <w:rPr>
                <w:rFonts w:ascii="Times New Roman" w:hAnsi="Times New Roman" w:eastAsia="Times New Roman" w:cs="Times New Roman"/>
                <w:spacing w:val="3"/>
              </w:rPr>
              <w:t xml:space="preserve"> 605-2011</w:t>
            </w:r>
          </w:p>
        </w:tc>
        <w:tc>
          <w:tcPr>
            <w:tcW w:w="1357" w:type="dxa"/>
            <w:vAlign w:val="top"/>
          </w:tcPr>
          <w:p>
            <w:pPr>
              <w:ind w:left="127"/>
              <w:spacing w:before="24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0.0012</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kg</w:t>
            </w:r>
          </w:p>
        </w:tc>
      </w:tr>
      <w:tr>
        <w:trPr>
          <w:trHeight w:val="629" w:hRule="atLeast"/>
        </w:trPr>
        <w:tc>
          <w:tcPr>
            <w:tcW w:w="714" w:type="dxa"/>
            <w:vAlign w:val="top"/>
          </w:tcPr>
          <w:p>
            <w:pPr>
              <w:ind w:left="253"/>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28</w:t>
            </w:r>
          </w:p>
        </w:tc>
        <w:tc>
          <w:tcPr>
            <w:tcW w:w="1965" w:type="dxa"/>
            <w:vAlign w:val="top"/>
          </w:tcPr>
          <w:p>
            <w:pPr>
              <w:pStyle w:val="TableText"/>
              <w:ind w:left="577"/>
              <w:spacing w:before="210" w:line="231" w:lineRule="auto"/>
              <w:rPr/>
            </w:pPr>
            <w:r>
              <w:rPr>
                <w:spacing w:val="4"/>
              </w:rPr>
              <w:t>三氯乙烯</w:t>
            </w:r>
          </w:p>
        </w:tc>
        <w:tc>
          <w:tcPr>
            <w:tcW w:w="5920" w:type="dxa"/>
            <w:vAlign w:val="top"/>
          </w:tcPr>
          <w:p>
            <w:pPr>
              <w:pStyle w:val="TableText"/>
              <w:ind w:left="180"/>
              <w:spacing w:before="54" w:line="229" w:lineRule="auto"/>
              <w:rPr/>
            </w:pPr>
            <w:r>
              <w:rPr>
                <w:spacing w:val="7"/>
              </w:rPr>
              <w:t>土壤和沉积物</w:t>
            </w:r>
            <w:r>
              <w:rPr>
                <w:spacing w:val="7"/>
              </w:rPr>
              <w:t xml:space="preserve"> </w:t>
            </w:r>
            <w:r>
              <w:rPr>
                <w:spacing w:val="7"/>
              </w:rPr>
              <w:t>挥发性有机物的测定</w:t>
            </w:r>
            <w:r>
              <w:rPr>
                <w:spacing w:val="49"/>
              </w:rPr>
              <w:t xml:space="preserve"> </w:t>
            </w:r>
            <w:r>
              <w:rPr>
                <w:spacing w:val="7"/>
              </w:rPr>
              <w:t>吹扫捕集</w:t>
            </w:r>
            <w:r>
              <w:rPr>
                <w:rFonts w:ascii="Times New Roman" w:hAnsi="Times New Roman" w:eastAsia="Times New Roman" w:cs="Times New Roman"/>
                <w:spacing w:val="7"/>
              </w:rPr>
              <w:t>/</w:t>
            </w:r>
            <w:r>
              <w:rPr>
                <w:spacing w:val="7"/>
              </w:rPr>
              <w:t>气相色谱</w:t>
            </w:r>
            <w:r>
              <w:rPr>
                <w:rFonts w:ascii="Times New Roman" w:hAnsi="Times New Roman" w:eastAsia="Times New Roman" w:cs="Times New Roman"/>
                <w:spacing w:val="7"/>
              </w:rPr>
              <w:t>-</w:t>
            </w:r>
            <w:r>
              <w:rPr>
                <w:spacing w:val="7"/>
              </w:rPr>
              <w:t>质谱</w:t>
            </w:r>
          </w:p>
          <w:p>
            <w:pPr>
              <w:pStyle w:val="TableText"/>
              <w:ind w:left="2301"/>
              <w:spacing w:before="64" w:line="233" w:lineRule="auto"/>
              <w:rPr>
                <w:rFonts w:ascii="Times New Roman" w:hAnsi="Times New Roman" w:eastAsia="Times New Roman" w:cs="Times New Roman"/>
              </w:rPr>
            </w:pPr>
            <w:r>
              <w:rPr>
                <w:spacing w:val="3"/>
              </w:rPr>
              <w:t>法</w:t>
            </w:r>
            <w:r>
              <w:rPr>
                <w:spacing w:val="-38"/>
              </w:rPr>
              <w:t xml:space="preserve"> </w:t>
            </w:r>
            <w:r>
              <w:rPr>
                <w:rFonts w:ascii="Times New Roman" w:hAnsi="Times New Roman" w:eastAsia="Times New Roman" w:cs="Times New Roman"/>
              </w:rPr>
              <w:t>HJ</w:t>
            </w:r>
            <w:r>
              <w:rPr>
                <w:rFonts w:ascii="Times New Roman" w:hAnsi="Times New Roman" w:eastAsia="Times New Roman" w:cs="Times New Roman"/>
                <w:spacing w:val="3"/>
              </w:rPr>
              <w:t xml:space="preserve"> 605-2011</w:t>
            </w:r>
          </w:p>
        </w:tc>
        <w:tc>
          <w:tcPr>
            <w:tcW w:w="1357" w:type="dxa"/>
            <w:vAlign w:val="top"/>
          </w:tcPr>
          <w:p>
            <w:pPr>
              <w:ind w:left="127"/>
              <w:spacing w:before="24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0.0012</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kg</w:t>
            </w:r>
          </w:p>
        </w:tc>
      </w:tr>
      <w:tr>
        <w:trPr>
          <w:trHeight w:val="628" w:hRule="atLeast"/>
        </w:trPr>
        <w:tc>
          <w:tcPr>
            <w:tcW w:w="714" w:type="dxa"/>
            <w:vAlign w:val="top"/>
          </w:tcPr>
          <w:p>
            <w:pPr>
              <w:ind w:left="253"/>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29</w:t>
            </w:r>
          </w:p>
        </w:tc>
        <w:tc>
          <w:tcPr>
            <w:tcW w:w="1965" w:type="dxa"/>
            <w:vAlign w:val="top"/>
          </w:tcPr>
          <w:p>
            <w:pPr>
              <w:pStyle w:val="TableText"/>
              <w:ind w:left="337"/>
              <w:spacing w:before="209" w:line="221" w:lineRule="auto"/>
              <w:rPr/>
            </w:pPr>
            <w:r>
              <w:rPr>
                <w:rFonts w:ascii="Times New Roman" w:hAnsi="Times New Roman" w:eastAsia="Times New Roman" w:cs="Times New Roman"/>
                <w:spacing w:val="3"/>
              </w:rPr>
              <w:t>1,2,3-</w:t>
            </w:r>
            <w:r>
              <w:rPr>
                <w:spacing w:val="3"/>
              </w:rPr>
              <w:t>三氯丙烷</w:t>
            </w:r>
          </w:p>
        </w:tc>
        <w:tc>
          <w:tcPr>
            <w:tcW w:w="5920" w:type="dxa"/>
            <w:vAlign w:val="top"/>
          </w:tcPr>
          <w:p>
            <w:pPr>
              <w:pStyle w:val="TableText"/>
              <w:ind w:left="180"/>
              <w:spacing w:before="53" w:line="229" w:lineRule="auto"/>
              <w:rPr/>
            </w:pPr>
            <w:r>
              <w:rPr>
                <w:spacing w:val="7"/>
              </w:rPr>
              <w:t>土壤和沉积物</w:t>
            </w:r>
            <w:r>
              <w:rPr>
                <w:spacing w:val="7"/>
              </w:rPr>
              <w:t xml:space="preserve"> </w:t>
            </w:r>
            <w:r>
              <w:rPr>
                <w:spacing w:val="7"/>
              </w:rPr>
              <w:t>挥发性有机物的测定</w:t>
            </w:r>
            <w:r>
              <w:rPr>
                <w:spacing w:val="49"/>
              </w:rPr>
              <w:t xml:space="preserve"> </w:t>
            </w:r>
            <w:r>
              <w:rPr>
                <w:spacing w:val="7"/>
              </w:rPr>
              <w:t>吹扫捕集</w:t>
            </w:r>
            <w:r>
              <w:rPr>
                <w:rFonts w:ascii="Times New Roman" w:hAnsi="Times New Roman" w:eastAsia="Times New Roman" w:cs="Times New Roman"/>
                <w:spacing w:val="7"/>
              </w:rPr>
              <w:t>/</w:t>
            </w:r>
            <w:r>
              <w:rPr>
                <w:spacing w:val="7"/>
              </w:rPr>
              <w:t>气相色谱</w:t>
            </w:r>
            <w:r>
              <w:rPr>
                <w:rFonts w:ascii="Times New Roman" w:hAnsi="Times New Roman" w:eastAsia="Times New Roman" w:cs="Times New Roman"/>
                <w:spacing w:val="7"/>
              </w:rPr>
              <w:t>-</w:t>
            </w:r>
            <w:r>
              <w:rPr>
                <w:spacing w:val="7"/>
              </w:rPr>
              <w:t>质谱</w:t>
            </w:r>
          </w:p>
          <w:p>
            <w:pPr>
              <w:pStyle w:val="TableText"/>
              <w:ind w:left="2301"/>
              <w:spacing w:before="64" w:line="232" w:lineRule="auto"/>
              <w:rPr>
                <w:rFonts w:ascii="Times New Roman" w:hAnsi="Times New Roman" w:eastAsia="Times New Roman" w:cs="Times New Roman"/>
              </w:rPr>
            </w:pPr>
            <w:r>
              <w:rPr>
                <w:spacing w:val="3"/>
              </w:rPr>
              <w:t>法</w:t>
            </w:r>
            <w:r>
              <w:rPr>
                <w:spacing w:val="-38"/>
              </w:rPr>
              <w:t xml:space="preserve"> </w:t>
            </w:r>
            <w:r>
              <w:rPr>
                <w:rFonts w:ascii="Times New Roman" w:hAnsi="Times New Roman" w:eastAsia="Times New Roman" w:cs="Times New Roman"/>
              </w:rPr>
              <w:t>HJ</w:t>
            </w:r>
            <w:r>
              <w:rPr>
                <w:rFonts w:ascii="Times New Roman" w:hAnsi="Times New Roman" w:eastAsia="Times New Roman" w:cs="Times New Roman"/>
                <w:spacing w:val="3"/>
              </w:rPr>
              <w:t xml:space="preserve"> 605-2011</w:t>
            </w:r>
          </w:p>
        </w:tc>
        <w:tc>
          <w:tcPr>
            <w:tcW w:w="1357" w:type="dxa"/>
            <w:vAlign w:val="top"/>
          </w:tcPr>
          <w:p>
            <w:pPr>
              <w:ind w:left="127"/>
              <w:spacing w:before="24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0.0012</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kg</w:t>
            </w:r>
          </w:p>
        </w:tc>
      </w:tr>
      <w:tr>
        <w:trPr>
          <w:trHeight w:val="629" w:hRule="atLeast"/>
        </w:trPr>
        <w:tc>
          <w:tcPr>
            <w:tcW w:w="714" w:type="dxa"/>
            <w:vAlign w:val="top"/>
          </w:tcPr>
          <w:p>
            <w:pPr>
              <w:ind w:left="257"/>
              <w:spacing w:before="2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965" w:type="dxa"/>
            <w:vAlign w:val="top"/>
          </w:tcPr>
          <w:p>
            <w:pPr>
              <w:pStyle w:val="TableText"/>
              <w:ind w:left="681"/>
              <w:spacing w:before="213" w:line="231" w:lineRule="auto"/>
              <w:rPr/>
            </w:pPr>
            <w:r>
              <w:rPr>
                <w:spacing w:val="3"/>
              </w:rPr>
              <w:t>氯乙烯</w:t>
            </w:r>
          </w:p>
        </w:tc>
        <w:tc>
          <w:tcPr>
            <w:tcW w:w="5920" w:type="dxa"/>
            <w:vAlign w:val="top"/>
          </w:tcPr>
          <w:p>
            <w:pPr>
              <w:pStyle w:val="TableText"/>
              <w:ind w:left="180"/>
              <w:spacing w:before="56" w:line="229" w:lineRule="auto"/>
              <w:rPr/>
            </w:pPr>
            <w:r>
              <w:rPr>
                <w:spacing w:val="7"/>
              </w:rPr>
              <w:t>土壤和沉积物</w:t>
            </w:r>
            <w:r>
              <w:rPr>
                <w:spacing w:val="7"/>
              </w:rPr>
              <w:t xml:space="preserve"> </w:t>
            </w:r>
            <w:r>
              <w:rPr>
                <w:spacing w:val="7"/>
              </w:rPr>
              <w:t>挥发性有机物的测定</w:t>
            </w:r>
            <w:r>
              <w:rPr>
                <w:spacing w:val="49"/>
              </w:rPr>
              <w:t xml:space="preserve"> </w:t>
            </w:r>
            <w:r>
              <w:rPr>
                <w:spacing w:val="7"/>
              </w:rPr>
              <w:t>吹扫捕集</w:t>
            </w:r>
            <w:r>
              <w:rPr>
                <w:rFonts w:ascii="Times New Roman" w:hAnsi="Times New Roman" w:eastAsia="Times New Roman" w:cs="Times New Roman"/>
                <w:spacing w:val="7"/>
              </w:rPr>
              <w:t>/</w:t>
            </w:r>
            <w:r>
              <w:rPr>
                <w:spacing w:val="7"/>
              </w:rPr>
              <w:t>气相色谱</w:t>
            </w:r>
            <w:r>
              <w:rPr>
                <w:rFonts w:ascii="Times New Roman" w:hAnsi="Times New Roman" w:eastAsia="Times New Roman" w:cs="Times New Roman"/>
                <w:spacing w:val="7"/>
              </w:rPr>
              <w:t>-</w:t>
            </w:r>
            <w:r>
              <w:rPr>
                <w:spacing w:val="7"/>
              </w:rPr>
              <w:t>质谱</w:t>
            </w:r>
          </w:p>
          <w:p>
            <w:pPr>
              <w:pStyle w:val="TableText"/>
              <w:ind w:left="2301"/>
              <w:spacing w:before="63" w:line="231" w:lineRule="auto"/>
              <w:rPr>
                <w:rFonts w:ascii="Times New Roman" w:hAnsi="Times New Roman" w:eastAsia="Times New Roman" w:cs="Times New Roman"/>
              </w:rPr>
            </w:pPr>
            <w:r>
              <w:rPr>
                <w:spacing w:val="3"/>
              </w:rPr>
              <w:t>法</w:t>
            </w:r>
            <w:r>
              <w:rPr>
                <w:spacing w:val="-38"/>
              </w:rPr>
              <w:t xml:space="preserve"> </w:t>
            </w:r>
            <w:r>
              <w:rPr>
                <w:rFonts w:ascii="Times New Roman" w:hAnsi="Times New Roman" w:eastAsia="Times New Roman" w:cs="Times New Roman"/>
              </w:rPr>
              <w:t>HJ</w:t>
            </w:r>
            <w:r>
              <w:rPr>
                <w:rFonts w:ascii="Times New Roman" w:hAnsi="Times New Roman" w:eastAsia="Times New Roman" w:cs="Times New Roman"/>
                <w:spacing w:val="3"/>
              </w:rPr>
              <w:t xml:space="preserve"> 605-2011</w:t>
            </w:r>
          </w:p>
        </w:tc>
        <w:tc>
          <w:tcPr>
            <w:tcW w:w="1357" w:type="dxa"/>
            <w:vAlign w:val="top"/>
          </w:tcPr>
          <w:p>
            <w:pPr>
              <w:ind w:left="127"/>
              <w:spacing w:before="245"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0.0010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kg</w:t>
            </w:r>
          </w:p>
        </w:tc>
      </w:tr>
      <w:tr>
        <w:trPr>
          <w:trHeight w:val="629" w:hRule="atLeast"/>
        </w:trPr>
        <w:tc>
          <w:tcPr>
            <w:tcW w:w="714" w:type="dxa"/>
            <w:vAlign w:val="top"/>
          </w:tcPr>
          <w:p>
            <w:pPr>
              <w:ind w:left="257"/>
              <w:spacing w:before="2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1965" w:type="dxa"/>
            <w:vAlign w:val="top"/>
          </w:tcPr>
          <w:p>
            <w:pPr>
              <w:pStyle w:val="TableText"/>
              <w:ind w:left="890"/>
              <w:spacing w:before="212" w:line="226" w:lineRule="auto"/>
              <w:rPr/>
            </w:pPr>
            <w:r>
              <w:rPr/>
              <w:t>苯</w:t>
            </w:r>
          </w:p>
        </w:tc>
        <w:tc>
          <w:tcPr>
            <w:tcW w:w="5920" w:type="dxa"/>
            <w:vAlign w:val="top"/>
          </w:tcPr>
          <w:p>
            <w:pPr>
              <w:pStyle w:val="TableText"/>
              <w:ind w:left="180"/>
              <w:spacing w:before="56" w:line="229" w:lineRule="auto"/>
              <w:rPr/>
            </w:pPr>
            <w:r>
              <w:rPr>
                <w:spacing w:val="7"/>
              </w:rPr>
              <w:t>土壤和沉积物</w:t>
            </w:r>
            <w:r>
              <w:rPr>
                <w:spacing w:val="7"/>
              </w:rPr>
              <w:t xml:space="preserve"> </w:t>
            </w:r>
            <w:r>
              <w:rPr>
                <w:spacing w:val="7"/>
              </w:rPr>
              <w:t>挥发性有机物的测定</w:t>
            </w:r>
            <w:r>
              <w:rPr>
                <w:spacing w:val="49"/>
              </w:rPr>
              <w:t xml:space="preserve"> </w:t>
            </w:r>
            <w:r>
              <w:rPr>
                <w:spacing w:val="7"/>
              </w:rPr>
              <w:t>吹扫捕集</w:t>
            </w:r>
            <w:r>
              <w:rPr>
                <w:rFonts w:ascii="Times New Roman" w:hAnsi="Times New Roman" w:eastAsia="Times New Roman" w:cs="Times New Roman"/>
                <w:spacing w:val="7"/>
              </w:rPr>
              <w:t>/</w:t>
            </w:r>
            <w:r>
              <w:rPr>
                <w:spacing w:val="7"/>
              </w:rPr>
              <w:t>气相色谱</w:t>
            </w:r>
            <w:r>
              <w:rPr>
                <w:rFonts w:ascii="Times New Roman" w:hAnsi="Times New Roman" w:eastAsia="Times New Roman" w:cs="Times New Roman"/>
                <w:spacing w:val="7"/>
              </w:rPr>
              <w:t>-</w:t>
            </w:r>
            <w:r>
              <w:rPr>
                <w:spacing w:val="7"/>
              </w:rPr>
              <w:t>质谱</w:t>
            </w:r>
          </w:p>
          <w:p>
            <w:pPr>
              <w:pStyle w:val="TableText"/>
              <w:ind w:left="2301"/>
              <w:spacing w:before="64" w:line="231" w:lineRule="auto"/>
              <w:rPr>
                <w:rFonts w:ascii="Times New Roman" w:hAnsi="Times New Roman" w:eastAsia="Times New Roman" w:cs="Times New Roman"/>
              </w:rPr>
            </w:pPr>
            <w:r>
              <w:rPr>
                <w:spacing w:val="3"/>
              </w:rPr>
              <w:t>法</w:t>
            </w:r>
            <w:r>
              <w:rPr>
                <w:spacing w:val="-38"/>
              </w:rPr>
              <w:t xml:space="preserve"> </w:t>
            </w:r>
            <w:r>
              <w:rPr>
                <w:rFonts w:ascii="Times New Roman" w:hAnsi="Times New Roman" w:eastAsia="Times New Roman" w:cs="Times New Roman"/>
              </w:rPr>
              <w:t>HJ</w:t>
            </w:r>
            <w:r>
              <w:rPr>
                <w:rFonts w:ascii="Times New Roman" w:hAnsi="Times New Roman" w:eastAsia="Times New Roman" w:cs="Times New Roman"/>
                <w:spacing w:val="3"/>
              </w:rPr>
              <w:t xml:space="preserve"> 605-2011</w:t>
            </w:r>
          </w:p>
        </w:tc>
        <w:tc>
          <w:tcPr>
            <w:tcW w:w="1357" w:type="dxa"/>
            <w:vAlign w:val="top"/>
          </w:tcPr>
          <w:p>
            <w:pPr>
              <w:ind w:left="127"/>
              <w:spacing w:before="244"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0.0019</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kg</w:t>
            </w:r>
          </w:p>
        </w:tc>
      </w:tr>
      <w:tr>
        <w:trPr>
          <w:trHeight w:val="629" w:hRule="atLeast"/>
        </w:trPr>
        <w:tc>
          <w:tcPr>
            <w:tcW w:w="714" w:type="dxa"/>
            <w:vAlign w:val="top"/>
          </w:tcPr>
          <w:p>
            <w:pPr>
              <w:ind w:left="257"/>
              <w:spacing w:before="2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1965" w:type="dxa"/>
            <w:vAlign w:val="top"/>
          </w:tcPr>
          <w:p>
            <w:pPr>
              <w:pStyle w:val="TableText"/>
              <w:ind w:left="786"/>
              <w:spacing w:before="212" w:line="226" w:lineRule="auto"/>
              <w:rPr/>
            </w:pPr>
            <w:r>
              <w:rPr>
                <w:spacing w:val="-1"/>
              </w:rPr>
              <w:t>氯苯</w:t>
            </w:r>
          </w:p>
        </w:tc>
        <w:tc>
          <w:tcPr>
            <w:tcW w:w="5920" w:type="dxa"/>
            <w:vAlign w:val="top"/>
          </w:tcPr>
          <w:p>
            <w:pPr>
              <w:pStyle w:val="TableText"/>
              <w:ind w:left="180"/>
              <w:spacing w:before="56" w:line="229" w:lineRule="auto"/>
              <w:rPr/>
            </w:pPr>
            <w:r>
              <w:rPr>
                <w:spacing w:val="7"/>
              </w:rPr>
              <w:t>土壤和沉积物</w:t>
            </w:r>
            <w:r>
              <w:rPr>
                <w:spacing w:val="7"/>
              </w:rPr>
              <w:t xml:space="preserve"> </w:t>
            </w:r>
            <w:r>
              <w:rPr>
                <w:spacing w:val="7"/>
              </w:rPr>
              <w:t>挥发性有机物的测定</w:t>
            </w:r>
            <w:r>
              <w:rPr>
                <w:spacing w:val="49"/>
              </w:rPr>
              <w:t xml:space="preserve"> </w:t>
            </w:r>
            <w:r>
              <w:rPr>
                <w:spacing w:val="7"/>
              </w:rPr>
              <w:t>吹扫捕集</w:t>
            </w:r>
            <w:r>
              <w:rPr>
                <w:rFonts w:ascii="Times New Roman" w:hAnsi="Times New Roman" w:eastAsia="Times New Roman" w:cs="Times New Roman"/>
                <w:spacing w:val="7"/>
              </w:rPr>
              <w:t>/</w:t>
            </w:r>
            <w:r>
              <w:rPr>
                <w:spacing w:val="7"/>
              </w:rPr>
              <w:t>气相色谱</w:t>
            </w:r>
            <w:r>
              <w:rPr>
                <w:rFonts w:ascii="Times New Roman" w:hAnsi="Times New Roman" w:eastAsia="Times New Roman" w:cs="Times New Roman"/>
                <w:spacing w:val="7"/>
              </w:rPr>
              <w:t>-</w:t>
            </w:r>
            <w:r>
              <w:rPr>
                <w:spacing w:val="7"/>
              </w:rPr>
              <w:t>质谱</w:t>
            </w:r>
          </w:p>
          <w:p>
            <w:pPr>
              <w:pStyle w:val="TableText"/>
              <w:ind w:left="2301"/>
              <w:spacing w:before="64" w:line="231" w:lineRule="auto"/>
              <w:rPr>
                <w:rFonts w:ascii="Times New Roman" w:hAnsi="Times New Roman" w:eastAsia="Times New Roman" w:cs="Times New Roman"/>
              </w:rPr>
            </w:pPr>
            <w:r>
              <w:rPr>
                <w:spacing w:val="3"/>
              </w:rPr>
              <w:t>法</w:t>
            </w:r>
            <w:r>
              <w:rPr>
                <w:spacing w:val="-38"/>
              </w:rPr>
              <w:t xml:space="preserve"> </w:t>
            </w:r>
            <w:r>
              <w:rPr>
                <w:rFonts w:ascii="Times New Roman" w:hAnsi="Times New Roman" w:eastAsia="Times New Roman" w:cs="Times New Roman"/>
              </w:rPr>
              <w:t>HJ</w:t>
            </w:r>
            <w:r>
              <w:rPr>
                <w:rFonts w:ascii="Times New Roman" w:hAnsi="Times New Roman" w:eastAsia="Times New Roman" w:cs="Times New Roman"/>
                <w:spacing w:val="3"/>
              </w:rPr>
              <w:t xml:space="preserve"> 605-2011</w:t>
            </w:r>
          </w:p>
        </w:tc>
        <w:tc>
          <w:tcPr>
            <w:tcW w:w="1357" w:type="dxa"/>
            <w:vAlign w:val="top"/>
          </w:tcPr>
          <w:p>
            <w:pPr>
              <w:ind w:left="127"/>
              <w:spacing w:before="244"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0.0012</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kg</w:t>
            </w:r>
          </w:p>
        </w:tc>
      </w:tr>
      <w:tr>
        <w:trPr>
          <w:trHeight w:val="631" w:hRule="atLeast"/>
        </w:trPr>
        <w:tc>
          <w:tcPr>
            <w:tcW w:w="714" w:type="dxa"/>
            <w:vAlign w:val="top"/>
          </w:tcPr>
          <w:p>
            <w:pPr>
              <w:ind w:left="257"/>
              <w:spacing w:before="2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1965" w:type="dxa"/>
            <w:vAlign w:val="top"/>
          </w:tcPr>
          <w:p>
            <w:pPr>
              <w:pStyle w:val="TableText"/>
              <w:ind w:left="522"/>
              <w:spacing w:before="211" w:line="221" w:lineRule="auto"/>
              <w:rPr/>
            </w:pPr>
            <w:r>
              <w:rPr>
                <w:rFonts w:ascii="Times New Roman" w:hAnsi="Times New Roman" w:eastAsia="Times New Roman" w:cs="Times New Roman"/>
                <w:spacing w:val="2"/>
              </w:rPr>
              <w:t>1,2-</w:t>
            </w:r>
            <w:r>
              <w:rPr>
                <w:spacing w:val="2"/>
              </w:rPr>
              <w:t>二氯苯</w:t>
            </w:r>
          </w:p>
        </w:tc>
        <w:tc>
          <w:tcPr>
            <w:tcW w:w="5920" w:type="dxa"/>
            <w:vAlign w:val="top"/>
          </w:tcPr>
          <w:p>
            <w:pPr>
              <w:pStyle w:val="TableText"/>
              <w:ind w:left="180"/>
              <w:spacing w:before="55" w:line="229" w:lineRule="auto"/>
              <w:rPr/>
            </w:pPr>
            <w:r>
              <w:rPr>
                <w:spacing w:val="7"/>
              </w:rPr>
              <w:t>土壤和沉积物</w:t>
            </w:r>
            <w:r>
              <w:rPr>
                <w:spacing w:val="7"/>
              </w:rPr>
              <w:t xml:space="preserve"> </w:t>
            </w:r>
            <w:r>
              <w:rPr>
                <w:spacing w:val="7"/>
              </w:rPr>
              <w:t>挥发性有机物的测定</w:t>
            </w:r>
            <w:r>
              <w:rPr>
                <w:spacing w:val="49"/>
              </w:rPr>
              <w:t xml:space="preserve"> </w:t>
            </w:r>
            <w:r>
              <w:rPr>
                <w:spacing w:val="7"/>
              </w:rPr>
              <w:t>吹扫捕集</w:t>
            </w:r>
            <w:r>
              <w:rPr>
                <w:rFonts w:ascii="Times New Roman" w:hAnsi="Times New Roman" w:eastAsia="Times New Roman" w:cs="Times New Roman"/>
                <w:spacing w:val="7"/>
              </w:rPr>
              <w:t>/</w:t>
            </w:r>
            <w:r>
              <w:rPr>
                <w:spacing w:val="7"/>
              </w:rPr>
              <w:t>气相色谱</w:t>
            </w:r>
            <w:r>
              <w:rPr>
                <w:rFonts w:ascii="Times New Roman" w:hAnsi="Times New Roman" w:eastAsia="Times New Roman" w:cs="Times New Roman"/>
                <w:spacing w:val="7"/>
              </w:rPr>
              <w:t>-</w:t>
            </w:r>
            <w:r>
              <w:rPr>
                <w:spacing w:val="7"/>
              </w:rPr>
              <w:t>质谱</w:t>
            </w:r>
          </w:p>
          <w:p>
            <w:pPr>
              <w:pStyle w:val="TableText"/>
              <w:ind w:left="2301"/>
              <w:spacing w:before="64" w:line="233" w:lineRule="auto"/>
              <w:rPr>
                <w:rFonts w:ascii="Times New Roman" w:hAnsi="Times New Roman" w:eastAsia="Times New Roman" w:cs="Times New Roman"/>
              </w:rPr>
            </w:pPr>
            <w:r>
              <w:rPr>
                <w:spacing w:val="3"/>
              </w:rPr>
              <w:t>法</w:t>
            </w:r>
            <w:r>
              <w:rPr>
                <w:spacing w:val="-38"/>
              </w:rPr>
              <w:t xml:space="preserve"> </w:t>
            </w:r>
            <w:r>
              <w:rPr>
                <w:rFonts w:ascii="Times New Roman" w:hAnsi="Times New Roman" w:eastAsia="Times New Roman" w:cs="Times New Roman"/>
              </w:rPr>
              <w:t>HJ</w:t>
            </w:r>
            <w:r>
              <w:rPr>
                <w:rFonts w:ascii="Times New Roman" w:hAnsi="Times New Roman" w:eastAsia="Times New Roman" w:cs="Times New Roman"/>
                <w:spacing w:val="3"/>
              </w:rPr>
              <w:t xml:space="preserve"> 605-2011</w:t>
            </w:r>
          </w:p>
        </w:tc>
        <w:tc>
          <w:tcPr>
            <w:tcW w:w="1357" w:type="dxa"/>
            <w:vAlign w:val="top"/>
          </w:tcPr>
          <w:p>
            <w:pPr>
              <w:ind w:left="127"/>
              <w:spacing w:before="244"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0.0015</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kg</w:t>
            </w:r>
          </w:p>
        </w:tc>
      </w:tr>
    </w:tbl>
    <w:p>
      <w:pPr>
        <w:rPr>
          <w:rFonts w:ascii="Arial"/>
          <w:sz w:val="21"/>
        </w:rPr>
      </w:pPr>
      <w:r/>
    </w:p>
    <w:p>
      <w:pPr>
        <w:sectPr>
          <w:footerReference w:type="default" r:id="rId135"/>
          <w:pgSz w:w="11906" w:h="16839"/>
          <w:pgMar w:top="1139" w:right="972" w:bottom="1252" w:left="972" w:header="831" w:footer="1090" w:gutter="0"/>
        </w:sectPr>
        <w:rPr>
          <w:rFonts w:ascii="Arial" w:hAnsi="Arial" w:eastAsia="Arial" w:cs="Arial"/>
          <w:sz w:val="21"/>
          <w:szCs w:val="21"/>
        </w:rPr>
      </w:pPr>
    </w:p>
    <w:p>
      <w:pPr>
        <w:spacing w:before="58"/>
        <w:rPr/>
      </w:pPr>
      <w:r/>
    </w:p>
    <w:tbl>
      <w:tblPr>
        <w:tblStyle w:val="TableNormal"/>
        <w:tblW w:w="99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4"/>
        <w:gridCol w:w="1965"/>
        <w:gridCol w:w="5920"/>
        <w:gridCol w:w="1357"/>
      </w:tblGrid>
      <w:tr>
        <w:trPr>
          <w:trHeight w:val="349" w:hRule="atLeast"/>
        </w:trPr>
        <w:tc>
          <w:tcPr>
            <w:tcW w:w="714" w:type="dxa"/>
            <w:vAlign w:val="top"/>
          </w:tcPr>
          <w:p>
            <w:pPr>
              <w:pStyle w:val="TableText"/>
              <w:ind w:left="157"/>
              <w:spacing w:before="70" w:line="231" w:lineRule="auto"/>
              <w:rPr/>
            </w:pPr>
            <w:r>
              <w:rPr>
                <w:b/>
                <w:bCs/>
                <w:spacing w:val="1"/>
              </w:rPr>
              <w:t>序号</w:t>
            </w:r>
          </w:p>
        </w:tc>
        <w:tc>
          <w:tcPr>
            <w:tcW w:w="1965" w:type="dxa"/>
            <w:vAlign w:val="top"/>
          </w:tcPr>
          <w:p>
            <w:pPr>
              <w:pStyle w:val="TableText"/>
              <w:ind w:left="783"/>
              <w:spacing w:before="71" w:line="232" w:lineRule="auto"/>
              <w:rPr/>
            </w:pPr>
            <w:r>
              <w:rPr>
                <w:b/>
                <w:bCs/>
              </w:rPr>
              <w:t>项目</w:t>
            </w:r>
          </w:p>
        </w:tc>
        <w:tc>
          <w:tcPr>
            <w:tcW w:w="5920" w:type="dxa"/>
            <w:vAlign w:val="top"/>
          </w:tcPr>
          <w:p>
            <w:pPr>
              <w:pStyle w:val="TableText"/>
              <w:ind w:left="1920"/>
              <w:spacing w:before="70" w:line="229" w:lineRule="auto"/>
              <w:rPr/>
            </w:pPr>
            <w:r>
              <w:rPr>
                <w:b/>
                <w:bCs/>
                <w:spacing w:val="7"/>
              </w:rPr>
              <w:t>检测分析方法及标准号</w:t>
            </w:r>
          </w:p>
        </w:tc>
        <w:tc>
          <w:tcPr>
            <w:tcW w:w="1357" w:type="dxa"/>
            <w:vAlign w:val="top"/>
          </w:tcPr>
          <w:p>
            <w:pPr>
              <w:pStyle w:val="TableText"/>
              <w:ind w:left="375"/>
              <w:spacing w:before="70" w:line="229" w:lineRule="auto"/>
              <w:rPr/>
            </w:pPr>
            <w:r>
              <w:rPr>
                <w:b/>
                <w:bCs/>
                <w:spacing w:val="3"/>
              </w:rPr>
              <w:t>检出限</w:t>
            </w:r>
          </w:p>
        </w:tc>
      </w:tr>
      <w:tr>
        <w:trPr>
          <w:trHeight w:val="629" w:hRule="atLeast"/>
        </w:trPr>
        <w:tc>
          <w:tcPr>
            <w:tcW w:w="714" w:type="dxa"/>
            <w:vAlign w:val="top"/>
          </w:tcPr>
          <w:p>
            <w:pPr>
              <w:ind w:left="257"/>
              <w:spacing w:before="2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1965" w:type="dxa"/>
            <w:vAlign w:val="top"/>
          </w:tcPr>
          <w:p>
            <w:pPr>
              <w:pStyle w:val="TableText"/>
              <w:ind w:left="522"/>
              <w:spacing w:before="208" w:line="221" w:lineRule="auto"/>
              <w:rPr/>
            </w:pPr>
            <w:r>
              <w:rPr>
                <w:rFonts w:ascii="Times New Roman" w:hAnsi="Times New Roman" w:eastAsia="Times New Roman" w:cs="Times New Roman"/>
                <w:spacing w:val="2"/>
              </w:rPr>
              <w:t>1,4-</w:t>
            </w:r>
            <w:r>
              <w:rPr>
                <w:spacing w:val="2"/>
              </w:rPr>
              <w:t>二氯苯</w:t>
            </w:r>
          </w:p>
        </w:tc>
        <w:tc>
          <w:tcPr>
            <w:tcW w:w="5920" w:type="dxa"/>
            <w:vAlign w:val="top"/>
          </w:tcPr>
          <w:p>
            <w:pPr>
              <w:pStyle w:val="TableText"/>
              <w:ind w:left="180"/>
              <w:spacing w:before="52" w:line="229" w:lineRule="auto"/>
              <w:rPr/>
            </w:pPr>
            <w:r>
              <w:rPr>
                <w:spacing w:val="7"/>
              </w:rPr>
              <w:t>土壤和沉积物</w:t>
            </w:r>
            <w:r>
              <w:rPr>
                <w:spacing w:val="7"/>
              </w:rPr>
              <w:t xml:space="preserve"> </w:t>
            </w:r>
            <w:r>
              <w:rPr>
                <w:spacing w:val="7"/>
              </w:rPr>
              <w:t>挥发性有机物的测定</w:t>
            </w:r>
            <w:r>
              <w:rPr>
                <w:spacing w:val="49"/>
              </w:rPr>
              <w:t xml:space="preserve"> </w:t>
            </w:r>
            <w:r>
              <w:rPr>
                <w:spacing w:val="7"/>
              </w:rPr>
              <w:t>吹扫捕集</w:t>
            </w:r>
            <w:r>
              <w:rPr>
                <w:rFonts w:ascii="Times New Roman" w:hAnsi="Times New Roman" w:eastAsia="Times New Roman" w:cs="Times New Roman"/>
                <w:spacing w:val="7"/>
              </w:rPr>
              <w:t>/</w:t>
            </w:r>
            <w:r>
              <w:rPr>
                <w:spacing w:val="7"/>
              </w:rPr>
              <w:t>气相色谱</w:t>
            </w:r>
            <w:r>
              <w:rPr>
                <w:rFonts w:ascii="Times New Roman" w:hAnsi="Times New Roman" w:eastAsia="Times New Roman" w:cs="Times New Roman"/>
                <w:spacing w:val="7"/>
              </w:rPr>
              <w:t>-</w:t>
            </w:r>
            <w:r>
              <w:rPr>
                <w:spacing w:val="7"/>
              </w:rPr>
              <w:t>质谱</w:t>
            </w:r>
          </w:p>
          <w:p>
            <w:pPr>
              <w:pStyle w:val="TableText"/>
              <w:ind w:left="2301"/>
              <w:spacing w:before="63" w:line="235" w:lineRule="auto"/>
              <w:rPr>
                <w:rFonts w:ascii="Times New Roman" w:hAnsi="Times New Roman" w:eastAsia="Times New Roman" w:cs="Times New Roman"/>
              </w:rPr>
            </w:pPr>
            <w:r>
              <w:rPr>
                <w:spacing w:val="3"/>
              </w:rPr>
              <w:t>法</w:t>
            </w:r>
            <w:r>
              <w:rPr>
                <w:spacing w:val="-38"/>
              </w:rPr>
              <w:t xml:space="preserve"> </w:t>
            </w:r>
            <w:r>
              <w:rPr>
                <w:rFonts w:ascii="Times New Roman" w:hAnsi="Times New Roman" w:eastAsia="Times New Roman" w:cs="Times New Roman"/>
              </w:rPr>
              <w:t>HJ</w:t>
            </w:r>
            <w:r>
              <w:rPr>
                <w:rFonts w:ascii="Times New Roman" w:hAnsi="Times New Roman" w:eastAsia="Times New Roman" w:cs="Times New Roman"/>
                <w:spacing w:val="3"/>
              </w:rPr>
              <w:t xml:space="preserve"> 605-2011</w:t>
            </w:r>
          </w:p>
        </w:tc>
        <w:tc>
          <w:tcPr>
            <w:tcW w:w="1357" w:type="dxa"/>
            <w:vAlign w:val="top"/>
          </w:tcPr>
          <w:p>
            <w:pPr>
              <w:ind w:left="127"/>
              <w:spacing w:before="24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0.0015</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kg</w:t>
            </w:r>
          </w:p>
        </w:tc>
      </w:tr>
      <w:tr>
        <w:trPr>
          <w:trHeight w:val="629" w:hRule="atLeast"/>
        </w:trPr>
        <w:tc>
          <w:tcPr>
            <w:tcW w:w="714" w:type="dxa"/>
            <w:vAlign w:val="top"/>
          </w:tcPr>
          <w:p>
            <w:pPr>
              <w:ind w:left="257"/>
              <w:spacing w:before="2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965" w:type="dxa"/>
            <w:vAlign w:val="top"/>
          </w:tcPr>
          <w:p>
            <w:pPr>
              <w:pStyle w:val="TableText"/>
              <w:ind w:left="797"/>
              <w:spacing w:before="208" w:line="226" w:lineRule="auto"/>
              <w:rPr/>
            </w:pPr>
            <w:r>
              <w:rPr>
                <w:spacing w:val="-6"/>
              </w:rPr>
              <w:t>乙苯</w:t>
            </w:r>
          </w:p>
        </w:tc>
        <w:tc>
          <w:tcPr>
            <w:tcW w:w="5920" w:type="dxa"/>
            <w:vAlign w:val="top"/>
          </w:tcPr>
          <w:p>
            <w:pPr>
              <w:pStyle w:val="TableText"/>
              <w:ind w:left="180"/>
              <w:spacing w:before="52" w:line="229" w:lineRule="auto"/>
              <w:rPr/>
            </w:pPr>
            <w:r>
              <w:rPr>
                <w:spacing w:val="7"/>
              </w:rPr>
              <w:t>土壤和沉积物</w:t>
            </w:r>
            <w:r>
              <w:rPr>
                <w:spacing w:val="7"/>
              </w:rPr>
              <w:t xml:space="preserve"> </w:t>
            </w:r>
            <w:r>
              <w:rPr>
                <w:spacing w:val="7"/>
              </w:rPr>
              <w:t>挥发性有机物的测定</w:t>
            </w:r>
            <w:r>
              <w:rPr>
                <w:spacing w:val="49"/>
              </w:rPr>
              <w:t xml:space="preserve"> </w:t>
            </w:r>
            <w:r>
              <w:rPr>
                <w:spacing w:val="7"/>
              </w:rPr>
              <w:t>吹扫捕集</w:t>
            </w:r>
            <w:r>
              <w:rPr>
                <w:rFonts w:ascii="Times New Roman" w:hAnsi="Times New Roman" w:eastAsia="Times New Roman" w:cs="Times New Roman"/>
                <w:spacing w:val="7"/>
              </w:rPr>
              <w:t>/</w:t>
            </w:r>
            <w:r>
              <w:rPr>
                <w:spacing w:val="7"/>
              </w:rPr>
              <w:t>气相色谱</w:t>
            </w:r>
            <w:r>
              <w:rPr>
                <w:rFonts w:ascii="Times New Roman" w:hAnsi="Times New Roman" w:eastAsia="Times New Roman" w:cs="Times New Roman"/>
                <w:spacing w:val="7"/>
              </w:rPr>
              <w:t>-</w:t>
            </w:r>
            <w:r>
              <w:rPr>
                <w:spacing w:val="7"/>
              </w:rPr>
              <w:t>质谱</w:t>
            </w:r>
          </w:p>
          <w:p>
            <w:pPr>
              <w:pStyle w:val="TableText"/>
              <w:ind w:left="2301"/>
              <w:spacing w:before="64" w:line="235" w:lineRule="auto"/>
              <w:rPr>
                <w:rFonts w:ascii="Times New Roman" w:hAnsi="Times New Roman" w:eastAsia="Times New Roman" w:cs="Times New Roman"/>
              </w:rPr>
            </w:pPr>
            <w:r>
              <w:rPr>
                <w:spacing w:val="3"/>
              </w:rPr>
              <w:t>法</w:t>
            </w:r>
            <w:r>
              <w:rPr>
                <w:spacing w:val="-38"/>
              </w:rPr>
              <w:t xml:space="preserve"> </w:t>
            </w:r>
            <w:r>
              <w:rPr>
                <w:rFonts w:ascii="Times New Roman" w:hAnsi="Times New Roman" w:eastAsia="Times New Roman" w:cs="Times New Roman"/>
              </w:rPr>
              <w:t>HJ</w:t>
            </w:r>
            <w:r>
              <w:rPr>
                <w:rFonts w:ascii="Times New Roman" w:hAnsi="Times New Roman" w:eastAsia="Times New Roman" w:cs="Times New Roman"/>
                <w:spacing w:val="3"/>
              </w:rPr>
              <w:t xml:space="preserve"> 605-2011</w:t>
            </w:r>
          </w:p>
        </w:tc>
        <w:tc>
          <w:tcPr>
            <w:tcW w:w="1357" w:type="dxa"/>
            <w:vAlign w:val="top"/>
          </w:tcPr>
          <w:p>
            <w:pPr>
              <w:ind w:left="127"/>
              <w:spacing w:before="24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0.0012</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kg</w:t>
            </w:r>
          </w:p>
        </w:tc>
      </w:tr>
      <w:tr>
        <w:trPr>
          <w:trHeight w:val="628" w:hRule="atLeast"/>
        </w:trPr>
        <w:tc>
          <w:tcPr>
            <w:tcW w:w="714" w:type="dxa"/>
            <w:vAlign w:val="top"/>
          </w:tcPr>
          <w:p>
            <w:pPr>
              <w:ind w:left="257"/>
              <w:spacing w:before="2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1965" w:type="dxa"/>
            <w:vAlign w:val="top"/>
          </w:tcPr>
          <w:p>
            <w:pPr>
              <w:pStyle w:val="TableText"/>
              <w:ind w:left="679"/>
              <w:spacing w:before="207" w:line="226" w:lineRule="auto"/>
              <w:rPr/>
            </w:pPr>
            <w:r>
              <w:rPr>
                <w:spacing w:val="4"/>
              </w:rPr>
              <w:t>苯乙烯</w:t>
            </w:r>
          </w:p>
        </w:tc>
        <w:tc>
          <w:tcPr>
            <w:tcW w:w="5920" w:type="dxa"/>
            <w:vAlign w:val="top"/>
          </w:tcPr>
          <w:p>
            <w:pPr>
              <w:pStyle w:val="TableText"/>
              <w:ind w:left="180"/>
              <w:spacing w:before="51" w:line="229" w:lineRule="auto"/>
              <w:rPr/>
            </w:pPr>
            <w:r>
              <w:rPr>
                <w:spacing w:val="7"/>
              </w:rPr>
              <w:t>土壤和沉积物</w:t>
            </w:r>
            <w:r>
              <w:rPr>
                <w:spacing w:val="7"/>
              </w:rPr>
              <w:t xml:space="preserve"> </w:t>
            </w:r>
            <w:r>
              <w:rPr>
                <w:spacing w:val="7"/>
              </w:rPr>
              <w:t>挥发性有机物的测定</w:t>
            </w:r>
            <w:r>
              <w:rPr>
                <w:spacing w:val="49"/>
              </w:rPr>
              <w:t xml:space="preserve"> </w:t>
            </w:r>
            <w:r>
              <w:rPr>
                <w:spacing w:val="7"/>
              </w:rPr>
              <w:t>吹扫捕集</w:t>
            </w:r>
            <w:r>
              <w:rPr>
                <w:rFonts w:ascii="Times New Roman" w:hAnsi="Times New Roman" w:eastAsia="Times New Roman" w:cs="Times New Roman"/>
                <w:spacing w:val="7"/>
              </w:rPr>
              <w:t>/</w:t>
            </w:r>
            <w:r>
              <w:rPr>
                <w:spacing w:val="7"/>
              </w:rPr>
              <w:t>气相色谱</w:t>
            </w:r>
            <w:r>
              <w:rPr>
                <w:rFonts w:ascii="Times New Roman" w:hAnsi="Times New Roman" w:eastAsia="Times New Roman" w:cs="Times New Roman"/>
                <w:spacing w:val="7"/>
              </w:rPr>
              <w:t>-</w:t>
            </w:r>
            <w:r>
              <w:rPr>
                <w:spacing w:val="7"/>
              </w:rPr>
              <w:t>质谱</w:t>
            </w:r>
          </w:p>
          <w:p>
            <w:pPr>
              <w:pStyle w:val="TableText"/>
              <w:ind w:left="2301"/>
              <w:spacing w:before="64" w:line="234" w:lineRule="auto"/>
              <w:rPr>
                <w:rFonts w:ascii="Times New Roman" w:hAnsi="Times New Roman" w:eastAsia="Times New Roman" w:cs="Times New Roman"/>
              </w:rPr>
            </w:pPr>
            <w:r>
              <w:rPr>
                <w:spacing w:val="3"/>
              </w:rPr>
              <w:t>法</w:t>
            </w:r>
            <w:r>
              <w:rPr>
                <w:spacing w:val="-38"/>
              </w:rPr>
              <w:t xml:space="preserve"> </w:t>
            </w:r>
            <w:r>
              <w:rPr>
                <w:rFonts w:ascii="Times New Roman" w:hAnsi="Times New Roman" w:eastAsia="Times New Roman" w:cs="Times New Roman"/>
              </w:rPr>
              <w:t>HJ</w:t>
            </w:r>
            <w:r>
              <w:rPr>
                <w:rFonts w:ascii="Times New Roman" w:hAnsi="Times New Roman" w:eastAsia="Times New Roman" w:cs="Times New Roman"/>
                <w:spacing w:val="3"/>
              </w:rPr>
              <w:t xml:space="preserve"> 605-2011</w:t>
            </w:r>
          </w:p>
        </w:tc>
        <w:tc>
          <w:tcPr>
            <w:tcW w:w="1357" w:type="dxa"/>
            <w:vAlign w:val="top"/>
          </w:tcPr>
          <w:p>
            <w:pPr>
              <w:ind w:left="127"/>
              <w:spacing w:before="24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0.0011</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kg</w:t>
            </w:r>
          </w:p>
        </w:tc>
      </w:tr>
      <w:tr>
        <w:trPr>
          <w:trHeight w:val="629" w:hRule="atLeast"/>
        </w:trPr>
        <w:tc>
          <w:tcPr>
            <w:tcW w:w="714" w:type="dxa"/>
            <w:vAlign w:val="top"/>
          </w:tcPr>
          <w:p>
            <w:pPr>
              <w:ind w:left="257"/>
              <w:spacing w:before="2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1965" w:type="dxa"/>
            <w:vAlign w:val="top"/>
          </w:tcPr>
          <w:p>
            <w:pPr>
              <w:pStyle w:val="TableText"/>
              <w:ind w:left="810"/>
              <w:spacing w:before="208" w:line="226" w:lineRule="auto"/>
              <w:rPr/>
            </w:pPr>
            <w:r>
              <w:rPr>
                <w:spacing w:val="-12"/>
              </w:rPr>
              <w:t>甲苯</w:t>
            </w:r>
          </w:p>
        </w:tc>
        <w:tc>
          <w:tcPr>
            <w:tcW w:w="5920" w:type="dxa"/>
            <w:vAlign w:val="top"/>
          </w:tcPr>
          <w:p>
            <w:pPr>
              <w:pStyle w:val="TableText"/>
              <w:ind w:left="180"/>
              <w:spacing w:before="52" w:line="229" w:lineRule="auto"/>
              <w:rPr/>
            </w:pPr>
            <w:r>
              <w:rPr>
                <w:spacing w:val="7"/>
              </w:rPr>
              <w:t>土壤和沉积物</w:t>
            </w:r>
            <w:r>
              <w:rPr>
                <w:spacing w:val="7"/>
              </w:rPr>
              <w:t xml:space="preserve"> </w:t>
            </w:r>
            <w:r>
              <w:rPr>
                <w:spacing w:val="7"/>
              </w:rPr>
              <w:t>挥发性有机物的测定</w:t>
            </w:r>
            <w:r>
              <w:rPr>
                <w:spacing w:val="49"/>
              </w:rPr>
              <w:t xml:space="preserve"> </w:t>
            </w:r>
            <w:r>
              <w:rPr>
                <w:spacing w:val="7"/>
              </w:rPr>
              <w:t>吹扫捕集</w:t>
            </w:r>
            <w:r>
              <w:rPr>
                <w:rFonts w:ascii="Times New Roman" w:hAnsi="Times New Roman" w:eastAsia="Times New Roman" w:cs="Times New Roman"/>
                <w:spacing w:val="7"/>
              </w:rPr>
              <w:t>/</w:t>
            </w:r>
            <w:r>
              <w:rPr>
                <w:spacing w:val="7"/>
              </w:rPr>
              <w:t>气相色谱</w:t>
            </w:r>
            <w:r>
              <w:rPr>
                <w:rFonts w:ascii="Times New Roman" w:hAnsi="Times New Roman" w:eastAsia="Times New Roman" w:cs="Times New Roman"/>
                <w:spacing w:val="7"/>
              </w:rPr>
              <w:t>-</w:t>
            </w:r>
            <w:r>
              <w:rPr>
                <w:spacing w:val="7"/>
              </w:rPr>
              <w:t>质谱</w:t>
            </w:r>
          </w:p>
          <w:p>
            <w:pPr>
              <w:pStyle w:val="TableText"/>
              <w:ind w:left="2301"/>
              <w:spacing w:before="64" w:line="235" w:lineRule="auto"/>
              <w:rPr>
                <w:rFonts w:ascii="Times New Roman" w:hAnsi="Times New Roman" w:eastAsia="Times New Roman" w:cs="Times New Roman"/>
              </w:rPr>
            </w:pPr>
            <w:r>
              <w:rPr>
                <w:spacing w:val="3"/>
              </w:rPr>
              <w:t>法</w:t>
            </w:r>
            <w:r>
              <w:rPr>
                <w:spacing w:val="-38"/>
              </w:rPr>
              <w:t xml:space="preserve"> </w:t>
            </w:r>
            <w:r>
              <w:rPr>
                <w:rFonts w:ascii="Times New Roman" w:hAnsi="Times New Roman" w:eastAsia="Times New Roman" w:cs="Times New Roman"/>
              </w:rPr>
              <w:t>HJ</w:t>
            </w:r>
            <w:r>
              <w:rPr>
                <w:rFonts w:ascii="Times New Roman" w:hAnsi="Times New Roman" w:eastAsia="Times New Roman" w:cs="Times New Roman"/>
                <w:spacing w:val="3"/>
              </w:rPr>
              <w:t xml:space="preserve"> 605-2011</w:t>
            </w:r>
          </w:p>
        </w:tc>
        <w:tc>
          <w:tcPr>
            <w:tcW w:w="1357" w:type="dxa"/>
            <w:vAlign w:val="top"/>
          </w:tcPr>
          <w:p>
            <w:pPr>
              <w:ind w:left="127"/>
              <w:spacing w:before="24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0.0013</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kg</w:t>
            </w:r>
          </w:p>
        </w:tc>
      </w:tr>
      <w:tr>
        <w:trPr>
          <w:trHeight w:val="628" w:hRule="atLeast"/>
        </w:trPr>
        <w:tc>
          <w:tcPr>
            <w:tcW w:w="714" w:type="dxa"/>
            <w:vAlign w:val="top"/>
          </w:tcPr>
          <w:p>
            <w:pPr>
              <w:ind w:left="257"/>
              <w:spacing w:before="2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965" w:type="dxa"/>
            <w:vAlign w:val="top"/>
          </w:tcPr>
          <w:p>
            <w:pPr>
              <w:pStyle w:val="TableText"/>
              <w:ind w:left="459"/>
              <w:spacing w:before="207" w:line="221" w:lineRule="auto"/>
              <w:rPr/>
            </w:pPr>
            <w:r>
              <w:rPr>
                <w:spacing w:val="-5"/>
              </w:rPr>
              <w:t>间</w:t>
            </w:r>
            <w:r>
              <w:rPr>
                <w:rFonts w:ascii="Times New Roman" w:hAnsi="Times New Roman" w:eastAsia="Times New Roman" w:cs="Times New Roman"/>
                <w:spacing w:val="-5"/>
              </w:rPr>
              <w:t>,</w:t>
            </w:r>
            <w:r>
              <w:rPr>
                <w:spacing w:val="-5"/>
              </w:rPr>
              <w:t>对二</w:t>
            </w:r>
            <w:r>
              <w:rPr>
                <w:spacing w:val="-53"/>
              </w:rPr>
              <w:t xml:space="preserve"> </w:t>
            </w:r>
            <w:r>
              <w:rPr>
                <w:spacing w:val="-5"/>
              </w:rPr>
              <w:t>甲苯</w:t>
            </w:r>
          </w:p>
        </w:tc>
        <w:tc>
          <w:tcPr>
            <w:tcW w:w="5920" w:type="dxa"/>
            <w:vAlign w:val="top"/>
          </w:tcPr>
          <w:p>
            <w:pPr>
              <w:pStyle w:val="TableText"/>
              <w:ind w:left="180"/>
              <w:spacing w:before="51" w:line="229" w:lineRule="auto"/>
              <w:rPr/>
            </w:pPr>
            <w:r>
              <w:rPr>
                <w:spacing w:val="7"/>
              </w:rPr>
              <w:t>土壤和沉积物</w:t>
            </w:r>
            <w:r>
              <w:rPr>
                <w:spacing w:val="7"/>
              </w:rPr>
              <w:t xml:space="preserve"> </w:t>
            </w:r>
            <w:r>
              <w:rPr>
                <w:spacing w:val="7"/>
              </w:rPr>
              <w:t>挥发性有机物的测定</w:t>
            </w:r>
            <w:r>
              <w:rPr>
                <w:spacing w:val="49"/>
              </w:rPr>
              <w:t xml:space="preserve"> </w:t>
            </w:r>
            <w:r>
              <w:rPr>
                <w:spacing w:val="7"/>
              </w:rPr>
              <w:t>吹扫捕集</w:t>
            </w:r>
            <w:r>
              <w:rPr>
                <w:rFonts w:ascii="Times New Roman" w:hAnsi="Times New Roman" w:eastAsia="Times New Roman" w:cs="Times New Roman"/>
                <w:spacing w:val="7"/>
              </w:rPr>
              <w:t>/</w:t>
            </w:r>
            <w:r>
              <w:rPr>
                <w:spacing w:val="7"/>
              </w:rPr>
              <w:t>气相色谱</w:t>
            </w:r>
            <w:r>
              <w:rPr>
                <w:rFonts w:ascii="Times New Roman" w:hAnsi="Times New Roman" w:eastAsia="Times New Roman" w:cs="Times New Roman"/>
                <w:spacing w:val="7"/>
              </w:rPr>
              <w:t>-</w:t>
            </w:r>
            <w:r>
              <w:rPr>
                <w:spacing w:val="7"/>
              </w:rPr>
              <w:t>质谱</w:t>
            </w:r>
          </w:p>
          <w:p>
            <w:pPr>
              <w:pStyle w:val="TableText"/>
              <w:ind w:left="2301"/>
              <w:spacing w:before="64" w:line="234" w:lineRule="auto"/>
              <w:rPr>
                <w:rFonts w:ascii="Times New Roman" w:hAnsi="Times New Roman" w:eastAsia="Times New Roman" w:cs="Times New Roman"/>
              </w:rPr>
            </w:pPr>
            <w:r>
              <w:rPr>
                <w:spacing w:val="3"/>
              </w:rPr>
              <w:t>法</w:t>
            </w:r>
            <w:r>
              <w:rPr>
                <w:spacing w:val="-38"/>
              </w:rPr>
              <w:t xml:space="preserve"> </w:t>
            </w:r>
            <w:r>
              <w:rPr>
                <w:rFonts w:ascii="Times New Roman" w:hAnsi="Times New Roman" w:eastAsia="Times New Roman" w:cs="Times New Roman"/>
              </w:rPr>
              <w:t>HJ</w:t>
            </w:r>
            <w:r>
              <w:rPr>
                <w:rFonts w:ascii="Times New Roman" w:hAnsi="Times New Roman" w:eastAsia="Times New Roman" w:cs="Times New Roman"/>
                <w:spacing w:val="3"/>
              </w:rPr>
              <w:t xml:space="preserve"> 605-2011</w:t>
            </w:r>
          </w:p>
        </w:tc>
        <w:tc>
          <w:tcPr>
            <w:tcW w:w="1357" w:type="dxa"/>
            <w:vAlign w:val="top"/>
          </w:tcPr>
          <w:p>
            <w:pPr>
              <w:ind w:left="127"/>
              <w:spacing w:before="24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0.0012</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kg</w:t>
            </w:r>
          </w:p>
        </w:tc>
      </w:tr>
      <w:tr>
        <w:trPr>
          <w:trHeight w:val="629" w:hRule="atLeast"/>
        </w:trPr>
        <w:tc>
          <w:tcPr>
            <w:tcW w:w="714" w:type="dxa"/>
            <w:vAlign w:val="top"/>
          </w:tcPr>
          <w:p>
            <w:pPr>
              <w:ind w:left="257"/>
              <w:spacing w:before="2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1965" w:type="dxa"/>
            <w:vAlign w:val="top"/>
          </w:tcPr>
          <w:p>
            <w:pPr>
              <w:pStyle w:val="TableText"/>
              <w:ind w:left="571"/>
              <w:spacing w:before="211" w:line="226" w:lineRule="auto"/>
              <w:rPr/>
            </w:pPr>
            <w:r>
              <w:rPr>
                <w:spacing w:val="-5"/>
              </w:rPr>
              <w:t>邻二</w:t>
            </w:r>
            <w:r>
              <w:rPr>
                <w:spacing w:val="-57"/>
              </w:rPr>
              <w:t xml:space="preserve"> </w:t>
            </w:r>
            <w:r>
              <w:rPr>
                <w:spacing w:val="-5"/>
              </w:rPr>
              <w:t>甲苯</w:t>
            </w:r>
          </w:p>
        </w:tc>
        <w:tc>
          <w:tcPr>
            <w:tcW w:w="5920" w:type="dxa"/>
            <w:vAlign w:val="top"/>
          </w:tcPr>
          <w:p>
            <w:pPr>
              <w:pStyle w:val="TableText"/>
              <w:ind w:left="180"/>
              <w:spacing w:before="54" w:line="229" w:lineRule="auto"/>
              <w:rPr/>
            </w:pPr>
            <w:r>
              <w:rPr>
                <w:spacing w:val="7"/>
              </w:rPr>
              <w:t>土壤和沉积物</w:t>
            </w:r>
            <w:r>
              <w:rPr>
                <w:spacing w:val="7"/>
              </w:rPr>
              <w:t xml:space="preserve"> </w:t>
            </w:r>
            <w:r>
              <w:rPr>
                <w:spacing w:val="7"/>
              </w:rPr>
              <w:t>挥发性有机物的测定</w:t>
            </w:r>
            <w:r>
              <w:rPr>
                <w:spacing w:val="49"/>
              </w:rPr>
              <w:t xml:space="preserve"> </w:t>
            </w:r>
            <w:r>
              <w:rPr>
                <w:spacing w:val="7"/>
              </w:rPr>
              <w:t>吹扫捕集</w:t>
            </w:r>
            <w:r>
              <w:rPr>
                <w:rFonts w:ascii="Times New Roman" w:hAnsi="Times New Roman" w:eastAsia="Times New Roman" w:cs="Times New Roman"/>
                <w:spacing w:val="7"/>
              </w:rPr>
              <w:t>/</w:t>
            </w:r>
            <w:r>
              <w:rPr>
                <w:spacing w:val="7"/>
              </w:rPr>
              <w:t>气相色谱</w:t>
            </w:r>
            <w:r>
              <w:rPr>
                <w:rFonts w:ascii="Times New Roman" w:hAnsi="Times New Roman" w:eastAsia="Times New Roman" w:cs="Times New Roman"/>
                <w:spacing w:val="7"/>
              </w:rPr>
              <w:t>-</w:t>
            </w:r>
            <w:r>
              <w:rPr>
                <w:spacing w:val="7"/>
              </w:rPr>
              <w:t>质谱</w:t>
            </w:r>
          </w:p>
          <w:p>
            <w:pPr>
              <w:pStyle w:val="TableText"/>
              <w:ind w:left="2301"/>
              <w:spacing w:before="64" w:line="232" w:lineRule="auto"/>
              <w:rPr>
                <w:rFonts w:ascii="Times New Roman" w:hAnsi="Times New Roman" w:eastAsia="Times New Roman" w:cs="Times New Roman"/>
              </w:rPr>
            </w:pPr>
            <w:r>
              <w:rPr>
                <w:spacing w:val="3"/>
              </w:rPr>
              <w:t>法</w:t>
            </w:r>
            <w:r>
              <w:rPr>
                <w:spacing w:val="-38"/>
              </w:rPr>
              <w:t xml:space="preserve"> </w:t>
            </w:r>
            <w:r>
              <w:rPr>
                <w:rFonts w:ascii="Times New Roman" w:hAnsi="Times New Roman" w:eastAsia="Times New Roman" w:cs="Times New Roman"/>
              </w:rPr>
              <w:t>HJ</w:t>
            </w:r>
            <w:r>
              <w:rPr>
                <w:rFonts w:ascii="Times New Roman" w:hAnsi="Times New Roman" w:eastAsia="Times New Roman" w:cs="Times New Roman"/>
                <w:spacing w:val="3"/>
              </w:rPr>
              <w:t xml:space="preserve"> 605-2011</w:t>
            </w:r>
          </w:p>
        </w:tc>
        <w:tc>
          <w:tcPr>
            <w:tcW w:w="1357" w:type="dxa"/>
            <w:vAlign w:val="top"/>
          </w:tcPr>
          <w:p>
            <w:pPr>
              <w:ind w:left="127"/>
              <w:spacing w:before="24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0.0012</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kg</w:t>
            </w:r>
          </w:p>
        </w:tc>
      </w:tr>
      <w:tr>
        <w:trPr>
          <w:trHeight w:val="629" w:hRule="atLeast"/>
        </w:trPr>
        <w:tc>
          <w:tcPr>
            <w:tcW w:w="714" w:type="dxa"/>
            <w:vAlign w:val="top"/>
          </w:tcPr>
          <w:p>
            <w:pPr>
              <w:ind w:left="252"/>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w:t>
            </w:r>
          </w:p>
        </w:tc>
        <w:tc>
          <w:tcPr>
            <w:tcW w:w="1965" w:type="dxa"/>
            <w:vAlign w:val="top"/>
          </w:tcPr>
          <w:p>
            <w:pPr>
              <w:pStyle w:val="TableText"/>
              <w:ind w:left="676"/>
              <w:spacing w:before="210" w:line="226" w:lineRule="auto"/>
              <w:rPr/>
            </w:pPr>
            <w:r>
              <w:rPr>
                <w:spacing w:val="5"/>
              </w:rPr>
              <w:t>硝基苯</w:t>
            </w:r>
          </w:p>
        </w:tc>
        <w:tc>
          <w:tcPr>
            <w:tcW w:w="5920" w:type="dxa"/>
            <w:vAlign w:val="top"/>
          </w:tcPr>
          <w:p>
            <w:pPr>
              <w:pStyle w:val="TableText"/>
              <w:ind w:left="418"/>
              <w:spacing w:before="54" w:line="229" w:lineRule="auto"/>
              <w:rPr/>
            </w:pPr>
            <w:r>
              <w:rPr>
                <w:spacing w:val="7"/>
              </w:rPr>
              <w:t>土壤和沉积物</w:t>
            </w:r>
            <w:r>
              <w:rPr>
                <w:spacing w:val="7"/>
              </w:rPr>
              <w:t xml:space="preserve"> </w:t>
            </w:r>
            <w:r>
              <w:rPr>
                <w:spacing w:val="7"/>
              </w:rPr>
              <w:t>半挥发性有机物的测定</w:t>
            </w:r>
            <w:r>
              <w:rPr>
                <w:spacing w:val="48"/>
              </w:rPr>
              <w:t xml:space="preserve"> </w:t>
            </w:r>
            <w:r>
              <w:rPr>
                <w:spacing w:val="7"/>
              </w:rPr>
              <w:t>气相色谱</w:t>
            </w:r>
            <w:r>
              <w:rPr>
                <w:rFonts w:ascii="Times New Roman" w:hAnsi="Times New Roman" w:eastAsia="Times New Roman" w:cs="Times New Roman"/>
                <w:spacing w:val="7"/>
              </w:rPr>
              <w:t>-</w:t>
            </w:r>
            <w:r>
              <w:rPr>
                <w:spacing w:val="7"/>
              </w:rPr>
              <w:t>质谱法</w:t>
            </w:r>
          </w:p>
          <w:p>
            <w:pPr>
              <w:ind w:left="2416"/>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spacing w:val="4"/>
              </w:rPr>
              <w:t>834-2017</w:t>
            </w:r>
          </w:p>
        </w:tc>
        <w:tc>
          <w:tcPr>
            <w:tcW w:w="1357" w:type="dxa"/>
            <w:vAlign w:val="top"/>
          </w:tcPr>
          <w:p>
            <w:pPr>
              <w:ind w:left="230"/>
              <w:spacing w:before="24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0.09</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rPr>
              <w:t>kg</w:t>
            </w:r>
          </w:p>
        </w:tc>
      </w:tr>
      <w:tr>
        <w:trPr>
          <w:trHeight w:val="345" w:hRule="atLeast"/>
        </w:trPr>
        <w:tc>
          <w:tcPr>
            <w:tcW w:w="714" w:type="dxa"/>
            <w:vAlign w:val="top"/>
          </w:tcPr>
          <w:p>
            <w:pPr>
              <w:ind w:left="252"/>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w:t>
            </w:r>
          </w:p>
        </w:tc>
        <w:tc>
          <w:tcPr>
            <w:tcW w:w="1965" w:type="dxa"/>
            <w:vAlign w:val="top"/>
          </w:tcPr>
          <w:p>
            <w:pPr>
              <w:pStyle w:val="TableText"/>
              <w:ind w:left="785"/>
              <w:spacing w:before="68" w:line="226" w:lineRule="auto"/>
              <w:rPr/>
            </w:pPr>
            <w:r>
              <w:rPr/>
              <w:t>苯胺</w:t>
            </w:r>
          </w:p>
        </w:tc>
        <w:tc>
          <w:tcPr>
            <w:tcW w:w="5920" w:type="dxa"/>
            <w:vAlign w:val="top"/>
          </w:tcPr>
          <w:p>
            <w:pPr>
              <w:pStyle w:val="TableText"/>
              <w:ind w:left="332"/>
              <w:spacing w:before="68" w:line="229" w:lineRule="auto"/>
              <w:rPr>
                <w:rFonts w:ascii="Times New Roman" w:hAnsi="Times New Roman" w:eastAsia="Times New Roman" w:cs="Times New Roman"/>
              </w:rPr>
            </w:pPr>
            <w:r>
              <w:rPr>
                <w:spacing w:val="6"/>
              </w:rPr>
              <w:t>危险废物鉴别标准</w:t>
            </w:r>
            <w:r>
              <w:rPr>
                <w:spacing w:val="6"/>
              </w:rPr>
              <w:t xml:space="preserve"> </w:t>
            </w:r>
            <w:r>
              <w:rPr>
                <w:spacing w:val="6"/>
              </w:rPr>
              <w:t>浸出毒性鉴别</w:t>
            </w:r>
            <w:r>
              <w:rPr>
                <w:spacing w:val="6"/>
              </w:rPr>
              <w:t xml:space="preserve"> </w:t>
            </w:r>
            <w:r>
              <w:rPr>
                <w:rFonts w:ascii="Times New Roman" w:hAnsi="Times New Roman" w:eastAsia="Times New Roman" w:cs="Times New Roman"/>
              </w:rPr>
              <w:t>GB</w:t>
            </w:r>
            <w:r>
              <w:rPr>
                <w:rFonts w:ascii="Times New Roman" w:hAnsi="Times New Roman" w:eastAsia="Times New Roman" w:cs="Times New Roman"/>
                <w:spacing w:val="16"/>
                <w:w w:val="101"/>
              </w:rPr>
              <w:t xml:space="preserve"> </w:t>
            </w:r>
            <w:r>
              <w:rPr>
                <w:rFonts w:ascii="Times New Roman" w:hAnsi="Times New Roman" w:eastAsia="Times New Roman" w:cs="Times New Roman"/>
                <w:spacing w:val="6"/>
              </w:rPr>
              <w:t>5085.3-2007</w:t>
            </w:r>
            <w:r>
              <w:rPr>
                <w:rFonts w:ascii="Times New Roman" w:hAnsi="Times New Roman" w:eastAsia="Times New Roman" w:cs="Times New Roman"/>
                <w:spacing w:val="13"/>
                <w:w w:val="101"/>
              </w:rPr>
              <w:t xml:space="preserve">  </w:t>
            </w:r>
            <w:r>
              <w:rPr>
                <w:spacing w:val="6"/>
              </w:rPr>
              <w:t>附录</w:t>
            </w:r>
            <w:r>
              <w:rPr>
                <w:spacing w:val="-42"/>
              </w:rPr>
              <w:t xml:space="preserve"> </w:t>
            </w:r>
            <w:r>
              <w:rPr>
                <w:rFonts w:ascii="Times New Roman" w:hAnsi="Times New Roman" w:eastAsia="Times New Roman" w:cs="Times New Roman"/>
                <w:spacing w:val="6"/>
              </w:rPr>
              <w:t>K</w:t>
            </w:r>
          </w:p>
        </w:tc>
        <w:tc>
          <w:tcPr>
            <w:tcW w:w="1357" w:type="dxa"/>
            <w:vAlign w:val="top"/>
          </w:tcPr>
          <w:p>
            <w:pPr>
              <w:ind w:left="300"/>
              <w:spacing w:before="10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rPr>
              <w:t>kg</w:t>
            </w:r>
          </w:p>
        </w:tc>
      </w:tr>
      <w:tr>
        <w:trPr>
          <w:trHeight w:val="628" w:hRule="atLeast"/>
        </w:trPr>
        <w:tc>
          <w:tcPr>
            <w:tcW w:w="714" w:type="dxa"/>
            <w:vAlign w:val="top"/>
          </w:tcPr>
          <w:p>
            <w:pPr>
              <w:ind w:left="252"/>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w:t>
            </w:r>
          </w:p>
        </w:tc>
        <w:tc>
          <w:tcPr>
            <w:tcW w:w="1965" w:type="dxa"/>
            <w:vAlign w:val="top"/>
          </w:tcPr>
          <w:p>
            <w:pPr>
              <w:pStyle w:val="TableText"/>
              <w:ind w:left="581"/>
              <w:spacing w:before="210" w:line="226" w:lineRule="auto"/>
              <w:rPr/>
            </w:pPr>
            <w:r>
              <w:rPr>
                <w:rFonts w:ascii="Times New Roman" w:hAnsi="Times New Roman" w:eastAsia="Times New Roman" w:cs="Times New Roman"/>
                <w:spacing w:val="6"/>
              </w:rPr>
              <w:t>2-</w:t>
            </w:r>
            <w:r>
              <w:rPr>
                <w:spacing w:val="6"/>
              </w:rPr>
              <w:t>氯苯酚</w:t>
            </w:r>
          </w:p>
        </w:tc>
        <w:tc>
          <w:tcPr>
            <w:tcW w:w="5920" w:type="dxa"/>
            <w:vAlign w:val="top"/>
          </w:tcPr>
          <w:p>
            <w:pPr>
              <w:pStyle w:val="TableText"/>
              <w:ind w:left="418"/>
              <w:spacing w:before="54" w:line="229" w:lineRule="auto"/>
              <w:rPr/>
            </w:pPr>
            <w:r>
              <w:rPr>
                <w:spacing w:val="7"/>
              </w:rPr>
              <w:t>土壤和沉积物</w:t>
            </w:r>
            <w:r>
              <w:rPr>
                <w:spacing w:val="7"/>
              </w:rPr>
              <w:t xml:space="preserve"> </w:t>
            </w:r>
            <w:r>
              <w:rPr>
                <w:spacing w:val="7"/>
              </w:rPr>
              <w:t>半挥发性有机物的测定</w:t>
            </w:r>
            <w:r>
              <w:rPr>
                <w:spacing w:val="48"/>
              </w:rPr>
              <w:t xml:space="preserve"> </w:t>
            </w:r>
            <w:r>
              <w:rPr>
                <w:spacing w:val="7"/>
              </w:rPr>
              <w:t>气相色谱</w:t>
            </w:r>
            <w:r>
              <w:rPr>
                <w:rFonts w:ascii="Times New Roman" w:hAnsi="Times New Roman" w:eastAsia="Times New Roman" w:cs="Times New Roman"/>
                <w:spacing w:val="7"/>
              </w:rPr>
              <w:t>-</w:t>
            </w:r>
            <w:r>
              <w:rPr>
                <w:spacing w:val="7"/>
              </w:rPr>
              <w:t>质谱法</w:t>
            </w:r>
          </w:p>
          <w:p>
            <w:pPr>
              <w:ind w:left="2416"/>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spacing w:val="4"/>
              </w:rPr>
              <w:t>834-2017</w:t>
            </w:r>
          </w:p>
        </w:tc>
        <w:tc>
          <w:tcPr>
            <w:tcW w:w="1357" w:type="dxa"/>
            <w:vAlign w:val="top"/>
          </w:tcPr>
          <w:p>
            <w:pPr>
              <w:ind w:left="230"/>
              <w:spacing w:before="24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0.06</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rPr>
              <w:t>kg</w:t>
            </w:r>
          </w:p>
        </w:tc>
      </w:tr>
      <w:tr>
        <w:trPr>
          <w:trHeight w:val="629" w:hRule="atLeast"/>
        </w:trPr>
        <w:tc>
          <w:tcPr>
            <w:tcW w:w="714" w:type="dxa"/>
            <w:vAlign w:val="top"/>
          </w:tcPr>
          <w:p>
            <w:pPr>
              <w:ind w:left="252"/>
              <w:spacing w:before="2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43</w:t>
            </w:r>
          </w:p>
        </w:tc>
        <w:tc>
          <w:tcPr>
            <w:tcW w:w="1965" w:type="dxa"/>
            <w:vAlign w:val="top"/>
          </w:tcPr>
          <w:p>
            <w:pPr>
              <w:pStyle w:val="TableText"/>
              <w:ind w:left="422"/>
              <w:spacing w:before="211" w:line="226" w:lineRule="auto"/>
              <w:rPr/>
            </w:pPr>
            <w:r>
              <w:rPr>
                <w:spacing w:val="7"/>
              </w:rPr>
              <w:t>苯并［</w:t>
            </w:r>
            <w:r>
              <w:rPr>
                <w:rFonts w:ascii="Times New Roman" w:hAnsi="Times New Roman" w:eastAsia="Times New Roman" w:cs="Times New Roman"/>
                <w:spacing w:val="7"/>
              </w:rPr>
              <w:t>a</w:t>
            </w:r>
            <w:r>
              <w:rPr>
                <w:spacing w:val="7"/>
              </w:rPr>
              <w:t>］蒽</w:t>
            </w:r>
          </w:p>
        </w:tc>
        <w:tc>
          <w:tcPr>
            <w:tcW w:w="5920" w:type="dxa"/>
            <w:vAlign w:val="top"/>
          </w:tcPr>
          <w:p>
            <w:pPr>
              <w:pStyle w:val="TableText"/>
              <w:ind w:left="418"/>
              <w:spacing w:before="55" w:line="229" w:lineRule="auto"/>
              <w:rPr/>
            </w:pPr>
            <w:r>
              <w:rPr>
                <w:spacing w:val="7"/>
              </w:rPr>
              <w:t>土壤和沉积物</w:t>
            </w:r>
            <w:r>
              <w:rPr>
                <w:spacing w:val="7"/>
              </w:rPr>
              <w:t xml:space="preserve"> </w:t>
            </w:r>
            <w:r>
              <w:rPr>
                <w:spacing w:val="7"/>
              </w:rPr>
              <w:t>半挥发性有机物的测定</w:t>
            </w:r>
            <w:r>
              <w:rPr>
                <w:spacing w:val="48"/>
              </w:rPr>
              <w:t xml:space="preserve"> </w:t>
            </w:r>
            <w:r>
              <w:rPr>
                <w:spacing w:val="7"/>
              </w:rPr>
              <w:t>气相色谱</w:t>
            </w:r>
            <w:r>
              <w:rPr>
                <w:rFonts w:ascii="Times New Roman" w:hAnsi="Times New Roman" w:eastAsia="Times New Roman" w:cs="Times New Roman"/>
                <w:spacing w:val="7"/>
              </w:rPr>
              <w:t>-</w:t>
            </w:r>
            <w:r>
              <w:rPr>
                <w:spacing w:val="7"/>
              </w:rPr>
              <w:t>质谱法</w:t>
            </w:r>
          </w:p>
          <w:p>
            <w:pPr>
              <w:ind w:left="2416"/>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spacing w:val="4"/>
              </w:rPr>
              <w:t>834-2017</w:t>
            </w:r>
          </w:p>
        </w:tc>
        <w:tc>
          <w:tcPr>
            <w:tcW w:w="1357" w:type="dxa"/>
            <w:vAlign w:val="top"/>
          </w:tcPr>
          <w:p>
            <w:pPr>
              <w:ind w:left="283"/>
              <w:spacing w:before="24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rPr>
              <w:t>kg</w:t>
            </w:r>
          </w:p>
        </w:tc>
      </w:tr>
      <w:tr>
        <w:trPr>
          <w:trHeight w:val="629" w:hRule="atLeast"/>
        </w:trPr>
        <w:tc>
          <w:tcPr>
            <w:tcW w:w="714" w:type="dxa"/>
            <w:vAlign w:val="top"/>
          </w:tcPr>
          <w:p>
            <w:pPr>
              <w:ind w:left="252"/>
              <w:spacing w:before="2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44</w:t>
            </w:r>
          </w:p>
        </w:tc>
        <w:tc>
          <w:tcPr>
            <w:tcW w:w="1965" w:type="dxa"/>
            <w:vAlign w:val="top"/>
          </w:tcPr>
          <w:p>
            <w:pPr>
              <w:pStyle w:val="TableText"/>
              <w:ind w:left="422"/>
              <w:spacing w:before="210" w:line="226" w:lineRule="auto"/>
              <w:rPr/>
            </w:pPr>
            <w:r>
              <w:rPr>
                <w:spacing w:val="7"/>
              </w:rPr>
              <w:t>苯并［</w:t>
            </w:r>
            <w:r>
              <w:rPr>
                <w:rFonts w:ascii="Times New Roman" w:hAnsi="Times New Roman" w:eastAsia="Times New Roman" w:cs="Times New Roman"/>
                <w:spacing w:val="7"/>
              </w:rPr>
              <w:t>a</w:t>
            </w:r>
            <w:r>
              <w:rPr>
                <w:spacing w:val="7"/>
              </w:rPr>
              <w:t>］芘</w:t>
            </w:r>
          </w:p>
        </w:tc>
        <w:tc>
          <w:tcPr>
            <w:tcW w:w="5920" w:type="dxa"/>
            <w:vAlign w:val="top"/>
          </w:tcPr>
          <w:p>
            <w:pPr>
              <w:pStyle w:val="TableText"/>
              <w:ind w:left="418"/>
              <w:spacing w:before="54" w:line="229" w:lineRule="auto"/>
              <w:rPr/>
            </w:pPr>
            <w:r>
              <w:rPr>
                <w:spacing w:val="7"/>
              </w:rPr>
              <w:t>土壤和沉积物</w:t>
            </w:r>
            <w:r>
              <w:rPr>
                <w:spacing w:val="7"/>
              </w:rPr>
              <w:t xml:space="preserve"> </w:t>
            </w:r>
            <w:r>
              <w:rPr>
                <w:spacing w:val="7"/>
              </w:rPr>
              <w:t>半挥发性有机物的测定</w:t>
            </w:r>
            <w:r>
              <w:rPr>
                <w:spacing w:val="48"/>
              </w:rPr>
              <w:t xml:space="preserve"> </w:t>
            </w:r>
            <w:r>
              <w:rPr>
                <w:spacing w:val="7"/>
              </w:rPr>
              <w:t>气相色谱</w:t>
            </w:r>
            <w:r>
              <w:rPr>
                <w:rFonts w:ascii="Times New Roman" w:hAnsi="Times New Roman" w:eastAsia="Times New Roman" w:cs="Times New Roman"/>
                <w:spacing w:val="7"/>
              </w:rPr>
              <w:t>-</w:t>
            </w:r>
            <w:r>
              <w:rPr>
                <w:spacing w:val="7"/>
              </w:rPr>
              <w:t>质谱法</w:t>
            </w:r>
          </w:p>
          <w:p>
            <w:pPr>
              <w:ind w:left="2416"/>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spacing w:val="4"/>
              </w:rPr>
              <w:t>834-2017</w:t>
            </w:r>
          </w:p>
        </w:tc>
        <w:tc>
          <w:tcPr>
            <w:tcW w:w="1357" w:type="dxa"/>
            <w:vAlign w:val="top"/>
          </w:tcPr>
          <w:p>
            <w:pPr>
              <w:ind w:left="283"/>
              <w:spacing w:before="24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rPr>
              <w:t>kg</w:t>
            </w:r>
          </w:p>
        </w:tc>
      </w:tr>
      <w:tr>
        <w:trPr>
          <w:trHeight w:val="629" w:hRule="atLeast"/>
        </w:trPr>
        <w:tc>
          <w:tcPr>
            <w:tcW w:w="714" w:type="dxa"/>
            <w:vAlign w:val="top"/>
          </w:tcPr>
          <w:p>
            <w:pPr>
              <w:ind w:left="252"/>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45</w:t>
            </w:r>
          </w:p>
        </w:tc>
        <w:tc>
          <w:tcPr>
            <w:tcW w:w="1965" w:type="dxa"/>
            <w:vAlign w:val="top"/>
          </w:tcPr>
          <w:p>
            <w:pPr>
              <w:pStyle w:val="TableText"/>
              <w:ind w:left="312"/>
              <w:spacing w:before="210" w:line="226" w:lineRule="auto"/>
              <w:rPr/>
            </w:pPr>
            <w:r>
              <w:rPr>
                <w:spacing w:val="6"/>
              </w:rPr>
              <w:t>苯并［</w:t>
            </w:r>
            <w:r>
              <w:rPr>
                <w:rFonts w:ascii="Times New Roman" w:hAnsi="Times New Roman" w:eastAsia="Times New Roman" w:cs="Times New Roman"/>
                <w:spacing w:val="6"/>
              </w:rPr>
              <w:t>b</w:t>
            </w:r>
            <w:r>
              <w:rPr>
                <w:spacing w:val="6"/>
              </w:rPr>
              <w:t>］荧蒽</w:t>
            </w:r>
          </w:p>
        </w:tc>
        <w:tc>
          <w:tcPr>
            <w:tcW w:w="5920" w:type="dxa"/>
            <w:vAlign w:val="top"/>
          </w:tcPr>
          <w:p>
            <w:pPr>
              <w:pStyle w:val="TableText"/>
              <w:ind w:left="418"/>
              <w:spacing w:before="54" w:line="229" w:lineRule="auto"/>
              <w:rPr/>
            </w:pPr>
            <w:r>
              <w:rPr>
                <w:spacing w:val="7"/>
              </w:rPr>
              <w:t>土壤和沉积物</w:t>
            </w:r>
            <w:r>
              <w:rPr>
                <w:spacing w:val="7"/>
              </w:rPr>
              <w:t xml:space="preserve"> </w:t>
            </w:r>
            <w:r>
              <w:rPr>
                <w:spacing w:val="7"/>
              </w:rPr>
              <w:t>半挥发性有机物的测定</w:t>
            </w:r>
            <w:r>
              <w:rPr>
                <w:spacing w:val="48"/>
              </w:rPr>
              <w:t xml:space="preserve"> </w:t>
            </w:r>
            <w:r>
              <w:rPr>
                <w:spacing w:val="7"/>
              </w:rPr>
              <w:t>气相色谱</w:t>
            </w:r>
            <w:r>
              <w:rPr>
                <w:rFonts w:ascii="Times New Roman" w:hAnsi="Times New Roman" w:eastAsia="Times New Roman" w:cs="Times New Roman"/>
                <w:spacing w:val="7"/>
              </w:rPr>
              <w:t>-</w:t>
            </w:r>
            <w:r>
              <w:rPr>
                <w:spacing w:val="7"/>
              </w:rPr>
              <w:t>质谱法</w:t>
            </w:r>
          </w:p>
          <w:p>
            <w:pPr>
              <w:ind w:left="2416"/>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spacing w:val="4"/>
              </w:rPr>
              <w:t>834-2017</w:t>
            </w:r>
          </w:p>
        </w:tc>
        <w:tc>
          <w:tcPr>
            <w:tcW w:w="1357" w:type="dxa"/>
            <w:vAlign w:val="top"/>
          </w:tcPr>
          <w:p>
            <w:pPr>
              <w:ind w:left="283"/>
              <w:spacing w:before="24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0.2</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rPr>
              <w:t>kg</w:t>
            </w:r>
          </w:p>
        </w:tc>
      </w:tr>
      <w:tr>
        <w:trPr>
          <w:trHeight w:val="629" w:hRule="atLeast"/>
        </w:trPr>
        <w:tc>
          <w:tcPr>
            <w:tcW w:w="714" w:type="dxa"/>
            <w:vAlign w:val="top"/>
          </w:tcPr>
          <w:p>
            <w:pPr>
              <w:ind w:left="252"/>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46</w:t>
            </w:r>
          </w:p>
        </w:tc>
        <w:tc>
          <w:tcPr>
            <w:tcW w:w="1965" w:type="dxa"/>
            <w:vAlign w:val="top"/>
          </w:tcPr>
          <w:p>
            <w:pPr>
              <w:pStyle w:val="TableText"/>
              <w:ind w:left="312"/>
              <w:spacing w:before="210" w:line="226" w:lineRule="auto"/>
              <w:rPr/>
            </w:pPr>
            <w:r>
              <w:rPr>
                <w:spacing w:val="6"/>
              </w:rPr>
              <w:t>苯并［</w:t>
            </w:r>
            <w:r>
              <w:rPr>
                <w:rFonts w:ascii="Times New Roman" w:hAnsi="Times New Roman" w:eastAsia="Times New Roman" w:cs="Times New Roman"/>
                <w:spacing w:val="6"/>
              </w:rPr>
              <w:t>k</w:t>
            </w:r>
            <w:r>
              <w:rPr>
                <w:spacing w:val="6"/>
              </w:rPr>
              <w:t>］荧蒽</w:t>
            </w:r>
          </w:p>
        </w:tc>
        <w:tc>
          <w:tcPr>
            <w:tcW w:w="5920" w:type="dxa"/>
            <w:vAlign w:val="top"/>
          </w:tcPr>
          <w:p>
            <w:pPr>
              <w:pStyle w:val="TableText"/>
              <w:ind w:left="418"/>
              <w:spacing w:before="53" w:line="229" w:lineRule="auto"/>
              <w:rPr/>
            </w:pPr>
            <w:r>
              <w:rPr>
                <w:spacing w:val="7"/>
              </w:rPr>
              <w:t>土壤和沉积物</w:t>
            </w:r>
            <w:r>
              <w:rPr>
                <w:spacing w:val="7"/>
              </w:rPr>
              <w:t xml:space="preserve"> </w:t>
            </w:r>
            <w:r>
              <w:rPr>
                <w:spacing w:val="7"/>
              </w:rPr>
              <w:t>半挥发性有机物的测定</w:t>
            </w:r>
            <w:r>
              <w:rPr>
                <w:spacing w:val="48"/>
              </w:rPr>
              <w:t xml:space="preserve"> </w:t>
            </w:r>
            <w:r>
              <w:rPr>
                <w:spacing w:val="7"/>
              </w:rPr>
              <w:t>气相色谱</w:t>
            </w:r>
            <w:r>
              <w:rPr>
                <w:rFonts w:ascii="Times New Roman" w:hAnsi="Times New Roman" w:eastAsia="Times New Roman" w:cs="Times New Roman"/>
                <w:spacing w:val="7"/>
              </w:rPr>
              <w:t>-</w:t>
            </w:r>
            <w:r>
              <w:rPr>
                <w:spacing w:val="7"/>
              </w:rPr>
              <w:t>质谱法</w:t>
            </w:r>
          </w:p>
          <w:p>
            <w:pPr>
              <w:ind w:left="2416"/>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spacing w:val="4"/>
              </w:rPr>
              <w:t>834-2017</w:t>
            </w:r>
          </w:p>
        </w:tc>
        <w:tc>
          <w:tcPr>
            <w:tcW w:w="1357" w:type="dxa"/>
            <w:vAlign w:val="top"/>
          </w:tcPr>
          <w:p>
            <w:pPr>
              <w:ind w:left="283"/>
              <w:spacing w:before="24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rPr>
              <w:t>kg</w:t>
            </w:r>
          </w:p>
        </w:tc>
      </w:tr>
      <w:tr>
        <w:trPr>
          <w:trHeight w:val="628" w:hRule="atLeast"/>
        </w:trPr>
        <w:tc>
          <w:tcPr>
            <w:tcW w:w="714" w:type="dxa"/>
            <w:vAlign w:val="top"/>
          </w:tcPr>
          <w:p>
            <w:pPr>
              <w:ind w:left="252"/>
              <w:spacing w:before="2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47</w:t>
            </w:r>
          </w:p>
        </w:tc>
        <w:tc>
          <w:tcPr>
            <w:tcW w:w="1965" w:type="dxa"/>
            <w:vAlign w:val="top"/>
          </w:tcPr>
          <w:p>
            <w:pPr>
              <w:pStyle w:val="TableText"/>
              <w:ind w:left="889"/>
              <w:spacing w:before="212" w:line="234" w:lineRule="auto"/>
              <w:rPr/>
            </w:pPr>
            <w:r>
              <w:rPr/>
              <w:t>䓛</w:t>
            </w:r>
          </w:p>
        </w:tc>
        <w:tc>
          <w:tcPr>
            <w:tcW w:w="5920" w:type="dxa"/>
            <w:vAlign w:val="top"/>
          </w:tcPr>
          <w:p>
            <w:pPr>
              <w:pStyle w:val="TableText"/>
              <w:ind w:left="418"/>
              <w:spacing w:before="55" w:line="229" w:lineRule="auto"/>
              <w:rPr/>
            </w:pPr>
            <w:r>
              <w:rPr>
                <w:spacing w:val="7"/>
              </w:rPr>
              <w:t>土壤和沉积物</w:t>
            </w:r>
            <w:r>
              <w:rPr>
                <w:spacing w:val="7"/>
              </w:rPr>
              <w:t xml:space="preserve"> </w:t>
            </w:r>
            <w:r>
              <w:rPr>
                <w:spacing w:val="7"/>
              </w:rPr>
              <w:t>半挥发性有机物的测定</w:t>
            </w:r>
            <w:r>
              <w:rPr>
                <w:spacing w:val="48"/>
              </w:rPr>
              <w:t xml:space="preserve"> </w:t>
            </w:r>
            <w:r>
              <w:rPr>
                <w:spacing w:val="7"/>
              </w:rPr>
              <w:t>气相色谱</w:t>
            </w:r>
            <w:r>
              <w:rPr>
                <w:rFonts w:ascii="Times New Roman" w:hAnsi="Times New Roman" w:eastAsia="Times New Roman" w:cs="Times New Roman"/>
                <w:spacing w:val="7"/>
              </w:rPr>
              <w:t>-</w:t>
            </w:r>
            <w:r>
              <w:rPr>
                <w:spacing w:val="7"/>
              </w:rPr>
              <w:t>质谱法</w:t>
            </w:r>
          </w:p>
          <w:p>
            <w:pPr>
              <w:ind w:left="2416"/>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spacing w:val="4"/>
              </w:rPr>
              <w:t>834-2017</w:t>
            </w:r>
          </w:p>
        </w:tc>
        <w:tc>
          <w:tcPr>
            <w:tcW w:w="1357" w:type="dxa"/>
            <w:vAlign w:val="top"/>
          </w:tcPr>
          <w:p>
            <w:pPr>
              <w:ind w:left="283"/>
              <w:spacing w:before="244"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rPr>
              <w:t>kg</w:t>
            </w:r>
          </w:p>
        </w:tc>
      </w:tr>
      <w:tr>
        <w:trPr>
          <w:trHeight w:val="629" w:hRule="atLeast"/>
        </w:trPr>
        <w:tc>
          <w:tcPr>
            <w:tcW w:w="714" w:type="dxa"/>
            <w:vAlign w:val="top"/>
          </w:tcPr>
          <w:p>
            <w:pPr>
              <w:ind w:left="252"/>
              <w:spacing w:before="2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48</w:t>
            </w:r>
          </w:p>
        </w:tc>
        <w:tc>
          <w:tcPr>
            <w:tcW w:w="1965" w:type="dxa"/>
            <w:vAlign w:val="top"/>
          </w:tcPr>
          <w:p>
            <w:pPr>
              <w:pStyle w:val="TableText"/>
              <w:ind w:left="165"/>
              <w:spacing w:before="212" w:line="226" w:lineRule="auto"/>
              <w:rPr/>
            </w:pPr>
            <w:r>
              <w:rPr>
                <w:spacing w:val="4"/>
              </w:rPr>
              <w:t>二苯并［</w:t>
            </w:r>
            <w:r>
              <w:rPr>
                <w:rFonts w:ascii="Times New Roman" w:hAnsi="Times New Roman" w:eastAsia="Times New Roman" w:cs="Times New Roman"/>
                <w:spacing w:val="4"/>
              </w:rPr>
              <w:t>a</w:t>
            </w:r>
            <w:r>
              <w:rPr>
                <w:rFonts w:ascii="Times New Roman" w:hAnsi="Times New Roman" w:eastAsia="Times New Roman" w:cs="Times New Roman"/>
                <w:spacing w:val="-19"/>
              </w:rPr>
              <w:t xml:space="preserve"> </w:t>
            </w:r>
            <w:r>
              <w:rPr>
                <w:spacing w:val="4"/>
              </w:rPr>
              <w:t>，</w:t>
            </w:r>
            <w:r>
              <w:rPr>
                <w:rFonts w:ascii="Times New Roman" w:hAnsi="Times New Roman" w:eastAsia="Times New Roman" w:cs="Times New Roman"/>
                <w:spacing w:val="4"/>
              </w:rPr>
              <w:t>h</w:t>
            </w:r>
            <w:r>
              <w:rPr>
                <w:spacing w:val="4"/>
              </w:rPr>
              <w:t>］蒽</w:t>
            </w:r>
          </w:p>
        </w:tc>
        <w:tc>
          <w:tcPr>
            <w:tcW w:w="5920" w:type="dxa"/>
            <w:vAlign w:val="top"/>
          </w:tcPr>
          <w:p>
            <w:pPr>
              <w:pStyle w:val="TableText"/>
              <w:ind w:left="418"/>
              <w:spacing w:before="56" w:line="229" w:lineRule="auto"/>
              <w:rPr/>
            </w:pPr>
            <w:r>
              <w:rPr>
                <w:spacing w:val="7"/>
              </w:rPr>
              <w:t>土壤和沉积物</w:t>
            </w:r>
            <w:r>
              <w:rPr>
                <w:spacing w:val="7"/>
              </w:rPr>
              <w:t xml:space="preserve"> </w:t>
            </w:r>
            <w:r>
              <w:rPr>
                <w:spacing w:val="7"/>
              </w:rPr>
              <w:t>半挥发性有机物的测定</w:t>
            </w:r>
            <w:r>
              <w:rPr>
                <w:spacing w:val="48"/>
              </w:rPr>
              <w:t xml:space="preserve"> </w:t>
            </w:r>
            <w:r>
              <w:rPr>
                <w:spacing w:val="7"/>
              </w:rPr>
              <w:t>气相色谱</w:t>
            </w:r>
            <w:r>
              <w:rPr>
                <w:rFonts w:ascii="Times New Roman" w:hAnsi="Times New Roman" w:eastAsia="Times New Roman" w:cs="Times New Roman"/>
                <w:spacing w:val="7"/>
              </w:rPr>
              <w:t>-</w:t>
            </w:r>
            <w:r>
              <w:rPr>
                <w:spacing w:val="7"/>
              </w:rPr>
              <w:t>质谱法</w:t>
            </w:r>
          </w:p>
          <w:p>
            <w:pPr>
              <w:ind w:left="2416"/>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spacing w:val="4"/>
              </w:rPr>
              <w:t>834-2017</w:t>
            </w:r>
          </w:p>
        </w:tc>
        <w:tc>
          <w:tcPr>
            <w:tcW w:w="1357" w:type="dxa"/>
            <w:vAlign w:val="top"/>
          </w:tcPr>
          <w:p>
            <w:pPr>
              <w:ind w:left="283"/>
              <w:spacing w:before="244"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rPr>
              <w:t>kg</w:t>
            </w:r>
          </w:p>
        </w:tc>
      </w:tr>
      <w:tr>
        <w:trPr>
          <w:trHeight w:val="629" w:hRule="atLeast"/>
        </w:trPr>
        <w:tc>
          <w:tcPr>
            <w:tcW w:w="714" w:type="dxa"/>
            <w:vAlign w:val="top"/>
          </w:tcPr>
          <w:p>
            <w:pPr>
              <w:ind w:left="252"/>
              <w:spacing w:before="2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49</w:t>
            </w:r>
          </w:p>
        </w:tc>
        <w:tc>
          <w:tcPr>
            <w:tcW w:w="1965" w:type="dxa"/>
            <w:vAlign w:val="top"/>
          </w:tcPr>
          <w:p>
            <w:pPr>
              <w:pStyle w:val="TableText"/>
              <w:ind w:left="132"/>
              <w:spacing w:before="212" w:line="221" w:lineRule="auto"/>
              <w:rPr/>
            </w:pPr>
            <w:r>
              <w:rPr>
                <w:spacing w:val="6"/>
              </w:rPr>
              <w:t>茚并［</w:t>
            </w:r>
            <w:r>
              <w:rPr>
                <w:rFonts w:ascii="Times New Roman" w:hAnsi="Times New Roman" w:eastAsia="Times New Roman" w:cs="Times New Roman"/>
                <w:spacing w:val="6"/>
              </w:rPr>
              <w:t>1,2,3-</w:t>
            </w:r>
            <w:r>
              <w:rPr>
                <w:rFonts w:ascii="Times New Roman" w:hAnsi="Times New Roman" w:eastAsia="Times New Roman" w:cs="Times New Roman"/>
              </w:rPr>
              <w:t>cd</w:t>
            </w:r>
            <w:r>
              <w:rPr>
                <w:spacing w:val="6"/>
              </w:rPr>
              <w:t>］芘</w:t>
            </w:r>
          </w:p>
        </w:tc>
        <w:tc>
          <w:tcPr>
            <w:tcW w:w="5920" w:type="dxa"/>
            <w:vAlign w:val="top"/>
          </w:tcPr>
          <w:p>
            <w:pPr>
              <w:pStyle w:val="TableText"/>
              <w:ind w:left="418"/>
              <w:spacing w:before="56" w:line="229" w:lineRule="auto"/>
              <w:rPr/>
            </w:pPr>
            <w:r>
              <w:rPr>
                <w:spacing w:val="7"/>
              </w:rPr>
              <w:t>土壤和沉积物</w:t>
            </w:r>
            <w:r>
              <w:rPr>
                <w:spacing w:val="7"/>
              </w:rPr>
              <w:t xml:space="preserve"> </w:t>
            </w:r>
            <w:r>
              <w:rPr>
                <w:spacing w:val="7"/>
              </w:rPr>
              <w:t>半挥发性有机物的测定</w:t>
            </w:r>
            <w:r>
              <w:rPr>
                <w:spacing w:val="48"/>
              </w:rPr>
              <w:t xml:space="preserve"> </w:t>
            </w:r>
            <w:r>
              <w:rPr>
                <w:spacing w:val="7"/>
              </w:rPr>
              <w:t>气相色谱</w:t>
            </w:r>
            <w:r>
              <w:rPr>
                <w:rFonts w:ascii="Times New Roman" w:hAnsi="Times New Roman" w:eastAsia="Times New Roman" w:cs="Times New Roman"/>
                <w:spacing w:val="7"/>
              </w:rPr>
              <w:t>-</w:t>
            </w:r>
            <w:r>
              <w:rPr>
                <w:spacing w:val="7"/>
              </w:rPr>
              <w:t>质谱法</w:t>
            </w:r>
          </w:p>
          <w:p>
            <w:pPr>
              <w:ind w:left="2416"/>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spacing w:val="4"/>
              </w:rPr>
              <w:t>834-2017</w:t>
            </w:r>
          </w:p>
        </w:tc>
        <w:tc>
          <w:tcPr>
            <w:tcW w:w="1357" w:type="dxa"/>
            <w:vAlign w:val="top"/>
          </w:tcPr>
          <w:p>
            <w:pPr>
              <w:ind w:left="283"/>
              <w:spacing w:before="244"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rPr>
              <w:t>kg</w:t>
            </w:r>
          </w:p>
        </w:tc>
      </w:tr>
      <w:tr>
        <w:trPr>
          <w:trHeight w:val="629" w:hRule="atLeast"/>
        </w:trPr>
        <w:tc>
          <w:tcPr>
            <w:tcW w:w="714" w:type="dxa"/>
            <w:vAlign w:val="top"/>
          </w:tcPr>
          <w:p>
            <w:pPr>
              <w:ind w:left="259"/>
              <w:spacing w:before="2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965" w:type="dxa"/>
            <w:vAlign w:val="top"/>
          </w:tcPr>
          <w:p>
            <w:pPr>
              <w:pStyle w:val="TableText"/>
              <w:ind w:left="889"/>
              <w:spacing w:before="212" w:line="233" w:lineRule="auto"/>
              <w:rPr/>
            </w:pPr>
            <w:r>
              <w:rPr/>
              <w:t>萘</w:t>
            </w:r>
          </w:p>
        </w:tc>
        <w:tc>
          <w:tcPr>
            <w:tcW w:w="5920" w:type="dxa"/>
            <w:vAlign w:val="top"/>
          </w:tcPr>
          <w:p>
            <w:pPr>
              <w:pStyle w:val="TableText"/>
              <w:ind w:left="418"/>
              <w:spacing w:before="55" w:line="229" w:lineRule="auto"/>
              <w:rPr/>
            </w:pPr>
            <w:r>
              <w:rPr>
                <w:spacing w:val="7"/>
              </w:rPr>
              <w:t>土壤和沉积物</w:t>
            </w:r>
            <w:r>
              <w:rPr>
                <w:spacing w:val="7"/>
              </w:rPr>
              <w:t xml:space="preserve"> </w:t>
            </w:r>
            <w:r>
              <w:rPr>
                <w:spacing w:val="7"/>
              </w:rPr>
              <w:t>半挥发性有机物的测定</w:t>
            </w:r>
            <w:r>
              <w:rPr>
                <w:spacing w:val="48"/>
              </w:rPr>
              <w:t xml:space="preserve"> </w:t>
            </w:r>
            <w:r>
              <w:rPr>
                <w:spacing w:val="7"/>
              </w:rPr>
              <w:t>气相色谱</w:t>
            </w:r>
            <w:r>
              <w:rPr>
                <w:rFonts w:ascii="Times New Roman" w:hAnsi="Times New Roman" w:eastAsia="Times New Roman" w:cs="Times New Roman"/>
                <w:spacing w:val="7"/>
              </w:rPr>
              <w:t>-</w:t>
            </w:r>
            <w:r>
              <w:rPr>
                <w:spacing w:val="7"/>
              </w:rPr>
              <w:t>质谱法</w:t>
            </w:r>
          </w:p>
          <w:p>
            <w:pPr>
              <w:ind w:left="2416"/>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spacing w:val="4"/>
              </w:rPr>
              <w:t>834-2017</w:t>
            </w:r>
          </w:p>
        </w:tc>
        <w:tc>
          <w:tcPr>
            <w:tcW w:w="1357" w:type="dxa"/>
            <w:vAlign w:val="top"/>
          </w:tcPr>
          <w:p>
            <w:pPr>
              <w:ind w:left="230"/>
              <w:spacing w:before="244"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0.09</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rPr>
              <w:t>kg</w:t>
            </w:r>
          </w:p>
        </w:tc>
      </w:tr>
      <w:tr>
        <w:trPr>
          <w:trHeight w:val="633" w:hRule="atLeast"/>
        </w:trPr>
        <w:tc>
          <w:tcPr>
            <w:tcW w:w="714" w:type="dxa"/>
            <w:vAlign w:val="top"/>
          </w:tcPr>
          <w:p>
            <w:pPr>
              <w:ind w:left="259"/>
              <w:spacing w:before="2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1965" w:type="dxa"/>
            <w:vAlign w:val="top"/>
          </w:tcPr>
          <w:p>
            <w:pPr>
              <w:pStyle w:val="TableText"/>
              <w:ind w:left="578"/>
              <w:spacing w:before="211" w:line="232" w:lineRule="auto"/>
              <w:rPr/>
            </w:pPr>
            <w:r>
              <w:rPr>
                <w:spacing w:val="4"/>
              </w:rPr>
              <w:t>二噁英类</w:t>
            </w:r>
          </w:p>
        </w:tc>
        <w:tc>
          <w:tcPr>
            <w:tcW w:w="5920" w:type="dxa"/>
            <w:vAlign w:val="top"/>
          </w:tcPr>
          <w:p>
            <w:pPr>
              <w:pStyle w:val="TableText"/>
              <w:ind w:left="209"/>
              <w:spacing w:before="56" w:line="229" w:lineRule="auto"/>
              <w:rPr>
                <w:rFonts w:ascii="Times New Roman" w:hAnsi="Times New Roman" w:eastAsia="Times New Roman" w:cs="Times New Roman"/>
              </w:rPr>
            </w:pPr>
            <w:r>
              <w:rPr>
                <w:spacing w:val="7"/>
              </w:rPr>
              <w:t>土壤和沉积物</w:t>
            </w:r>
            <w:r>
              <w:rPr>
                <w:spacing w:val="7"/>
              </w:rPr>
              <w:t xml:space="preserve"> </w:t>
            </w:r>
            <w:r>
              <w:rPr>
                <w:spacing w:val="7"/>
              </w:rPr>
              <w:t>二噁英类的测定</w:t>
            </w:r>
            <w:r>
              <w:rPr>
                <w:spacing w:val="62"/>
              </w:rPr>
              <w:t xml:space="preserve"> </w:t>
            </w:r>
            <w:r>
              <w:rPr>
                <w:spacing w:val="7"/>
              </w:rPr>
              <w:t>同位素稀释高分辨气相色谱</w:t>
            </w:r>
            <w:r>
              <w:rPr>
                <w:rFonts w:ascii="Times New Roman" w:hAnsi="Times New Roman" w:eastAsia="Times New Roman" w:cs="Times New Roman"/>
                <w:spacing w:val="7"/>
              </w:rPr>
              <w:t>-</w:t>
            </w:r>
          </w:p>
          <w:p>
            <w:pPr>
              <w:pStyle w:val="TableText"/>
              <w:ind w:left="1723"/>
              <w:spacing w:before="63" w:line="231" w:lineRule="auto"/>
              <w:rPr>
                <w:rFonts w:ascii="Times New Roman" w:hAnsi="Times New Roman" w:eastAsia="Times New Roman" w:cs="Times New Roman"/>
              </w:rPr>
            </w:pPr>
            <w:r>
              <w:rPr>
                <w:spacing w:val="5"/>
              </w:rPr>
              <w:t>高分辨质谱法</w:t>
            </w:r>
            <w:r>
              <w:rPr>
                <w:spacing w:val="5"/>
              </w:rPr>
              <w:t xml:space="preserve"> </w:t>
            </w:r>
            <w:r>
              <w:rPr>
                <w:rFonts w:ascii="Times New Roman" w:hAnsi="Times New Roman" w:eastAsia="Times New Roman" w:cs="Times New Roman"/>
              </w:rPr>
              <w:t>HJ</w:t>
            </w:r>
            <w:r>
              <w:rPr>
                <w:rFonts w:ascii="Times New Roman" w:hAnsi="Times New Roman" w:eastAsia="Times New Roman" w:cs="Times New Roman"/>
                <w:spacing w:val="5"/>
              </w:rPr>
              <w:t xml:space="preserve"> 77.4-2008</w:t>
            </w:r>
          </w:p>
        </w:tc>
        <w:tc>
          <w:tcPr>
            <w:tcW w:w="1357" w:type="dxa"/>
            <w:vAlign w:val="top"/>
          </w:tcPr>
          <w:p>
            <w:pPr>
              <w:ind w:left="648"/>
              <w:spacing w:before="24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bl>
    <w:p>
      <w:pPr>
        <w:rPr>
          <w:rFonts w:ascii="Arial"/>
          <w:sz w:val="21"/>
        </w:rPr>
      </w:pPr>
      <w:r/>
    </w:p>
    <w:p>
      <w:pPr>
        <w:sectPr>
          <w:footerReference w:type="default" r:id="rId136"/>
          <w:pgSz w:w="11906" w:h="16839"/>
          <w:pgMar w:top="1139" w:right="972" w:bottom="1252" w:left="972" w:header="831" w:footer="1090" w:gutter="0"/>
        </w:sectPr>
        <w:rPr>
          <w:rFonts w:ascii="Arial" w:hAnsi="Arial" w:eastAsia="Arial" w:cs="Arial"/>
          <w:sz w:val="21"/>
          <w:szCs w:val="21"/>
        </w:rPr>
      </w:pPr>
    </w:p>
    <w:p>
      <w:pPr>
        <w:spacing w:line="251" w:lineRule="auto"/>
        <w:rPr>
          <w:rFonts w:ascii="Arial"/>
          <w:sz w:val="21"/>
        </w:rPr>
      </w:pPr>
      <w:r/>
    </w:p>
    <w:p>
      <w:pPr>
        <w:spacing w:line="252" w:lineRule="auto"/>
        <w:rPr>
          <w:rFonts w:ascii="Arial"/>
          <w:sz w:val="21"/>
        </w:rPr>
      </w:pPr>
      <w:r/>
    </w:p>
    <w:p>
      <w:pPr>
        <w:pStyle w:val="BodyText"/>
        <w:ind w:left="121"/>
        <w:spacing w:before="78" w:line="222" w:lineRule="auto"/>
        <w:outlineLvl w:val="2"/>
        <w:rPr>
          <w:rFonts w:ascii="FangSong" w:hAnsi="FangSong" w:eastAsia="FangSong" w:cs="FangSong"/>
          <w:sz w:val="24"/>
          <w:szCs w:val="24"/>
        </w:rPr>
      </w:pPr>
      <w:r>
        <w:rPr>
          <w:sz w:val="24"/>
          <w:szCs w:val="24"/>
          <w:b/>
          <w:bCs/>
          <w:spacing w:val="-2"/>
        </w:rPr>
        <w:t>8.1.2  </w:t>
      </w:r>
      <w:r>
        <w:rPr>
          <w:rFonts w:ascii="FangSong" w:hAnsi="FangSong" w:eastAsia="FangSong" w:cs="FangSong"/>
          <w:sz w:val="24"/>
          <w:szCs w:val="24"/>
          <w:b/>
          <w:bCs/>
          <w:spacing w:val="-2"/>
        </w:rPr>
        <w:t>各点位监测结果</w:t>
      </w:r>
    </w:p>
    <w:p>
      <w:pPr>
        <w:pStyle w:val="BodyText"/>
        <w:ind w:left="4844"/>
        <w:spacing w:before="180" w:line="212" w:lineRule="auto"/>
        <w:rPr>
          <w:rFonts w:ascii="FangSong" w:hAnsi="FangSong" w:eastAsia="FangSong" w:cs="FangSong"/>
          <w:sz w:val="22"/>
          <w:szCs w:val="22"/>
        </w:rPr>
      </w:pPr>
      <w:r>
        <w:rPr>
          <w:rFonts w:ascii="FangSong" w:hAnsi="FangSong" w:eastAsia="FangSong" w:cs="FangSong"/>
          <w:sz w:val="24"/>
          <w:szCs w:val="24"/>
          <w:b/>
          <w:bCs/>
          <w:spacing w:val="-1"/>
        </w:rPr>
        <w:t>表</w:t>
      </w:r>
      <w:r>
        <w:rPr>
          <w:sz w:val="24"/>
          <w:szCs w:val="24"/>
          <w:b/>
          <w:bCs/>
          <w:spacing w:val="-1"/>
        </w:rPr>
        <w:t>8.1-2 2025</w:t>
      </w:r>
      <w:r>
        <w:rPr>
          <w:rFonts w:ascii="FangSong" w:hAnsi="FangSong" w:eastAsia="FangSong" w:cs="FangSong"/>
          <w:sz w:val="24"/>
          <w:szCs w:val="24"/>
          <w:b/>
          <w:bCs/>
          <w:spacing w:val="-1"/>
        </w:rPr>
        <w:t>年土壤样品检测结果（有检出）</w:t>
      </w:r>
      <w:r>
        <w:rPr>
          <w:rFonts w:ascii="FangSong" w:hAnsi="FangSong" w:eastAsia="FangSong" w:cs="FangSong"/>
          <w:sz w:val="24"/>
          <w:szCs w:val="24"/>
          <w:spacing w:val="-1"/>
        </w:rPr>
        <w:t xml:space="preserve">                   </w:t>
      </w:r>
      <w:r>
        <w:rPr>
          <w:rFonts w:ascii="FangSong" w:hAnsi="FangSong" w:eastAsia="FangSong" w:cs="FangSong"/>
          <w:sz w:val="22"/>
          <w:szCs w:val="22"/>
          <w:spacing w:val="-1"/>
        </w:rPr>
        <w:t>单位：</w:t>
      </w:r>
      <w:r>
        <w:rPr>
          <w:sz w:val="22"/>
          <w:szCs w:val="22"/>
          <w:spacing w:val="-1"/>
        </w:rPr>
        <w:t>mg/kg</w:t>
      </w:r>
      <w:r>
        <w:rPr>
          <w:rFonts w:ascii="FangSong" w:hAnsi="FangSong" w:eastAsia="FangSong" w:cs="FangSong"/>
          <w:sz w:val="22"/>
          <w:szCs w:val="22"/>
          <w:spacing w:val="-1"/>
        </w:rPr>
        <w:t>（</w:t>
      </w:r>
      <w:r>
        <w:rPr>
          <w:sz w:val="22"/>
          <w:szCs w:val="22"/>
          <w:spacing w:val="-1"/>
        </w:rPr>
        <w:t>pH</w:t>
      </w:r>
      <w:r>
        <w:rPr>
          <w:rFonts w:ascii="FangSong" w:hAnsi="FangSong" w:eastAsia="FangSong" w:cs="FangSong"/>
          <w:sz w:val="22"/>
          <w:szCs w:val="22"/>
          <w:spacing w:val="-1"/>
        </w:rPr>
        <w:t>值：无量纲）</w:t>
      </w:r>
    </w:p>
    <w:p>
      <w:pPr>
        <w:spacing w:line="78" w:lineRule="exact"/>
        <w:rPr/>
      </w:pPr>
      <w:r/>
    </w:p>
    <w:tbl>
      <w:tblPr>
        <w:tblStyle w:val="TableNormal"/>
        <w:tblW w:w="1482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31"/>
        <w:gridCol w:w="1547"/>
        <w:gridCol w:w="1028"/>
        <w:gridCol w:w="1002"/>
        <w:gridCol w:w="1002"/>
        <w:gridCol w:w="1005"/>
        <w:gridCol w:w="1005"/>
        <w:gridCol w:w="1005"/>
        <w:gridCol w:w="1005"/>
        <w:gridCol w:w="1005"/>
        <w:gridCol w:w="1005"/>
        <w:gridCol w:w="1007"/>
        <w:gridCol w:w="1007"/>
        <w:gridCol w:w="1075"/>
      </w:tblGrid>
      <w:tr>
        <w:trPr>
          <w:trHeight w:val="406" w:hRule="atLeast"/>
        </w:trPr>
        <w:tc>
          <w:tcPr>
            <w:tcW w:w="1131" w:type="dxa"/>
            <w:vAlign w:val="top"/>
          </w:tcPr>
          <w:p>
            <w:pPr>
              <w:pStyle w:val="TableText"/>
              <w:ind w:left="155"/>
              <w:spacing w:before="96" w:line="232" w:lineRule="auto"/>
              <w:rPr/>
            </w:pPr>
            <w:r>
              <w:rPr>
                <w:b/>
                <w:bCs/>
                <w:spacing w:val="5"/>
              </w:rPr>
              <w:t>测点编号</w:t>
            </w:r>
          </w:p>
        </w:tc>
        <w:tc>
          <w:tcPr>
            <w:tcW w:w="1547" w:type="dxa"/>
            <w:vAlign w:val="top"/>
          </w:tcPr>
          <w:p>
            <w:pPr>
              <w:pStyle w:val="TableText"/>
              <w:ind w:right="14"/>
              <w:spacing w:before="97" w:line="228" w:lineRule="auto"/>
              <w:jc w:val="right"/>
              <w:rPr/>
            </w:pPr>
            <w:r>
              <w:rPr>
                <w:b/>
                <w:bCs/>
                <w:spacing w:val="4"/>
              </w:rPr>
              <w:t>采样深度（</w:t>
            </w:r>
            <w:r>
              <w:rPr>
                <w:rFonts w:ascii="Times New Roman" w:hAnsi="Times New Roman" w:eastAsia="Times New Roman" w:cs="Times New Roman"/>
                <w:b/>
                <w:bCs/>
                <w:spacing w:val="4"/>
              </w:rPr>
              <w:t>m</w:t>
            </w:r>
            <w:r>
              <w:rPr>
                <w:b/>
                <w:bCs/>
                <w:spacing w:val="4"/>
              </w:rPr>
              <w:t>）</w:t>
            </w:r>
          </w:p>
        </w:tc>
        <w:tc>
          <w:tcPr>
            <w:tcW w:w="1028" w:type="dxa"/>
            <w:vAlign w:val="top"/>
          </w:tcPr>
          <w:p>
            <w:pPr>
              <w:pStyle w:val="TableText"/>
              <w:ind w:left="270"/>
              <w:spacing w:before="97" w:line="221" w:lineRule="auto"/>
              <w:rPr/>
            </w:pPr>
            <w:r>
              <w:rPr>
                <w:rFonts w:ascii="Times New Roman" w:hAnsi="Times New Roman" w:eastAsia="Times New Roman" w:cs="Times New Roman"/>
                <w:b/>
                <w:bCs/>
              </w:rPr>
              <w:t>pH</w:t>
            </w:r>
            <w:r>
              <w:rPr>
                <w:b/>
                <w:bCs/>
                <w:spacing w:val="14"/>
              </w:rPr>
              <w:t>值</w:t>
            </w:r>
          </w:p>
        </w:tc>
        <w:tc>
          <w:tcPr>
            <w:tcW w:w="1002" w:type="dxa"/>
            <w:vAlign w:val="top"/>
          </w:tcPr>
          <w:p>
            <w:pPr>
              <w:pStyle w:val="TableText"/>
              <w:ind w:left="310"/>
              <w:spacing w:before="96" w:line="229" w:lineRule="auto"/>
              <w:rPr/>
            </w:pPr>
            <w:r>
              <w:rPr>
                <w:b/>
                <w:bCs/>
                <w:spacing w:val="-4"/>
              </w:rPr>
              <w:t>总砷</w:t>
            </w:r>
          </w:p>
        </w:tc>
        <w:tc>
          <w:tcPr>
            <w:tcW w:w="1002" w:type="dxa"/>
            <w:vAlign w:val="top"/>
          </w:tcPr>
          <w:p>
            <w:pPr>
              <w:pStyle w:val="TableText"/>
              <w:ind w:left="406"/>
              <w:spacing w:before="97" w:line="232" w:lineRule="auto"/>
              <w:rPr/>
            </w:pPr>
            <w:r>
              <w:rPr>
                <w:b/>
                <w:bCs/>
                <w:spacing w:val="-3"/>
              </w:rPr>
              <w:t>镉</w:t>
            </w:r>
          </w:p>
        </w:tc>
        <w:tc>
          <w:tcPr>
            <w:tcW w:w="1005" w:type="dxa"/>
            <w:vAlign w:val="top"/>
          </w:tcPr>
          <w:p>
            <w:pPr>
              <w:pStyle w:val="TableText"/>
              <w:ind w:left="410"/>
              <w:spacing w:before="96" w:line="232" w:lineRule="auto"/>
              <w:rPr/>
            </w:pPr>
            <w:r>
              <w:rPr>
                <w:b/>
                <w:bCs/>
                <w:spacing w:val="-3"/>
              </w:rPr>
              <w:t>铜</w:t>
            </w:r>
          </w:p>
        </w:tc>
        <w:tc>
          <w:tcPr>
            <w:tcW w:w="1005" w:type="dxa"/>
            <w:vAlign w:val="top"/>
          </w:tcPr>
          <w:p>
            <w:pPr>
              <w:pStyle w:val="TableText"/>
              <w:ind w:left="406"/>
              <w:spacing w:before="97" w:line="231" w:lineRule="auto"/>
              <w:rPr/>
            </w:pPr>
            <w:r>
              <w:rPr>
                <w:b/>
                <w:bCs/>
                <w:spacing w:val="-3"/>
              </w:rPr>
              <w:t>铅</w:t>
            </w:r>
          </w:p>
        </w:tc>
        <w:tc>
          <w:tcPr>
            <w:tcW w:w="1005" w:type="dxa"/>
            <w:vAlign w:val="top"/>
          </w:tcPr>
          <w:p>
            <w:pPr>
              <w:pStyle w:val="TableText"/>
              <w:ind w:left="311"/>
              <w:spacing w:before="97" w:line="232" w:lineRule="auto"/>
              <w:rPr/>
            </w:pPr>
            <w:r>
              <w:rPr>
                <w:b/>
                <w:bCs/>
                <w:spacing w:val="-4"/>
              </w:rPr>
              <w:t>总汞</w:t>
            </w:r>
          </w:p>
        </w:tc>
        <w:tc>
          <w:tcPr>
            <w:tcW w:w="1005" w:type="dxa"/>
            <w:vAlign w:val="top"/>
          </w:tcPr>
          <w:p>
            <w:pPr>
              <w:pStyle w:val="TableText"/>
              <w:ind w:left="410"/>
              <w:spacing w:before="97" w:line="231" w:lineRule="auto"/>
              <w:rPr/>
            </w:pPr>
            <w:r>
              <w:rPr>
                <w:b/>
                <w:bCs/>
                <w:spacing w:val="-3"/>
              </w:rPr>
              <w:t>镍</w:t>
            </w:r>
          </w:p>
        </w:tc>
        <w:tc>
          <w:tcPr>
            <w:tcW w:w="1005" w:type="dxa"/>
            <w:vAlign w:val="top"/>
          </w:tcPr>
          <w:p>
            <w:pPr>
              <w:pStyle w:val="TableText"/>
              <w:ind w:left="410"/>
              <w:spacing w:before="97" w:line="230" w:lineRule="auto"/>
              <w:rPr/>
            </w:pPr>
            <w:r>
              <w:rPr>
                <w:b/>
                <w:bCs/>
                <w:spacing w:val="-3"/>
              </w:rPr>
              <w:t>铬</w:t>
            </w:r>
          </w:p>
        </w:tc>
        <w:tc>
          <w:tcPr>
            <w:tcW w:w="1005" w:type="dxa"/>
            <w:vAlign w:val="top"/>
          </w:tcPr>
          <w:p>
            <w:pPr>
              <w:pStyle w:val="TableText"/>
              <w:ind w:left="407"/>
              <w:spacing w:before="97" w:line="231" w:lineRule="auto"/>
              <w:rPr/>
            </w:pPr>
            <w:r>
              <w:rPr>
                <w:b/>
                <w:bCs/>
                <w:spacing w:val="-3"/>
              </w:rPr>
              <w:t>锌</w:t>
            </w:r>
          </w:p>
        </w:tc>
        <w:tc>
          <w:tcPr>
            <w:tcW w:w="1007" w:type="dxa"/>
            <w:vAlign w:val="top"/>
          </w:tcPr>
          <w:p>
            <w:pPr>
              <w:pStyle w:val="TableText"/>
              <w:ind w:left="205"/>
              <w:spacing w:before="97" w:line="229" w:lineRule="auto"/>
              <w:rPr/>
            </w:pPr>
            <w:r>
              <w:rPr>
                <w:b/>
                <w:bCs/>
                <w:spacing w:val="1"/>
              </w:rPr>
              <w:t>氟化物</w:t>
            </w:r>
          </w:p>
        </w:tc>
        <w:tc>
          <w:tcPr>
            <w:tcW w:w="1007" w:type="dxa"/>
            <w:vAlign w:val="top"/>
          </w:tcPr>
          <w:p>
            <w:pPr>
              <w:pStyle w:val="TableText"/>
              <w:ind w:left="200"/>
              <w:spacing w:before="97" w:line="233" w:lineRule="auto"/>
              <w:rPr/>
            </w:pPr>
            <w:r>
              <w:rPr>
                <w:b/>
                <w:bCs/>
                <w:spacing w:val="3"/>
              </w:rPr>
              <w:t>石油烃</w:t>
            </w:r>
          </w:p>
        </w:tc>
        <w:tc>
          <w:tcPr>
            <w:tcW w:w="1075" w:type="dxa"/>
            <w:vAlign w:val="top"/>
          </w:tcPr>
          <w:p>
            <w:pPr>
              <w:pStyle w:val="TableText"/>
              <w:ind w:left="239"/>
              <w:spacing w:before="96" w:line="232" w:lineRule="auto"/>
              <w:rPr/>
            </w:pPr>
            <w:r>
              <w:rPr>
                <w:b/>
                <w:bCs/>
                <w:spacing w:val="1"/>
              </w:rPr>
              <w:t>二噁英</w:t>
            </w:r>
          </w:p>
        </w:tc>
      </w:tr>
      <w:tr>
        <w:trPr>
          <w:trHeight w:val="401" w:hRule="atLeast"/>
        </w:trPr>
        <w:tc>
          <w:tcPr>
            <w:tcW w:w="1131" w:type="dxa"/>
            <w:vAlign w:val="top"/>
          </w:tcPr>
          <w:p>
            <w:pPr>
              <w:ind w:left="373"/>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AT</w:t>
            </w:r>
            <w:r>
              <w:rPr>
                <w:rFonts w:ascii="Times New Roman" w:hAnsi="Times New Roman" w:eastAsia="Times New Roman" w:cs="Times New Roman"/>
                <w:sz w:val="20"/>
                <w:szCs w:val="20"/>
                <w:spacing w:val="14"/>
              </w:rPr>
              <w:t>1</w:t>
            </w:r>
          </w:p>
        </w:tc>
        <w:tc>
          <w:tcPr>
            <w:tcW w:w="1547" w:type="dxa"/>
            <w:vAlign w:val="top"/>
          </w:tcPr>
          <w:p>
            <w:pPr>
              <w:ind w:left="537"/>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028" w:type="dxa"/>
            <w:vAlign w:val="top"/>
          </w:tcPr>
          <w:p>
            <w:pPr>
              <w:ind w:left="335"/>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6.36</w:t>
            </w:r>
          </w:p>
        </w:tc>
        <w:tc>
          <w:tcPr>
            <w:tcW w:w="1002" w:type="dxa"/>
            <w:vAlign w:val="top"/>
          </w:tcPr>
          <w:p>
            <w:pPr>
              <w:ind w:left="338"/>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10.4</w:t>
            </w:r>
          </w:p>
        </w:tc>
        <w:tc>
          <w:tcPr>
            <w:tcW w:w="1002" w:type="dxa"/>
            <w:vAlign w:val="top"/>
          </w:tcPr>
          <w:p>
            <w:pPr>
              <w:ind w:left="339"/>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1.62</w:t>
            </w:r>
          </w:p>
        </w:tc>
        <w:tc>
          <w:tcPr>
            <w:tcW w:w="1005" w:type="dxa"/>
            <w:vAlign w:val="top"/>
          </w:tcPr>
          <w:p>
            <w:pPr>
              <w:ind w:left="404"/>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tc>
        <w:tc>
          <w:tcPr>
            <w:tcW w:w="1005" w:type="dxa"/>
            <w:vAlign w:val="top"/>
          </w:tcPr>
          <w:p>
            <w:pPr>
              <w:ind w:left="397"/>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28</w:t>
            </w:r>
          </w:p>
        </w:tc>
        <w:tc>
          <w:tcPr>
            <w:tcW w:w="1005" w:type="dxa"/>
            <w:vAlign w:val="top"/>
          </w:tcPr>
          <w:p>
            <w:pPr>
              <w:ind w:left="272"/>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0.067</w:t>
            </w:r>
          </w:p>
        </w:tc>
        <w:tc>
          <w:tcPr>
            <w:tcW w:w="1005" w:type="dxa"/>
            <w:vAlign w:val="top"/>
          </w:tcPr>
          <w:p>
            <w:pPr>
              <w:ind w:left="366"/>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122</w:t>
            </w:r>
          </w:p>
        </w:tc>
        <w:tc>
          <w:tcPr>
            <w:tcW w:w="1005" w:type="dxa"/>
            <w:vAlign w:val="top"/>
          </w:tcPr>
          <w:p>
            <w:pPr>
              <w:ind w:left="408"/>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87</w:t>
            </w:r>
          </w:p>
        </w:tc>
        <w:tc>
          <w:tcPr>
            <w:tcW w:w="1005" w:type="dxa"/>
            <w:vAlign w:val="top"/>
          </w:tcPr>
          <w:p>
            <w:pPr>
              <w:ind w:left="367"/>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104</w:t>
            </w:r>
          </w:p>
        </w:tc>
        <w:tc>
          <w:tcPr>
            <w:tcW w:w="1007" w:type="dxa"/>
            <w:vAlign w:val="top"/>
          </w:tcPr>
          <w:p>
            <w:pPr>
              <w:ind w:left="352"/>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336</w:t>
            </w:r>
          </w:p>
        </w:tc>
        <w:tc>
          <w:tcPr>
            <w:tcW w:w="1007" w:type="dxa"/>
            <w:vAlign w:val="top"/>
          </w:tcPr>
          <w:p>
            <w:pPr>
              <w:ind w:left="422"/>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14</w:t>
            </w:r>
          </w:p>
        </w:tc>
        <w:tc>
          <w:tcPr>
            <w:tcW w:w="1075" w:type="dxa"/>
            <w:vAlign w:val="top"/>
          </w:tcPr>
          <w:p>
            <w:pPr>
              <w:ind w:left="138"/>
              <w:spacing w:before="110"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6.30×10</w:t>
            </w:r>
            <w:r>
              <w:rPr>
                <w:rFonts w:ascii="Times New Roman" w:hAnsi="Times New Roman" w:eastAsia="Times New Roman" w:cs="Times New Roman"/>
                <w:sz w:val="13"/>
                <w:szCs w:val="13"/>
                <w:spacing w:val="3"/>
                <w:position w:val="6"/>
              </w:rPr>
              <w:t>-6</w:t>
            </w:r>
          </w:p>
        </w:tc>
      </w:tr>
      <w:tr>
        <w:trPr>
          <w:trHeight w:val="402" w:hRule="atLeast"/>
        </w:trPr>
        <w:tc>
          <w:tcPr>
            <w:tcW w:w="1131" w:type="dxa"/>
            <w:vAlign w:val="top"/>
          </w:tcPr>
          <w:p>
            <w:pPr>
              <w:ind w:left="373"/>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AT</w:t>
            </w:r>
            <w:r>
              <w:rPr>
                <w:rFonts w:ascii="Times New Roman" w:hAnsi="Times New Roman" w:eastAsia="Times New Roman" w:cs="Times New Roman"/>
                <w:sz w:val="20"/>
                <w:szCs w:val="20"/>
                <w:spacing w:val="14"/>
              </w:rPr>
              <w:t>2</w:t>
            </w:r>
          </w:p>
        </w:tc>
        <w:tc>
          <w:tcPr>
            <w:tcW w:w="1547" w:type="dxa"/>
            <w:vAlign w:val="top"/>
          </w:tcPr>
          <w:p>
            <w:pPr>
              <w:ind w:left="537"/>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028" w:type="dxa"/>
            <w:vAlign w:val="top"/>
          </w:tcPr>
          <w:p>
            <w:pPr>
              <w:ind w:left="336"/>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5.44</w:t>
            </w:r>
          </w:p>
        </w:tc>
        <w:tc>
          <w:tcPr>
            <w:tcW w:w="1002" w:type="dxa"/>
            <w:vAlign w:val="top"/>
          </w:tcPr>
          <w:p>
            <w:pPr>
              <w:ind w:left="322"/>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9.85</w:t>
            </w:r>
          </w:p>
        </w:tc>
        <w:tc>
          <w:tcPr>
            <w:tcW w:w="1002" w:type="dxa"/>
            <w:vAlign w:val="top"/>
          </w:tcPr>
          <w:p>
            <w:pPr>
              <w:ind w:left="322"/>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0.56</w:t>
            </w:r>
          </w:p>
        </w:tc>
        <w:tc>
          <w:tcPr>
            <w:tcW w:w="1005" w:type="dxa"/>
            <w:vAlign w:val="top"/>
          </w:tcPr>
          <w:p>
            <w:pPr>
              <w:ind w:left="403"/>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1005" w:type="dxa"/>
            <w:vAlign w:val="top"/>
          </w:tcPr>
          <w:p>
            <w:pPr>
              <w:ind w:left="402"/>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1005" w:type="dxa"/>
            <w:vAlign w:val="top"/>
          </w:tcPr>
          <w:p>
            <w:pPr>
              <w:ind w:left="272"/>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0.086</w:t>
            </w:r>
          </w:p>
        </w:tc>
        <w:tc>
          <w:tcPr>
            <w:tcW w:w="1005" w:type="dxa"/>
            <w:vAlign w:val="top"/>
          </w:tcPr>
          <w:p>
            <w:pPr>
              <w:ind w:left="403"/>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1005" w:type="dxa"/>
            <w:vAlign w:val="top"/>
          </w:tcPr>
          <w:p>
            <w:pPr>
              <w:ind w:left="404"/>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005" w:type="dxa"/>
            <w:vAlign w:val="top"/>
          </w:tcPr>
          <w:p>
            <w:pPr>
              <w:ind w:left="40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1007" w:type="dxa"/>
            <w:vAlign w:val="top"/>
          </w:tcPr>
          <w:p>
            <w:pPr>
              <w:ind w:left="352"/>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330</w:t>
            </w:r>
          </w:p>
        </w:tc>
        <w:tc>
          <w:tcPr>
            <w:tcW w:w="1007" w:type="dxa"/>
            <w:vAlign w:val="top"/>
          </w:tcPr>
          <w:p>
            <w:pPr>
              <w:ind w:left="422"/>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1075" w:type="dxa"/>
            <w:vAlign w:val="top"/>
          </w:tcPr>
          <w:p>
            <w:pPr>
              <w:ind w:left="139"/>
              <w:spacing w:before="112"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2"/>
              </w:rPr>
              <w:t>5.40×10</w:t>
            </w:r>
            <w:r>
              <w:rPr>
                <w:rFonts w:ascii="Times New Roman" w:hAnsi="Times New Roman" w:eastAsia="Times New Roman" w:cs="Times New Roman"/>
                <w:sz w:val="13"/>
                <w:szCs w:val="13"/>
                <w:spacing w:val="2"/>
                <w:position w:val="6"/>
              </w:rPr>
              <w:t>-6</w:t>
            </w:r>
          </w:p>
        </w:tc>
      </w:tr>
      <w:tr>
        <w:trPr>
          <w:trHeight w:val="402" w:hRule="atLeast"/>
        </w:trPr>
        <w:tc>
          <w:tcPr>
            <w:tcW w:w="1131" w:type="dxa"/>
            <w:vAlign w:val="top"/>
          </w:tcPr>
          <w:p>
            <w:pPr>
              <w:ind w:left="380"/>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BT</w:t>
            </w:r>
            <w:r>
              <w:rPr>
                <w:rFonts w:ascii="Times New Roman" w:hAnsi="Times New Roman" w:eastAsia="Times New Roman" w:cs="Times New Roman"/>
                <w:sz w:val="20"/>
                <w:szCs w:val="20"/>
                <w:spacing w:val="11"/>
              </w:rPr>
              <w:t>2</w:t>
            </w:r>
          </w:p>
        </w:tc>
        <w:tc>
          <w:tcPr>
            <w:tcW w:w="1547" w:type="dxa"/>
            <w:vAlign w:val="top"/>
          </w:tcPr>
          <w:p>
            <w:pPr>
              <w:ind w:left="537"/>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028" w:type="dxa"/>
            <w:vAlign w:val="top"/>
          </w:tcPr>
          <w:p>
            <w:pPr>
              <w:ind w:left="336"/>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5.54</w:t>
            </w:r>
          </w:p>
        </w:tc>
        <w:tc>
          <w:tcPr>
            <w:tcW w:w="1002" w:type="dxa"/>
            <w:vAlign w:val="top"/>
          </w:tcPr>
          <w:p>
            <w:pPr>
              <w:ind w:left="338"/>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10.4</w:t>
            </w:r>
          </w:p>
        </w:tc>
        <w:tc>
          <w:tcPr>
            <w:tcW w:w="1002" w:type="dxa"/>
            <w:vAlign w:val="top"/>
          </w:tcPr>
          <w:p>
            <w:pPr>
              <w:ind w:left="322"/>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0.82</w:t>
            </w:r>
          </w:p>
        </w:tc>
        <w:tc>
          <w:tcPr>
            <w:tcW w:w="1005" w:type="dxa"/>
            <w:vAlign w:val="top"/>
          </w:tcPr>
          <w:p>
            <w:pPr>
              <w:ind w:left="398"/>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47</w:t>
            </w:r>
          </w:p>
        </w:tc>
        <w:tc>
          <w:tcPr>
            <w:tcW w:w="1005" w:type="dxa"/>
            <w:vAlign w:val="top"/>
          </w:tcPr>
          <w:p>
            <w:pPr>
              <w:ind w:left="402"/>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1005" w:type="dxa"/>
            <w:vAlign w:val="top"/>
          </w:tcPr>
          <w:p>
            <w:pPr>
              <w:ind w:left="272"/>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0.098</w:t>
            </w:r>
          </w:p>
        </w:tc>
        <w:tc>
          <w:tcPr>
            <w:tcW w:w="1005" w:type="dxa"/>
            <w:vAlign w:val="top"/>
          </w:tcPr>
          <w:p>
            <w:pPr>
              <w:ind w:left="403"/>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96</w:t>
            </w:r>
          </w:p>
        </w:tc>
        <w:tc>
          <w:tcPr>
            <w:tcW w:w="1005" w:type="dxa"/>
            <w:vAlign w:val="top"/>
          </w:tcPr>
          <w:p>
            <w:pPr>
              <w:ind w:left="408"/>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82</w:t>
            </w:r>
          </w:p>
        </w:tc>
        <w:tc>
          <w:tcPr>
            <w:tcW w:w="1005" w:type="dxa"/>
            <w:vAlign w:val="top"/>
          </w:tcPr>
          <w:p>
            <w:pPr>
              <w:ind w:left="401"/>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94</w:t>
            </w:r>
          </w:p>
        </w:tc>
        <w:tc>
          <w:tcPr>
            <w:tcW w:w="1007" w:type="dxa"/>
            <w:vAlign w:val="top"/>
          </w:tcPr>
          <w:p>
            <w:pPr>
              <w:ind w:left="352"/>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312</w:t>
            </w:r>
          </w:p>
        </w:tc>
        <w:tc>
          <w:tcPr>
            <w:tcW w:w="1007" w:type="dxa"/>
            <w:vAlign w:val="top"/>
          </w:tcPr>
          <w:p>
            <w:pPr>
              <w:ind w:left="422"/>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1075" w:type="dxa"/>
            <w:vAlign w:val="top"/>
          </w:tcPr>
          <w:p>
            <w:pPr>
              <w:ind w:left="142"/>
              <w:spacing w:before="110"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1"/>
              </w:rPr>
              <w:t>8.</w:t>
            </w:r>
            <w:r>
              <w:rPr>
                <w:rFonts w:ascii="Times New Roman" w:hAnsi="Times New Roman" w:eastAsia="Times New Roman" w:cs="Times New Roman"/>
                <w:sz w:val="20"/>
                <w:szCs w:val="20"/>
                <w:spacing w:val="-19"/>
              </w:rPr>
              <w:t xml:space="preserve"> </w:t>
            </w:r>
            <w:r>
              <w:rPr>
                <w:rFonts w:ascii="Times New Roman" w:hAnsi="Times New Roman" w:eastAsia="Times New Roman" w:cs="Times New Roman"/>
                <w:sz w:val="20"/>
                <w:szCs w:val="20"/>
                <w:spacing w:val="-1"/>
              </w:rPr>
              <w:t>10×10</w:t>
            </w:r>
            <w:r>
              <w:rPr>
                <w:rFonts w:ascii="Times New Roman" w:hAnsi="Times New Roman" w:eastAsia="Times New Roman" w:cs="Times New Roman"/>
                <w:sz w:val="13"/>
                <w:szCs w:val="13"/>
                <w:spacing w:val="-1"/>
                <w:position w:val="6"/>
              </w:rPr>
              <w:t>-6</w:t>
            </w:r>
          </w:p>
        </w:tc>
      </w:tr>
      <w:tr>
        <w:trPr>
          <w:trHeight w:val="401" w:hRule="atLeast"/>
        </w:trPr>
        <w:tc>
          <w:tcPr>
            <w:tcW w:w="1131" w:type="dxa"/>
            <w:vAlign w:val="top"/>
          </w:tcPr>
          <w:p>
            <w:pPr>
              <w:ind w:left="384"/>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CT</w:t>
            </w:r>
            <w:r>
              <w:rPr>
                <w:rFonts w:ascii="Times New Roman" w:hAnsi="Times New Roman" w:eastAsia="Times New Roman" w:cs="Times New Roman"/>
                <w:sz w:val="20"/>
                <w:szCs w:val="20"/>
                <w:spacing w:val="7"/>
              </w:rPr>
              <w:t>1</w:t>
            </w:r>
          </w:p>
        </w:tc>
        <w:tc>
          <w:tcPr>
            <w:tcW w:w="1547" w:type="dxa"/>
            <w:vAlign w:val="top"/>
          </w:tcPr>
          <w:p>
            <w:pPr>
              <w:ind w:left="537"/>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028" w:type="dxa"/>
            <w:vAlign w:val="top"/>
          </w:tcPr>
          <w:p>
            <w:pPr>
              <w:ind w:left="336"/>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5.56</w:t>
            </w:r>
          </w:p>
        </w:tc>
        <w:tc>
          <w:tcPr>
            <w:tcW w:w="1002" w:type="dxa"/>
            <w:vAlign w:val="top"/>
          </w:tcPr>
          <w:p>
            <w:pPr>
              <w:ind w:left="321"/>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7.32</w:t>
            </w:r>
          </w:p>
        </w:tc>
        <w:tc>
          <w:tcPr>
            <w:tcW w:w="1002" w:type="dxa"/>
            <w:vAlign w:val="top"/>
          </w:tcPr>
          <w:p>
            <w:pPr>
              <w:ind w:left="318"/>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4.31</w:t>
            </w:r>
          </w:p>
        </w:tc>
        <w:tc>
          <w:tcPr>
            <w:tcW w:w="1005" w:type="dxa"/>
            <w:vAlign w:val="top"/>
          </w:tcPr>
          <w:p>
            <w:pPr>
              <w:ind w:left="367"/>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138</w:t>
            </w:r>
          </w:p>
        </w:tc>
        <w:tc>
          <w:tcPr>
            <w:tcW w:w="1005" w:type="dxa"/>
            <w:vAlign w:val="top"/>
          </w:tcPr>
          <w:p>
            <w:pPr>
              <w:ind w:left="403"/>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005" w:type="dxa"/>
            <w:vAlign w:val="top"/>
          </w:tcPr>
          <w:p>
            <w:pPr>
              <w:ind w:left="272"/>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0.129</w:t>
            </w:r>
          </w:p>
        </w:tc>
        <w:tc>
          <w:tcPr>
            <w:tcW w:w="1005" w:type="dxa"/>
            <w:vAlign w:val="top"/>
          </w:tcPr>
          <w:p>
            <w:pPr>
              <w:ind w:left="403"/>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1005" w:type="dxa"/>
            <w:vAlign w:val="top"/>
          </w:tcPr>
          <w:p>
            <w:pPr>
              <w:ind w:left="367"/>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106</w:t>
            </w:r>
          </w:p>
        </w:tc>
        <w:tc>
          <w:tcPr>
            <w:tcW w:w="1005" w:type="dxa"/>
            <w:vAlign w:val="top"/>
          </w:tcPr>
          <w:p>
            <w:pPr>
              <w:ind w:left="367"/>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172</w:t>
            </w:r>
          </w:p>
        </w:tc>
        <w:tc>
          <w:tcPr>
            <w:tcW w:w="1007" w:type="dxa"/>
            <w:vAlign w:val="top"/>
          </w:tcPr>
          <w:p>
            <w:pPr>
              <w:ind w:left="352"/>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316</w:t>
            </w:r>
          </w:p>
        </w:tc>
        <w:tc>
          <w:tcPr>
            <w:tcW w:w="1007" w:type="dxa"/>
            <w:vAlign w:val="top"/>
          </w:tcPr>
          <w:p>
            <w:pPr>
              <w:ind w:left="422"/>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14</w:t>
            </w:r>
          </w:p>
        </w:tc>
        <w:tc>
          <w:tcPr>
            <w:tcW w:w="1075" w:type="dxa"/>
            <w:vAlign w:val="top"/>
          </w:tcPr>
          <w:p>
            <w:pPr>
              <w:ind w:left="133"/>
              <w:spacing w:before="111"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4.60×10</w:t>
            </w:r>
            <w:r>
              <w:rPr>
                <w:rFonts w:ascii="Times New Roman" w:hAnsi="Times New Roman" w:eastAsia="Times New Roman" w:cs="Times New Roman"/>
                <w:sz w:val="13"/>
                <w:szCs w:val="13"/>
                <w:spacing w:val="3"/>
                <w:position w:val="6"/>
              </w:rPr>
              <w:t>-6</w:t>
            </w:r>
          </w:p>
        </w:tc>
      </w:tr>
      <w:tr>
        <w:trPr>
          <w:trHeight w:val="402" w:hRule="atLeast"/>
        </w:trPr>
        <w:tc>
          <w:tcPr>
            <w:tcW w:w="1131" w:type="dxa"/>
            <w:vAlign w:val="top"/>
          </w:tcPr>
          <w:p>
            <w:pPr>
              <w:ind w:left="384"/>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CT</w:t>
            </w:r>
            <w:r>
              <w:rPr>
                <w:rFonts w:ascii="Times New Roman" w:hAnsi="Times New Roman" w:eastAsia="Times New Roman" w:cs="Times New Roman"/>
                <w:sz w:val="20"/>
                <w:szCs w:val="20"/>
                <w:spacing w:val="7"/>
              </w:rPr>
              <w:t>2</w:t>
            </w:r>
          </w:p>
        </w:tc>
        <w:tc>
          <w:tcPr>
            <w:tcW w:w="1547" w:type="dxa"/>
            <w:vAlign w:val="top"/>
          </w:tcPr>
          <w:p>
            <w:pPr>
              <w:ind w:left="537"/>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028" w:type="dxa"/>
            <w:vAlign w:val="top"/>
          </w:tcPr>
          <w:p>
            <w:pPr>
              <w:ind w:left="336"/>
              <w:spacing w:before="13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5.55</w:t>
            </w:r>
          </w:p>
        </w:tc>
        <w:tc>
          <w:tcPr>
            <w:tcW w:w="1002" w:type="dxa"/>
            <w:vAlign w:val="top"/>
          </w:tcPr>
          <w:p>
            <w:pPr>
              <w:ind w:left="338"/>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10.8</w:t>
            </w:r>
          </w:p>
        </w:tc>
        <w:tc>
          <w:tcPr>
            <w:tcW w:w="1002" w:type="dxa"/>
            <w:vAlign w:val="top"/>
          </w:tcPr>
          <w:p>
            <w:pPr>
              <w:ind w:left="319"/>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2.80</w:t>
            </w:r>
          </w:p>
        </w:tc>
        <w:tc>
          <w:tcPr>
            <w:tcW w:w="1005" w:type="dxa"/>
            <w:vAlign w:val="top"/>
          </w:tcPr>
          <w:p>
            <w:pPr>
              <w:ind w:left="398"/>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49</w:t>
            </w:r>
          </w:p>
        </w:tc>
        <w:tc>
          <w:tcPr>
            <w:tcW w:w="1005" w:type="dxa"/>
            <w:vAlign w:val="top"/>
          </w:tcPr>
          <w:p>
            <w:pPr>
              <w:ind w:left="402"/>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005" w:type="dxa"/>
            <w:vAlign w:val="top"/>
          </w:tcPr>
          <w:p>
            <w:pPr>
              <w:ind w:left="272"/>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0.065</w:t>
            </w:r>
          </w:p>
        </w:tc>
        <w:tc>
          <w:tcPr>
            <w:tcW w:w="1005" w:type="dxa"/>
            <w:vAlign w:val="top"/>
          </w:tcPr>
          <w:p>
            <w:pPr>
              <w:ind w:left="366"/>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107</w:t>
            </w:r>
          </w:p>
        </w:tc>
        <w:tc>
          <w:tcPr>
            <w:tcW w:w="1005" w:type="dxa"/>
            <w:vAlign w:val="top"/>
          </w:tcPr>
          <w:p>
            <w:pPr>
              <w:ind w:left="403"/>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1005" w:type="dxa"/>
            <w:vAlign w:val="top"/>
          </w:tcPr>
          <w:p>
            <w:pPr>
              <w:ind w:left="367"/>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118</w:t>
            </w:r>
          </w:p>
        </w:tc>
        <w:tc>
          <w:tcPr>
            <w:tcW w:w="1007" w:type="dxa"/>
            <w:vAlign w:val="top"/>
          </w:tcPr>
          <w:p>
            <w:pPr>
              <w:ind w:left="352"/>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342</w:t>
            </w:r>
          </w:p>
        </w:tc>
        <w:tc>
          <w:tcPr>
            <w:tcW w:w="1007" w:type="dxa"/>
            <w:vAlign w:val="top"/>
          </w:tcPr>
          <w:p>
            <w:pPr>
              <w:ind w:left="422"/>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16</w:t>
            </w:r>
          </w:p>
        </w:tc>
        <w:tc>
          <w:tcPr>
            <w:tcW w:w="1075" w:type="dxa"/>
            <w:vAlign w:val="top"/>
          </w:tcPr>
          <w:p>
            <w:pPr>
              <w:ind w:left="138"/>
              <w:spacing w:before="114" w:line="213"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6.90×10</w:t>
            </w:r>
            <w:r>
              <w:rPr>
                <w:rFonts w:ascii="Times New Roman" w:hAnsi="Times New Roman" w:eastAsia="Times New Roman" w:cs="Times New Roman"/>
                <w:sz w:val="13"/>
                <w:szCs w:val="13"/>
                <w:spacing w:val="3"/>
                <w:position w:val="6"/>
              </w:rPr>
              <w:t>-6</w:t>
            </w:r>
          </w:p>
        </w:tc>
      </w:tr>
      <w:tr>
        <w:trPr>
          <w:trHeight w:val="401" w:hRule="atLeast"/>
        </w:trPr>
        <w:tc>
          <w:tcPr>
            <w:tcW w:w="1131" w:type="dxa"/>
            <w:vAlign w:val="top"/>
          </w:tcPr>
          <w:p>
            <w:pPr>
              <w:ind w:left="375"/>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DT</w:t>
            </w:r>
            <w:r>
              <w:rPr>
                <w:rFonts w:ascii="Times New Roman" w:hAnsi="Times New Roman" w:eastAsia="Times New Roman" w:cs="Times New Roman"/>
                <w:sz w:val="20"/>
                <w:szCs w:val="20"/>
                <w:spacing w:val="12"/>
              </w:rPr>
              <w:t>2</w:t>
            </w:r>
          </w:p>
        </w:tc>
        <w:tc>
          <w:tcPr>
            <w:tcW w:w="1547" w:type="dxa"/>
            <w:vAlign w:val="top"/>
          </w:tcPr>
          <w:p>
            <w:pPr>
              <w:ind w:left="537"/>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028" w:type="dxa"/>
            <w:vAlign w:val="top"/>
          </w:tcPr>
          <w:p>
            <w:pPr>
              <w:ind w:left="336"/>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5.48</w:t>
            </w:r>
          </w:p>
        </w:tc>
        <w:tc>
          <w:tcPr>
            <w:tcW w:w="1002" w:type="dxa"/>
            <w:vAlign w:val="top"/>
          </w:tcPr>
          <w:p>
            <w:pPr>
              <w:ind w:left="338"/>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10.4</w:t>
            </w:r>
          </w:p>
        </w:tc>
        <w:tc>
          <w:tcPr>
            <w:tcW w:w="1002" w:type="dxa"/>
            <w:vAlign w:val="top"/>
          </w:tcPr>
          <w:p>
            <w:pPr>
              <w:ind w:left="31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2.96</w:t>
            </w:r>
          </w:p>
        </w:tc>
        <w:tc>
          <w:tcPr>
            <w:tcW w:w="1005" w:type="dxa"/>
            <w:vAlign w:val="top"/>
          </w:tcPr>
          <w:p>
            <w:pPr>
              <w:ind w:left="403"/>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c>
          <w:tcPr>
            <w:tcW w:w="1005" w:type="dxa"/>
            <w:vAlign w:val="top"/>
          </w:tcPr>
          <w:p>
            <w:pPr>
              <w:ind w:left="396"/>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43</w:t>
            </w:r>
          </w:p>
        </w:tc>
        <w:tc>
          <w:tcPr>
            <w:tcW w:w="1005" w:type="dxa"/>
            <w:vAlign w:val="top"/>
          </w:tcPr>
          <w:p>
            <w:pPr>
              <w:ind w:left="272"/>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0.056</w:t>
            </w:r>
          </w:p>
        </w:tc>
        <w:tc>
          <w:tcPr>
            <w:tcW w:w="1005" w:type="dxa"/>
            <w:vAlign w:val="top"/>
          </w:tcPr>
          <w:p>
            <w:pPr>
              <w:ind w:left="366"/>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189</w:t>
            </w:r>
          </w:p>
        </w:tc>
        <w:tc>
          <w:tcPr>
            <w:tcW w:w="1005" w:type="dxa"/>
            <w:vAlign w:val="top"/>
          </w:tcPr>
          <w:p>
            <w:pPr>
              <w:ind w:left="367"/>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102</w:t>
            </w:r>
          </w:p>
        </w:tc>
        <w:tc>
          <w:tcPr>
            <w:tcW w:w="1005" w:type="dxa"/>
            <w:vAlign w:val="top"/>
          </w:tcPr>
          <w:p>
            <w:pPr>
              <w:ind w:left="367"/>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138</w:t>
            </w:r>
          </w:p>
        </w:tc>
        <w:tc>
          <w:tcPr>
            <w:tcW w:w="1007" w:type="dxa"/>
            <w:vAlign w:val="top"/>
          </w:tcPr>
          <w:p>
            <w:pPr>
              <w:ind w:left="352"/>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379</w:t>
            </w:r>
          </w:p>
        </w:tc>
        <w:tc>
          <w:tcPr>
            <w:tcW w:w="1007" w:type="dxa"/>
            <w:vAlign w:val="top"/>
          </w:tcPr>
          <w:p>
            <w:pPr>
              <w:ind w:left="422"/>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c>
          <w:tcPr>
            <w:tcW w:w="1075" w:type="dxa"/>
            <w:vAlign w:val="top"/>
          </w:tcPr>
          <w:p>
            <w:pPr>
              <w:ind w:left="137"/>
              <w:spacing w:before="112"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7.70×10</w:t>
            </w:r>
            <w:r>
              <w:rPr>
                <w:rFonts w:ascii="Times New Roman" w:hAnsi="Times New Roman" w:eastAsia="Times New Roman" w:cs="Times New Roman"/>
                <w:sz w:val="13"/>
                <w:szCs w:val="13"/>
                <w:spacing w:val="3"/>
                <w:position w:val="6"/>
              </w:rPr>
              <w:t>-6</w:t>
            </w:r>
          </w:p>
        </w:tc>
      </w:tr>
      <w:tr>
        <w:trPr>
          <w:trHeight w:val="402" w:hRule="atLeast"/>
        </w:trPr>
        <w:tc>
          <w:tcPr>
            <w:tcW w:w="1131" w:type="dxa"/>
            <w:vAlign w:val="top"/>
          </w:tcPr>
          <w:p>
            <w:pPr>
              <w:ind w:left="385"/>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ET</w:t>
            </w:r>
            <w:r>
              <w:rPr>
                <w:rFonts w:ascii="Times New Roman" w:hAnsi="Times New Roman" w:eastAsia="Times New Roman" w:cs="Times New Roman"/>
                <w:sz w:val="20"/>
                <w:szCs w:val="20"/>
                <w:spacing w:val="10"/>
              </w:rPr>
              <w:t>1</w:t>
            </w:r>
          </w:p>
        </w:tc>
        <w:tc>
          <w:tcPr>
            <w:tcW w:w="1547" w:type="dxa"/>
            <w:vAlign w:val="top"/>
          </w:tcPr>
          <w:p>
            <w:pPr>
              <w:ind w:left="537"/>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028" w:type="dxa"/>
            <w:vAlign w:val="top"/>
          </w:tcPr>
          <w:p>
            <w:pPr>
              <w:ind w:left="336"/>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5.60</w:t>
            </w:r>
          </w:p>
        </w:tc>
        <w:tc>
          <w:tcPr>
            <w:tcW w:w="1002" w:type="dxa"/>
            <w:vAlign w:val="top"/>
          </w:tcPr>
          <w:p>
            <w:pPr>
              <w:ind w:left="338"/>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10.3</w:t>
            </w:r>
          </w:p>
        </w:tc>
        <w:tc>
          <w:tcPr>
            <w:tcW w:w="1002" w:type="dxa"/>
            <w:vAlign w:val="top"/>
          </w:tcPr>
          <w:p>
            <w:pPr>
              <w:ind w:left="33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1.32</w:t>
            </w:r>
          </w:p>
        </w:tc>
        <w:tc>
          <w:tcPr>
            <w:tcW w:w="1005" w:type="dxa"/>
            <w:vAlign w:val="top"/>
          </w:tcPr>
          <w:p>
            <w:pPr>
              <w:ind w:left="403"/>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1005" w:type="dxa"/>
            <w:vAlign w:val="top"/>
          </w:tcPr>
          <w:p>
            <w:pPr>
              <w:ind w:left="402"/>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005" w:type="dxa"/>
            <w:vAlign w:val="top"/>
          </w:tcPr>
          <w:p>
            <w:pPr>
              <w:ind w:left="272"/>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0.060</w:t>
            </w:r>
          </w:p>
        </w:tc>
        <w:tc>
          <w:tcPr>
            <w:tcW w:w="1005" w:type="dxa"/>
            <w:vAlign w:val="top"/>
          </w:tcPr>
          <w:p>
            <w:pPr>
              <w:ind w:left="407"/>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82</w:t>
            </w:r>
          </w:p>
        </w:tc>
        <w:tc>
          <w:tcPr>
            <w:tcW w:w="1005" w:type="dxa"/>
            <w:vAlign w:val="top"/>
          </w:tcPr>
          <w:p>
            <w:pPr>
              <w:ind w:left="408"/>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83</w:t>
            </w:r>
          </w:p>
        </w:tc>
        <w:tc>
          <w:tcPr>
            <w:tcW w:w="1005" w:type="dxa"/>
            <w:vAlign w:val="top"/>
          </w:tcPr>
          <w:p>
            <w:pPr>
              <w:ind w:left="367"/>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103</w:t>
            </w:r>
          </w:p>
        </w:tc>
        <w:tc>
          <w:tcPr>
            <w:tcW w:w="1007" w:type="dxa"/>
            <w:vAlign w:val="top"/>
          </w:tcPr>
          <w:p>
            <w:pPr>
              <w:ind w:left="352"/>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308</w:t>
            </w:r>
          </w:p>
        </w:tc>
        <w:tc>
          <w:tcPr>
            <w:tcW w:w="1007" w:type="dxa"/>
            <w:vAlign w:val="top"/>
          </w:tcPr>
          <w:p>
            <w:pPr>
              <w:ind w:left="422"/>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1075" w:type="dxa"/>
            <w:vAlign w:val="top"/>
          </w:tcPr>
          <w:p>
            <w:pPr>
              <w:ind w:left="133"/>
              <w:spacing w:before="114"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4.60×10</w:t>
            </w:r>
            <w:r>
              <w:rPr>
                <w:rFonts w:ascii="Times New Roman" w:hAnsi="Times New Roman" w:eastAsia="Times New Roman" w:cs="Times New Roman"/>
                <w:sz w:val="13"/>
                <w:szCs w:val="13"/>
                <w:spacing w:val="3"/>
                <w:position w:val="6"/>
              </w:rPr>
              <w:t>-6</w:t>
            </w:r>
          </w:p>
        </w:tc>
      </w:tr>
      <w:tr>
        <w:trPr>
          <w:trHeight w:val="402" w:hRule="atLeast"/>
        </w:trPr>
        <w:tc>
          <w:tcPr>
            <w:tcW w:w="1131" w:type="dxa"/>
            <w:vAlign w:val="top"/>
          </w:tcPr>
          <w:p>
            <w:pPr>
              <w:ind w:left="39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FT</w:t>
            </w:r>
            <w:r>
              <w:rPr>
                <w:rFonts w:ascii="Times New Roman" w:hAnsi="Times New Roman" w:eastAsia="Times New Roman" w:cs="Times New Roman"/>
                <w:sz w:val="20"/>
                <w:szCs w:val="20"/>
                <w:spacing w:val="10"/>
              </w:rPr>
              <w:t>1</w:t>
            </w:r>
          </w:p>
        </w:tc>
        <w:tc>
          <w:tcPr>
            <w:tcW w:w="1547" w:type="dxa"/>
            <w:vAlign w:val="top"/>
          </w:tcPr>
          <w:p>
            <w:pPr>
              <w:ind w:left="537"/>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028" w:type="dxa"/>
            <w:vAlign w:val="top"/>
          </w:tcPr>
          <w:p>
            <w:pPr>
              <w:ind w:left="336"/>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5.54</w:t>
            </w:r>
          </w:p>
        </w:tc>
        <w:tc>
          <w:tcPr>
            <w:tcW w:w="1002" w:type="dxa"/>
            <w:vAlign w:val="top"/>
          </w:tcPr>
          <w:p>
            <w:pPr>
              <w:ind w:left="338"/>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13.9</w:t>
            </w:r>
          </w:p>
        </w:tc>
        <w:tc>
          <w:tcPr>
            <w:tcW w:w="1002" w:type="dxa"/>
            <w:vAlign w:val="top"/>
          </w:tcPr>
          <w:p>
            <w:pPr>
              <w:ind w:left="375"/>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7.3</w:t>
            </w:r>
          </w:p>
        </w:tc>
        <w:tc>
          <w:tcPr>
            <w:tcW w:w="1005" w:type="dxa"/>
            <w:vAlign w:val="top"/>
          </w:tcPr>
          <w:p>
            <w:pPr>
              <w:ind w:left="367"/>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164</w:t>
            </w:r>
          </w:p>
        </w:tc>
        <w:tc>
          <w:tcPr>
            <w:tcW w:w="1005" w:type="dxa"/>
            <w:vAlign w:val="top"/>
          </w:tcPr>
          <w:p>
            <w:pPr>
              <w:ind w:left="403"/>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1005" w:type="dxa"/>
            <w:vAlign w:val="top"/>
          </w:tcPr>
          <w:p>
            <w:pPr>
              <w:ind w:left="272"/>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0.072</w:t>
            </w:r>
          </w:p>
        </w:tc>
        <w:tc>
          <w:tcPr>
            <w:tcW w:w="1005" w:type="dxa"/>
            <w:vAlign w:val="top"/>
          </w:tcPr>
          <w:p>
            <w:pPr>
              <w:ind w:left="366"/>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136</w:t>
            </w:r>
          </w:p>
        </w:tc>
        <w:tc>
          <w:tcPr>
            <w:tcW w:w="1005" w:type="dxa"/>
            <w:vAlign w:val="top"/>
          </w:tcPr>
          <w:p>
            <w:pPr>
              <w:ind w:left="367"/>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124</w:t>
            </w:r>
          </w:p>
        </w:tc>
        <w:tc>
          <w:tcPr>
            <w:tcW w:w="1005" w:type="dxa"/>
            <w:vAlign w:val="top"/>
          </w:tcPr>
          <w:p>
            <w:pPr>
              <w:ind w:left="347"/>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278</w:t>
            </w:r>
          </w:p>
        </w:tc>
        <w:tc>
          <w:tcPr>
            <w:tcW w:w="1007" w:type="dxa"/>
            <w:vAlign w:val="top"/>
          </w:tcPr>
          <w:p>
            <w:pPr>
              <w:ind w:left="352"/>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384</w:t>
            </w:r>
          </w:p>
        </w:tc>
        <w:tc>
          <w:tcPr>
            <w:tcW w:w="1007" w:type="dxa"/>
            <w:vAlign w:val="top"/>
          </w:tcPr>
          <w:p>
            <w:pPr>
              <w:ind w:left="458"/>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075" w:type="dxa"/>
            <w:vAlign w:val="top"/>
          </w:tcPr>
          <w:p>
            <w:pPr>
              <w:ind w:left="138"/>
              <w:spacing w:before="112"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9.40×10</w:t>
            </w:r>
            <w:r>
              <w:rPr>
                <w:rFonts w:ascii="Times New Roman" w:hAnsi="Times New Roman" w:eastAsia="Times New Roman" w:cs="Times New Roman"/>
                <w:sz w:val="13"/>
                <w:szCs w:val="13"/>
                <w:spacing w:val="3"/>
                <w:position w:val="6"/>
              </w:rPr>
              <w:t>-6</w:t>
            </w:r>
          </w:p>
        </w:tc>
      </w:tr>
      <w:tr>
        <w:trPr>
          <w:trHeight w:val="402" w:hRule="atLeast"/>
        </w:trPr>
        <w:tc>
          <w:tcPr>
            <w:tcW w:w="1131" w:type="dxa"/>
            <w:vAlign w:val="top"/>
          </w:tcPr>
          <w:p>
            <w:pPr>
              <w:ind w:left="379"/>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GT</w:t>
            </w:r>
            <w:r>
              <w:rPr>
                <w:rFonts w:ascii="Times New Roman" w:hAnsi="Times New Roman" w:eastAsia="Times New Roman" w:cs="Times New Roman"/>
                <w:sz w:val="20"/>
                <w:szCs w:val="20"/>
                <w:spacing w:val="8"/>
              </w:rPr>
              <w:t>1</w:t>
            </w:r>
          </w:p>
        </w:tc>
        <w:tc>
          <w:tcPr>
            <w:tcW w:w="1547" w:type="dxa"/>
            <w:vAlign w:val="top"/>
          </w:tcPr>
          <w:p>
            <w:pPr>
              <w:ind w:left="537"/>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028" w:type="dxa"/>
            <w:vAlign w:val="top"/>
          </w:tcPr>
          <w:p>
            <w:pPr>
              <w:ind w:left="336"/>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5.21</w:t>
            </w:r>
          </w:p>
        </w:tc>
        <w:tc>
          <w:tcPr>
            <w:tcW w:w="1002" w:type="dxa"/>
            <w:vAlign w:val="top"/>
          </w:tcPr>
          <w:p>
            <w:pPr>
              <w:ind w:left="338"/>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10.4</w:t>
            </w:r>
          </w:p>
        </w:tc>
        <w:tc>
          <w:tcPr>
            <w:tcW w:w="1002" w:type="dxa"/>
            <w:vAlign w:val="top"/>
          </w:tcPr>
          <w:p>
            <w:pPr>
              <w:ind w:left="323"/>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3.72</w:t>
            </w:r>
          </w:p>
        </w:tc>
        <w:tc>
          <w:tcPr>
            <w:tcW w:w="1005" w:type="dxa"/>
            <w:vAlign w:val="top"/>
          </w:tcPr>
          <w:p>
            <w:pPr>
              <w:ind w:left="408"/>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82</w:t>
            </w:r>
          </w:p>
        </w:tc>
        <w:tc>
          <w:tcPr>
            <w:tcW w:w="1005" w:type="dxa"/>
            <w:vAlign w:val="top"/>
          </w:tcPr>
          <w:p>
            <w:pPr>
              <w:ind w:left="402"/>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1005" w:type="dxa"/>
            <w:vAlign w:val="top"/>
          </w:tcPr>
          <w:p>
            <w:pPr>
              <w:ind w:left="272"/>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0.072</w:t>
            </w:r>
          </w:p>
        </w:tc>
        <w:tc>
          <w:tcPr>
            <w:tcW w:w="1005" w:type="dxa"/>
            <w:vAlign w:val="top"/>
          </w:tcPr>
          <w:p>
            <w:pPr>
              <w:ind w:left="402"/>
              <w:spacing w:before="13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005" w:type="dxa"/>
            <w:vAlign w:val="top"/>
          </w:tcPr>
          <w:p>
            <w:pPr>
              <w:ind w:left="367"/>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102</w:t>
            </w:r>
          </w:p>
        </w:tc>
        <w:tc>
          <w:tcPr>
            <w:tcW w:w="1005" w:type="dxa"/>
            <w:vAlign w:val="top"/>
          </w:tcPr>
          <w:p>
            <w:pPr>
              <w:ind w:left="367"/>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134</w:t>
            </w:r>
          </w:p>
        </w:tc>
        <w:tc>
          <w:tcPr>
            <w:tcW w:w="1007" w:type="dxa"/>
            <w:vAlign w:val="top"/>
          </w:tcPr>
          <w:p>
            <w:pPr>
              <w:ind w:left="352"/>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396</w:t>
            </w:r>
          </w:p>
        </w:tc>
        <w:tc>
          <w:tcPr>
            <w:tcW w:w="1007" w:type="dxa"/>
            <w:vAlign w:val="top"/>
          </w:tcPr>
          <w:p>
            <w:pPr>
              <w:ind w:left="458"/>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075" w:type="dxa"/>
            <w:vAlign w:val="top"/>
          </w:tcPr>
          <w:p>
            <w:pPr>
              <w:ind w:left="154"/>
              <w:spacing w:before="115" w:line="214"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1"/>
              </w:rPr>
              <w:t>1.80×10</w:t>
            </w:r>
            <w:r>
              <w:rPr>
                <w:rFonts w:ascii="Times New Roman" w:hAnsi="Times New Roman" w:eastAsia="Times New Roman" w:cs="Times New Roman"/>
                <w:sz w:val="13"/>
                <w:szCs w:val="13"/>
                <w:spacing w:val="1"/>
                <w:position w:val="6"/>
              </w:rPr>
              <w:t>-5</w:t>
            </w:r>
          </w:p>
        </w:tc>
      </w:tr>
      <w:tr>
        <w:trPr>
          <w:trHeight w:val="401" w:hRule="atLeast"/>
        </w:trPr>
        <w:tc>
          <w:tcPr>
            <w:tcW w:w="1131" w:type="dxa"/>
            <w:vAlign w:val="top"/>
          </w:tcPr>
          <w:p>
            <w:pPr>
              <w:ind w:left="37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GT</w:t>
            </w:r>
            <w:r>
              <w:rPr>
                <w:rFonts w:ascii="Times New Roman" w:hAnsi="Times New Roman" w:eastAsia="Times New Roman" w:cs="Times New Roman"/>
                <w:sz w:val="20"/>
                <w:szCs w:val="20"/>
                <w:spacing w:val="8"/>
              </w:rPr>
              <w:t>2</w:t>
            </w:r>
          </w:p>
        </w:tc>
        <w:tc>
          <w:tcPr>
            <w:tcW w:w="1547" w:type="dxa"/>
            <w:vAlign w:val="top"/>
          </w:tcPr>
          <w:p>
            <w:pPr>
              <w:ind w:left="537"/>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028" w:type="dxa"/>
            <w:vAlign w:val="top"/>
          </w:tcPr>
          <w:p>
            <w:pPr>
              <w:ind w:left="336"/>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5.42</w:t>
            </w:r>
          </w:p>
        </w:tc>
        <w:tc>
          <w:tcPr>
            <w:tcW w:w="1002" w:type="dxa"/>
            <w:vAlign w:val="top"/>
          </w:tcPr>
          <w:p>
            <w:pPr>
              <w:ind w:left="338"/>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11.</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3"/>
              </w:rPr>
              <w:t>1</w:t>
            </w:r>
          </w:p>
        </w:tc>
        <w:tc>
          <w:tcPr>
            <w:tcW w:w="1002" w:type="dxa"/>
            <w:vAlign w:val="top"/>
          </w:tcPr>
          <w:p>
            <w:pPr>
              <w:ind w:left="323"/>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3.42</w:t>
            </w:r>
          </w:p>
        </w:tc>
        <w:tc>
          <w:tcPr>
            <w:tcW w:w="1005" w:type="dxa"/>
            <w:vAlign w:val="top"/>
          </w:tcPr>
          <w:p>
            <w:pPr>
              <w:ind w:left="403"/>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74</w:t>
            </w:r>
          </w:p>
        </w:tc>
        <w:tc>
          <w:tcPr>
            <w:tcW w:w="1005" w:type="dxa"/>
            <w:vAlign w:val="top"/>
          </w:tcPr>
          <w:p>
            <w:pPr>
              <w:ind w:left="402"/>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005" w:type="dxa"/>
            <w:vAlign w:val="top"/>
          </w:tcPr>
          <w:p>
            <w:pPr>
              <w:ind w:left="272"/>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0.062</w:t>
            </w:r>
          </w:p>
        </w:tc>
        <w:tc>
          <w:tcPr>
            <w:tcW w:w="1005" w:type="dxa"/>
            <w:vAlign w:val="top"/>
          </w:tcPr>
          <w:p>
            <w:pPr>
              <w:ind w:left="366"/>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121</w:t>
            </w:r>
          </w:p>
        </w:tc>
        <w:tc>
          <w:tcPr>
            <w:tcW w:w="1005" w:type="dxa"/>
            <w:vAlign w:val="top"/>
          </w:tcPr>
          <w:p>
            <w:pPr>
              <w:ind w:left="408"/>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81</w:t>
            </w:r>
          </w:p>
        </w:tc>
        <w:tc>
          <w:tcPr>
            <w:tcW w:w="1005" w:type="dxa"/>
            <w:vAlign w:val="top"/>
          </w:tcPr>
          <w:p>
            <w:pPr>
              <w:ind w:left="367"/>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134</w:t>
            </w:r>
          </w:p>
        </w:tc>
        <w:tc>
          <w:tcPr>
            <w:tcW w:w="1007" w:type="dxa"/>
            <w:vAlign w:val="top"/>
          </w:tcPr>
          <w:p>
            <w:pPr>
              <w:ind w:left="352"/>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388</w:t>
            </w:r>
          </w:p>
        </w:tc>
        <w:tc>
          <w:tcPr>
            <w:tcW w:w="1007" w:type="dxa"/>
            <w:vAlign w:val="top"/>
          </w:tcPr>
          <w:p>
            <w:pPr>
              <w:ind w:left="422"/>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14</w:t>
            </w:r>
          </w:p>
        </w:tc>
        <w:tc>
          <w:tcPr>
            <w:tcW w:w="1075" w:type="dxa"/>
            <w:vAlign w:val="top"/>
          </w:tcPr>
          <w:p>
            <w:pPr>
              <w:ind w:left="138"/>
              <w:spacing w:before="115" w:line="213"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6.90×10</w:t>
            </w:r>
            <w:r>
              <w:rPr>
                <w:rFonts w:ascii="Times New Roman" w:hAnsi="Times New Roman" w:eastAsia="Times New Roman" w:cs="Times New Roman"/>
                <w:sz w:val="13"/>
                <w:szCs w:val="13"/>
                <w:spacing w:val="3"/>
                <w:position w:val="6"/>
              </w:rPr>
              <w:t>-6</w:t>
            </w:r>
          </w:p>
        </w:tc>
      </w:tr>
      <w:tr>
        <w:trPr>
          <w:trHeight w:val="402" w:hRule="atLeast"/>
        </w:trPr>
        <w:tc>
          <w:tcPr>
            <w:tcW w:w="1131" w:type="dxa"/>
            <w:vAlign w:val="top"/>
          </w:tcPr>
          <w:p>
            <w:pPr>
              <w:ind w:left="375"/>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HT</w:t>
            </w:r>
            <w:r>
              <w:rPr>
                <w:rFonts w:ascii="Times New Roman" w:hAnsi="Times New Roman" w:eastAsia="Times New Roman" w:cs="Times New Roman"/>
                <w:sz w:val="20"/>
                <w:szCs w:val="20"/>
                <w:spacing w:val="12"/>
              </w:rPr>
              <w:t>2</w:t>
            </w:r>
          </w:p>
        </w:tc>
        <w:tc>
          <w:tcPr>
            <w:tcW w:w="1547" w:type="dxa"/>
            <w:vAlign w:val="top"/>
          </w:tcPr>
          <w:p>
            <w:pPr>
              <w:ind w:left="537"/>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028" w:type="dxa"/>
            <w:vAlign w:val="top"/>
          </w:tcPr>
          <w:p>
            <w:pPr>
              <w:ind w:left="32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4.85</w:t>
            </w:r>
          </w:p>
        </w:tc>
        <w:tc>
          <w:tcPr>
            <w:tcW w:w="1002" w:type="dxa"/>
            <w:vAlign w:val="top"/>
          </w:tcPr>
          <w:p>
            <w:pPr>
              <w:ind w:left="338"/>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3"/>
              </w:rPr>
              <w:t>1</w:t>
            </w:r>
          </w:p>
        </w:tc>
        <w:tc>
          <w:tcPr>
            <w:tcW w:w="1002" w:type="dxa"/>
            <w:vAlign w:val="top"/>
          </w:tcPr>
          <w:p>
            <w:pPr>
              <w:ind w:left="322"/>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0.88</w:t>
            </w:r>
          </w:p>
        </w:tc>
        <w:tc>
          <w:tcPr>
            <w:tcW w:w="1005" w:type="dxa"/>
            <w:vAlign w:val="top"/>
          </w:tcPr>
          <w:p>
            <w:pPr>
              <w:ind w:left="405"/>
              <w:spacing w:before="13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005" w:type="dxa"/>
            <w:vAlign w:val="top"/>
          </w:tcPr>
          <w:p>
            <w:pPr>
              <w:ind w:left="402"/>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1005" w:type="dxa"/>
            <w:vAlign w:val="top"/>
          </w:tcPr>
          <w:p>
            <w:pPr>
              <w:ind w:left="272"/>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0.073</w:t>
            </w:r>
          </w:p>
        </w:tc>
        <w:tc>
          <w:tcPr>
            <w:tcW w:w="1005" w:type="dxa"/>
            <w:vAlign w:val="top"/>
          </w:tcPr>
          <w:p>
            <w:pPr>
              <w:ind w:left="398"/>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w:t>
            </w:r>
          </w:p>
        </w:tc>
        <w:tc>
          <w:tcPr>
            <w:tcW w:w="1005" w:type="dxa"/>
            <w:vAlign w:val="top"/>
          </w:tcPr>
          <w:p>
            <w:pPr>
              <w:ind w:left="404"/>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tc>
        <w:tc>
          <w:tcPr>
            <w:tcW w:w="1005" w:type="dxa"/>
            <w:vAlign w:val="top"/>
          </w:tcPr>
          <w:p>
            <w:pPr>
              <w:ind w:left="367"/>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102</w:t>
            </w:r>
          </w:p>
        </w:tc>
        <w:tc>
          <w:tcPr>
            <w:tcW w:w="1007" w:type="dxa"/>
            <w:vAlign w:val="top"/>
          </w:tcPr>
          <w:p>
            <w:pPr>
              <w:ind w:left="352"/>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301</w:t>
            </w:r>
          </w:p>
        </w:tc>
        <w:tc>
          <w:tcPr>
            <w:tcW w:w="1007" w:type="dxa"/>
            <w:vAlign w:val="top"/>
          </w:tcPr>
          <w:p>
            <w:pPr>
              <w:ind w:left="422"/>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14</w:t>
            </w:r>
          </w:p>
        </w:tc>
        <w:tc>
          <w:tcPr>
            <w:tcW w:w="1075" w:type="dxa"/>
            <w:vAlign w:val="top"/>
          </w:tcPr>
          <w:p>
            <w:pPr>
              <w:ind w:left="139"/>
              <w:spacing w:before="114"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2"/>
              </w:rPr>
              <w:t>5.40×10</w:t>
            </w:r>
            <w:r>
              <w:rPr>
                <w:rFonts w:ascii="Times New Roman" w:hAnsi="Times New Roman" w:eastAsia="Times New Roman" w:cs="Times New Roman"/>
                <w:sz w:val="13"/>
                <w:szCs w:val="13"/>
                <w:spacing w:val="2"/>
                <w:position w:val="6"/>
              </w:rPr>
              <w:t>-6</w:t>
            </w:r>
          </w:p>
        </w:tc>
      </w:tr>
      <w:tr>
        <w:trPr>
          <w:trHeight w:val="402" w:hRule="atLeast"/>
        </w:trPr>
        <w:tc>
          <w:tcPr>
            <w:tcW w:w="1131" w:type="dxa"/>
            <w:vAlign w:val="top"/>
          </w:tcPr>
          <w:p>
            <w:pPr>
              <w:ind w:left="380"/>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BT</w:t>
            </w:r>
            <w:r>
              <w:rPr>
                <w:rFonts w:ascii="Times New Roman" w:hAnsi="Times New Roman" w:eastAsia="Times New Roman" w:cs="Times New Roman"/>
                <w:sz w:val="20"/>
                <w:szCs w:val="20"/>
                <w:spacing w:val="11"/>
              </w:rPr>
              <w:t>1</w:t>
            </w:r>
          </w:p>
        </w:tc>
        <w:tc>
          <w:tcPr>
            <w:tcW w:w="1547" w:type="dxa"/>
            <w:vAlign w:val="top"/>
          </w:tcPr>
          <w:p>
            <w:pPr>
              <w:ind w:left="537"/>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028" w:type="dxa"/>
            <w:vAlign w:val="top"/>
          </w:tcPr>
          <w:p>
            <w:pPr>
              <w:ind w:left="336"/>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5.32</w:t>
            </w:r>
          </w:p>
        </w:tc>
        <w:tc>
          <w:tcPr>
            <w:tcW w:w="1002" w:type="dxa"/>
            <w:vAlign w:val="top"/>
          </w:tcPr>
          <w:p>
            <w:pPr>
              <w:ind w:left="338"/>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11.3</w:t>
            </w:r>
          </w:p>
        </w:tc>
        <w:tc>
          <w:tcPr>
            <w:tcW w:w="1002" w:type="dxa"/>
            <w:vAlign w:val="top"/>
          </w:tcPr>
          <w:p>
            <w:pPr>
              <w:ind w:left="323"/>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3.</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4"/>
              </w:rPr>
              <w:t>12</w:t>
            </w:r>
          </w:p>
        </w:tc>
        <w:tc>
          <w:tcPr>
            <w:tcW w:w="1005" w:type="dxa"/>
            <w:vAlign w:val="top"/>
          </w:tcPr>
          <w:p>
            <w:pPr>
              <w:ind w:left="403"/>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76</w:t>
            </w:r>
          </w:p>
        </w:tc>
        <w:tc>
          <w:tcPr>
            <w:tcW w:w="1005" w:type="dxa"/>
            <w:vAlign w:val="top"/>
          </w:tcPr>
          <w:p>
            <w:pPr>
              <w:ind w:left="402"/>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1005" w:type="dxa"/>
            <w:vAlign w:val="top"/>
          </w:tcPr>
          <w:p>
            <w:pPr>
              <w:ind w:left="272"/>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0.050</w:t>
            </w:r>
          </w:p>
        </w:tc>
        <w:tc>
          <w:tcPr>
            <w:tcW w:w="1005" w:type="dxa"/>
            <w:vAlign w:val="top"/>
          </w:tcPr>
          <w:p>
            <w:pPr>
              <w:ind w:left="366"/>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140</w:t>
            </w:r>
          </w:p>
        </w:tc>
        <w:tc>
          <w:tcPr>
            <w:tcW w:w="1005" w:type="dxa"/>
            <w:vAlign w:val="top"/>
          </w:tcPr>
          <w:p>
            <w:pPr>
              <w:ind w:left="403"/>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92</w:t>
            </w:r>
          </w:p>
        </w:tc>
        <w:tc>
          <w:tcPr>
            <w:tcW w:w="1005" w:type="dxa"/>
            <w:vAlign w:val="top"/>
          </w:tcPr>
          <w:p>
            <w:pPr>
              <w:ind w:left="367"/>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145</w:t>
            </w:r>
          </w:p>
        </w:tc>
        <w:tc>
          <w:tcPr>
            <w:tcW w:w="1007" w:type="dxa"/>
            <w:vAlign w:val="top"/>
          </w:tcPr>
          <w:p>
            <w:pPr>
              <w:ind w:left="352"/>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382</w:t>
            </w:r>
          </w:p>
        </w:tc>
        <w:tc>
          <w:tcPr>
            <w:tcW w:w="1007" w:type="dxa"/>
            <w:vAlign w:val="top"/>
          </w:tcPr>
          <w:p>
            <w:pPr>
              <w:ind w:left="463"/>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75" w:type="dxa"/>
            <w:vAlign w:val="top"/>
          </w:tcPr>
          <w:p>
            <w:pPr>
              <w:ind w:left="142"/>
              <w:spacing w:before="115" w:line="213"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2"/>
              </w:rPr>
              <w:t>8.70×10</w:t>
            </w:r>
            <w:r>
              <w:rPr>
                <w:rFonts w:ascii="Times New Roman" w:hAnsi="Times New Roman" w:eastAsia="Times New Roman" w:cs="Times New Roman"/>
                <w:sz w:val="13"/>
                <w:szCs w:val="13"/>
                <w:spacing w:val="2"/>
                <w:position w:val="6"/>
              </w:rPr>
              <w:t>-6</w:t>
            </w:r>
          </w:p>
        </w:tc>
      </w:tr>
      <w:tr>
        <w:trPr>
          <w:trHeight w:val="402" w:hRule="atLeast"/>
        </w:trPr>
        <w:tc>
          <w:tcPr>
            <w:tcW w:w="1131" w:type="dxa"/>
            <w:vAlign w:val="top"/>
          </w:tcPr>
          <w:p>
            <w:pPr>
              <w:ind w:left="375"/>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DT</w:t>
            </w:r>
            <w:r>
              <w:rPr>
                <w:rFonts w:ascii="Times New Roman" w:hAnsi="Times New Roman" w:eastAsia="Times New Roman" w:cs="Times New Roman"/>
                <w:sz w:val="20"/>
                <w:szCs w:val="20"/>
                <w:spacing w:val="12"/>
              </w:rPr>
              <w:t>1</w:t>
            </w:r>
          </w:p>
        </w:tc>
        <w:tc>
          <w:tcPr>
            <w:tcW w:w="1547" w:type="dxa"/>
            <w:vAlign w:val="top"/>
          </w:tcPr>
          <w:p>
            <w:pPr>
              <w:ind w:left="537"/>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028" w:type="dxa"/>
            <w:vAlign w:val="top"/>
          </w:tcPr>
          <w:p>
            <w:pPr>
              <w:ind w:left="336"/>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5.52</w:t>
            </w:r>
          </w:p>
        </w:tc>
        <w:tc>
          <w:tcPr>
            <w:tcW w:w="1002" w:type="dxa"/>
            <w:vAlign w:val="top"/>
          </w:tcPr>
          <w:p>
            <w:pPr>
              <w:ind w:left="338"/>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10.4</w:t>
            </w:r>
          </w:p>
        </w:tc>
        <w:tc>
          <w:tcPr>
            <w:tcW w:w="1002" w:type="dxa"/>
            <w:vAlign w:val="top"/>
          </w:tcPr>
          <w:p>
            <w:pPr>
              <w:ind w:left="33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1.53</w:t>
            </w:r>
          </w:p>
        </w:tc>
        <w:tc>
          <w:tcPr>
            <w:tcW w:w="1005" w:type="dxa"/>
            <w:vAlign w:val="top"/>
          </w:tcPr>
          <w:p>
            <w:pPr>
              <w:ind w:left="403"/>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74</w:t>
            </w:r>
          </w:p>
        </w:tc>
        <w:tc>
          <w:tcPr>
            <w:tcW w:w="1005" w:type="dxa"/>
            <w:vAlign w:val="top"/>
          </w:tcPr>
          <w:p>
            <w:pPr>
              <w:ind w:left="402"/>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1005" w:type="dxa"/>
            <w:vAlign w:val="top"/>
          </w:tcPr>
          <w:p>
            <w:pPr>
              <w:ind w:left="272"/>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0.058</w:t>
            </w:r>
          </w:p>
        </w:tc>
        <w:tc>
          <w:tcPr>
            <w:tcW w:w="1005" w:type="dxa"/>
            <w:vAlign w:val="top"/>
          </w:tcPr>
          <w:p>
            <w:pPr>
              <w:ind w:left="366"/>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143</w:t>
            </w:r>
          </w:p>
        </w:tc>
        <w:tc>
          <w:tcPr>
            <w:tcW w:w="1005" w:type="dxa"/>
            <w:vAlign w:val="top"/>
          </w:tcPr>
          <w:p>
            <w:pPr>
              <w:ind w:left="403"/>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1005" w:type="dxa"/>
            <w:vAlign w:val="top"/>
          </w:tcPr>
          <w:p>
            <w:pPr>
              <w:ind w:left="367"/>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110</w:t>
            </w:r>
          </w:p>
        </w:tc>
        <w:tc>
          <w:tcPr>
            <w:tcW w:w="1007" w:type="dxa"/>
            <w:vAlign w:val="top"/>
          </w:tcPr>
          <w:p>
            <w:pPr>
              <w:ind w:left="348"/>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284</w:t>
            </w:r>
          </w:p>
        </w:tc>
        <w:tc>
          <w:tcPr>
            <w:tcW w:w="1007" w:type="dxa"/>
            <w:vAlign w:val="top"/>
          </w:tcPr>
          <w:p>
            <w:pPr>
              <w:ind w:left="422"/>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1075" w:type="dxa"/>
            <w:vAlign w:val="top"/>
          </w:tcPr>
          <w:p>
            <w:pPr>
              <w:ind w:left="139"/>
              <w:spacing w:before="114"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2"/>
              </w:rPr>
              <w:t>5.90×10</w:t>
            </w:r>
            <w:r>
              <w:rPr>
                <w:rFonts w:ascii="Times New Roman" w:hAnsi="Times New Roman" w:eastAsia="Times New Roman" w:cs="Times New Roman"/>
                <w:sz w:val="13"/>
                <w:szCs w:val="13"/>
                <w:spacing w:val="2"/>
                <w:position w:val="6"/>
              </w:rPr>
              <w:t>-6</w:t>
            </w:r>
          </w:p>
        </w:tc>
      </w:tr>
      <w:tr>
        <w:trPr>
          <w:trHeight w:val="402" w:hRule="atLeast"/>
        </w:trPr>
        <w:tc>
          <w:tcPr>
            <w:tcW w:w="1131" w:type="dxa"/>
            <w:vAlign w:val="top"/>
          </w:tcPr>
          <w:p>
            <w:pPr>
              <w:ind w:left="375"/>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HT</w:t>
            </w:r>
            <w:r>
              <w:rPr>
                <w:rFonts w:ascii="Times New Roman" w:hAnsi="Times New Roman" w:eastAsia="Times New Roman" w:cs="Times New Roman"/>
                <w:sz w:val="20"/>
                <w:szCs w:val="20"/>
                <w:spacing w:val="12"/>
              </w:rPr>
              <w:t>1</w:t>
            </w:r>
          </w:p>
        </w:tc>
        <w:tc>
          <w:tcPr>
            <w:tcW w:w="1547" w:type="dxa"/>
            <w:vAlign w:val="top"/>
          </w:tcPr>
          <w:p>
            <w:pPr>
              <w:ind w:left="537"/>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w:t>
            </w:r>
          </w:p>
        </w:tc>
        <w:tc>
          <w:tcPr>
            <w:tcW w:w="1028" w:type="dxa"/>
            <w:vAlign w:val="top"/>
          </w:tcPr>
          <w:p>
            <w:pPr>
              <w:ind w:left="336"/>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5.26</w:t>
            </w:r>
          </w:p>
        </w:tc>
        <w:tc>
          <w:tcPr>
            <w:tcW w:w="1002" w:type="dxa"/>
            <w:vAlign w:val="top"/>
          </w:tcPr>
          <w:p>
            <w:pPr>
              <w:ind w:left="338"/>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10.2</w:t>
            </w:r>
          </w:p>
        </w:tc>
        <w:tc>
          <w:tcPr>
            <w:tcW w:w="1002" w:type="dxa"/>
            <w:vAlign w:val="top"/>
          </w:tcPr>
          <w:p>
            <w:pPr>
              <w:ind w:left="339"/>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1.74</w:t>
            </w:r>
          </w:p>
        </w:tc>
        <w:tc>
          <w:tcPr>
            <w:tcW w:w="1005" w:type="dxa"/>
            <w:vAlign w:val="top"/>
          </w:tcPr>
          <w:p>
            <w:pPr>
              <w:ind w:left="398"/>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48</w:t>
            </w:r>
          </w:p>
        </w:tc>
        <w:tc>
          <w:tcPr>
            <w:tcW w:w="1005" w:type="dxa"/>
            <w:vAlign w:val="top"/>
          </w:tcPr>
          <w:p>
            <w:pPr>
              <w:ind w:left="402"/>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005" w:type="dxa"/>
            <w:vAlign w:val="top"/>
          </w:tcPr>
          <w:p>
            <w:pPr>
              <w:ind w:left="272"/>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0.068</w:t>
            </w:r>
          </w:p>
        </w:tc>
        <w:tc>
          <w:tcPr>
            <w:tcW w:w="1005" w:type="dxa"/>
            <w:vAlign w:val="top"/>
          </w:tcPr>
          <w:p>
            <w:pPr>
              <w:ind w:left="407"/>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83</w:t>
            </w:r>
          </w:p>
        </w:tc>
        <w:tc>
          <w:tcPr>
            <w:tcW w:w="1005" w:type="dxa"/>
            <w:vAlign w:val="top"/>
          </w:tcPr>
          <w:p>
            <w:pPr>
              <w:ind w:left="408"/>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84</w:t>
            </w:r>
          </w:p>
        </w:tc>
        <w:tc>
          <w:tcPr>
            <w:tcW w:w="1005" w:type="dxa"/>
            <w:vAlign w:val="top"/>
          </w:tcPr>
          <w:p>
            <w:pPr>
              <w:ind w:left="367"/>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108</w:t>
            </w:r>
          </w:p>
        </w:tc>
        <w:tc>
          <w:tcPr>
            <w:tcW w:w="1007" w:type="dxa"/>
            <w:vAlign w:val="top"/>
          </w:tcPr>
          <w:p>
            <w:pPr>
              <w:ind w:left="352"/>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362</w:t>
            </w:r>
          </w:p>
        </w:tc>
        <w:tc>
          <w:tcPr>
            <w:tcW w:w="1007" w:type="dxa"/>
            <w:vAlign w:val="top"/>
          </w:tcPr>
          <w:p>
            <w:pPr>
              <w:ind w:left="463"/>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75" w:type="dxa"/>
            <w:vAlign w:val="top"/>
          </w:tcPr>
          <w:p>
            <w:pPr>
              <w:ind w:left="137"/>
              <w:spacing w:before="115"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7.80×10</w:t>
            </w:r>
            <w:r>
              <w:rPr>
                <w:rFonts w:ascii="Times New Roman" w:hAnsi="Times New Roman" w:eastAsia="Times New Roman" w:cs="Times New Roman"/>
                <w:sz w:val="13"/>
                <w:szCs w:val="13"/>
                <w:spacing w:val="3"/>
                <w:position w:val="6"/>
              </w:rPr>
              <w:t>-6</w:t>
            </w:r>
          </w:p>
        </w:tc>
      </w:tr>
      <w:tr>
        <w:trPr>
          <w:trHeight w:val="402" w:hRule="atLeast"/>
        </w:trPr>
        <w:tc>
          <w:tcPr>
            <w:tcW w:w="2678" w:type="dxa"/>
            <w:vAlign w:val="top"/>
            <w:gridSpan w:val="2"/>
          </w:tcPr>
          <w:p>
            <w:pPr>
              <w:pStyle w:val="TableText"/>
              <w:ind w:left="1038"/>
              <w:spacing w:before="97" w:line="231" w:lineRule="auto"/>
              <w:rPr/>
            </w:pPr>
            <w:r>
              <w:rPr>
                <w:spacing w:val="4"/>
              </w:rPr>
              <w:t>筛选值</w:t>
            </w:r>
          </w:p>
        </w:tc>
        <w:tc>
          <w:tcPr>
            <w:tcW w:w="1028" w:type="dxa"/>
            <w:vAlign w:val="top"/>
          </w:tcPr>
          <w:p>
            <w:pPr>
              <w:ind w:left="482"/>
              <w:spacing w:before="12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002" w:type="dxa"/>
            <w:vAlign w:val="top"/>
          </w:tcPr>
          <w:p>
            <w:pPr>
              <w:ind w:left="40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002" w:type="dxa"/>
            <w:vAlign w:val="top"/>
          </w:tcPr>
          <w:p>
            <w:pPr>
              <w:ind w:left="403"/>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005" w:type="dxa"/>
            <w:vAlign w:val="top"/>
          </w:tcPr>
          <w:p>
            <w:pPr>
              <w:ind w:left="26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18000</w:t>
            </w:r>
          </w:p>
        </w:tc>
        <w:tc>
          <w:tcPr>
            <w:tcW w:w="1005" w:type="dxa"/>
            <w:vAlign w:val="top"/>
          </w:tcPr>
          <w:p>
            <w:pPr>
              <w:ind w:left="355"/>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005" w:type="dxa"/>
            <w:vAlign w:val="top"/>
          </w:tcPr>
          <w:p>
            <w:pPr>
              <w:ind w:left="402"/>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005" w:type="dxa"/>
            <w:vAlign w:val="top"/>
          </w:tcPr>
          <w:p>
            <w:pPr>
              <w:ind w:left="350"/>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900</w:t>
            </w:r>
          </w:p>
        </w:tc>
        <w:tc>
          <w:tcPr>
            <w:tcW w:w="1005" w:type="dxa"/>
            <w:vAlign w:val="top"/>
          </w:tcPr>
          <w:p>
            <w:pPr>
              <w:ind w:left="26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c>
          <w:tcPr>
            <w:tcW w:w="1005" w:type="dxa"/>
            <w:vAlign w:val="top"/>
          </w:tcPr>
          <w:p>
            <w:pPr>
              <w:ind w:left="262"/>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c>
          <w:tcPr>
            <w:tcW w:w="1007" w:type="dxa"/>
            <w:vAlign w:val="top"/>
          </w:tcPr>
          <w:p>
            <w:pPr>
              <w:ind w:left="262"/>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c>
          <w:tcPr>
            <w:tcW w:w="1007" w:type="dxa"/>
            <w:vAlign w:val="top"/>
          </w:tcPr>
          <w:p>
            <w:pPr>
              <w:ind w:left="295"/>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4500</w:t>
            </w:r>
          </w:p>
        </w:tc>
        <w:tc>
          <w:tcPr>
            <w:tcW w:w="1075" w:type="dxa"/>
            <w:vAlign w:val="top"/>
          </w:tcPr>
          <w:p>
            <w:pPr>
              <w:ind w:left="133"/>
              <w:spacing w:before="115" w:line="214"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4.00×10</w:t>
            </w:r>
            <w:r>
              <w:rPr>
                <w:rFonts w:ascii="Times New Roman" w:hAnsi="Times New Roman" w:eastAsia="Times New Roman" w:cs="Times New Roman"/>
                <w:sz w:val="13"/>
                <w:szCs w:val="13"/>
                <w:spacing w:val="3"/>
                <w:position w:val="6"/>
              </w:rPr>
              <w:t>-5</w:t>
            </w:r>
          </w:p>
        </w:tc>
      </w:tr>
      <w:tr>
        <w:trPr>
          <w:trHeight w:val="406" w:hRule="atLeast"/>
        </w:trPr>
        <w:tc>
          <w:tcPr>
            <w:tcW w:w="14829" w:type="dxa"/>
            <w:vAlign w:val="top"/>
            <w:gridSpan w:val="14"/>
          </w:tcPr>
          <w:p>
            <w:pPr>
              <w:pStyle w:val="TableText"/>
              <w:ind w:left="124"/>
              <w:spacing w:before="114" w:line="220" w:lineRule="auto"/>
              <w:rPr>
                <w:sz w:val="18"/>
                <w:szCs w:val="18"/>
              </w:rPr>
            </w:pPr>
            <w:r>
              <w:rPr>
                <w:sz w:val="18"/>
                <w:szCs w:val="18"/>
                <w:spacing w:val="-2"/>
              </w:rPr>
              <w:t>注：未列出指标均未检出。</w:t>
            </w:r>
          </w:p>
        </w:tc>
      </w:tr>
    </w:tbl>
    <w:p>
      <w:pPr>
        <w:rPr>
          <w:rFonts w:ascii="Arial"/>
          <w:sz w:val="21"/>
        </w:rPr>
      </w:pPr>
      <w:r/>
    </w:p>
    <w:p>
      <w:pPr>
        <w:sectPr>
          <w:headerReference w:type="default" r:id="rId137"/>
          <w:footerReference w:type="default" r:id="rId138"/>
          <w:pgSz w:w="16839" w:h="11906"/>
          <w:pgMar w:top="968" w:right="1036" w:bottom="940" w:left="967" w:header="661" w:footer="778" w:gutter="0"/>
        </w:sectPr>
        <w:rPr>
          <w:rFonts w:ascii="Arial" w:hAnsi="Arial" w:eastAsia="Arial" w:cs="Arial"/>
          <w:sz w:val="21"/>
          <w:szCs w:val="21"/>
        </w:rPr>
      </w:pPr>
    </w:p>
    <w:p>
      <w:pPr>
        <w:spacing w:line="333" w:lineRule="auto"/>
        <w:rPr>
          <w:rFonts w:ascii="Arial"/>
          <w:sz w:val="21"/>
        </w:rPr>
      </w:pPr>
      <w:r/>
    </w:p>
    <w:p>
      <w:pPr>
        <w:pStyle w:val="BodyText"/>
        <w:ind w:left="121"/>
        <w:spacing w:before="78" w:line="222" w:lineRule="auto"/>
        <w:outlineLvl w:val="2"/>
        <w:rPr>
          <w:rFonts w:ascii="FangSong" w:hAnsi="FangSong" w:eastAsia="FangSong" w:cs="FangSong"/>
          <w:sz w:val="24"/>
          <w:szCs w:val="24"/>
        </w:rPr>
      </w:pPr>
      <w:r>
        <w:rPr>
          <w:sz w:val="24"/>
          <w:szCs w:val="24"/>
          <w:b/>
          <w:bCs/>
          <w:spacing w:val="-4"/>
        </w:rPr>
        <w:t>8.1.3</w:t>
      </w:r>
      <w:r>
        <w:rPr>
          <w:sz w:val="24"/>
          <w:szCs w:val="24"/>
          <w:b/>
          <w:bCs/>
          <w:spacing w:val="12"/>
        </w:rPr>
        <w:t xml:space="preserve">  </w:t>
      </w:r>
      <w:r>
        <w:rPr>
          <w:rFonts w:ascii="FangSong" w:hAnsi="FangSong" w:eastAsia="FangSong" w:cs="FangSong"/>
          <w:sz w:val="24"/>
          <w:szCs w:val="24"/>
          <w:b/>
          <w:bCs/>
          <w:spacing w:val="-4"/>
        </w:rPr>
        <w:t>监测结果分析</w:t>
      </w:r>
    </w:p>
    <w:p>
      <w:pPr>
        <w:pStyle w:val="BodyText"/>
        <w:ind w:left="128" w:right="111" w:firstLine="525"/>
        <w:spacing w:before="179" w:line="360" w:lineRule="auto"/>
        <w:jc w:val="both"/>
        <w:rPr>
          <w:rFonts w:ascii="FangSong" w:hAnsi="FangSong" w:eastAsia="FangSong" w:cs="FangSong"/>
          <w:sz w:val="24"/>
          <w:szCs w:val="24"/>
        </w:rPr>
      </w:pPr>
      <w:r>
        <w:rPr>
          <w:rFonts w:ascii="FangSong" w:hAnsi="FangSong" w:eastAsia="FangSong" w:cs="FangSong"/>
          <w:sz w:val="24"/>
          <w:szCs w:val="24"/>
          <w:spacing w:val="-4"/>
        </w:rPr>
        <w:t>自</w:t>
      </w:r>
      <w:r>
        <w:rPr>
          <w:sz w:val="24"/>
          <w:szCs w:val="24"/>
          <w:spacing w:val="-4"/>
        </w:rPr>
        <w:t>2024</w:t>
      </w:r>
      <w:r>
        <w:rPr>
          <w:rFonts w:ascii="FangSong" w:hAnsi="FangSong" w:eastAsia="FangSong" w:cs="FangSong"/>
          <w:sz w:val="24"/>
          <w:szCs w:val="24"/>
          <w:spacing w:val="-4"/>
        </w:rPr>
        <w:t>年浙江环益资源利用股份有限公司按照《工业企业土壤和地下水自行监测技术指南</w:t>
      </w:r>
      <w:r>
        <w:rPr>
          <w:rFonts w:ascii="FangSong" w:hAnsi="FangSong" w:eastAsia="FangSong" w:cs="FangSong"/>
          <w:sz w:val="24"/>
          <w:szCs w:val="24"/>
          <w:spacing w:val="8"/>
        </w:rPr>
        <w:t xml:space="preserve"> </w:t>
      </w:r>
      <w:r>
        <w:rPr>
          <w:rFonts w:ascii="FangSong" w:hAnsi="FangSong" w:eastAsia="FangSong" w:cs="FangSong"/>
          <w:sz w:val="24"/>
          <w:szCs w:val="24"/>
          <w:spacing w:val="-1"/>
        </w:rPr>
        <w:t>（试行）》（</w:t>
      </w:r>
      <w:r>
        <w:rPr>
          <w:sz w:val="24"/>
          <w:szCs w:val="24"/>
          <w:spacing w:val="-1"/>
        </w:rPr>
        <w:t>HJ</w:t>
      </w:r>
      <w:r>
        <w:rPr>
          <w:sz w:val="24"/>
          <w:szCs w:val="24"/>
          <w:spacing w:val="30"/>
          <w:w w:val="101"/>
        </w:rPr>
        <w:t xml:space="preserve"> </w:t>
      </w:r>
      <w:r>
        <w:rPr>
          <w:sz w:val="24"/>
          <w:szCs w:val="24"/>
          <w:spacing w:val="-1"/>
        </w:rPr>
        <w:t>1209-2021</w:t>
      </w:r>
      <w:r>
        <w:rPr>
          <w:rFonts w:ascii="FangSong" w:hAnsi="FangSong" w:eastAsia="FangSong" w:cs="FangSong"/>
          <w:sz w:val="24"/>
          <w:szCs w:val="24"/>
          <w:spacing w:val="-1"/>
        </w:rPr>
        <w:t>）要求，制定并</w:t>
      </w:r>
      <w:r>
        <w:rPr>
          <w:rFonts w:ascii="FangSong" w:hAnsi="FangSong" w:eastAsia="FangSong" w:cs="FangSong"/>
          <w:sz w:val="24"/>
          <w:szCs w:val="24"/>
          <w:spacing w:val="-2"/>
        </w:rPr>
        <w:t>实施自行监测方案以来，本次为第三个自行监测年</w:t>
      </w:r>
      <w:r>
        <w:rPr>
          <w:rFonts w:ascii="FangSong" w:hAnsi="FangSong" w:eastAsia="FangSong" w:cs="FangSong"/>
          <w:sz w:val="24"/>
          <w:szCs w:val="24"/>
        </w:rPr>
        <w:t xml:space="preserve"> </w:t>
      </w:r>
      <w:r>
        <w:rPr>
          <w:rFonts w:ascii="FangSong" w:hAnsi="FangSong" w:eastAsia="FangSong" w:cs="FangSong"/>
          <w:sz w:val="24"/>
          <w:szCs w:val="24"/>
          <w:spacing w:val="-2"/>
        </w:rPr>
        <w:t>度（</w:t>
      </w:r>
      <w:r>
        <w:rPr>
          <w:sz w:val="24"/>
          <w:szCs w:val="24"/>
          <w:spacing w:val="-2"/>
        </w:rPr>
        <w:t>2025</w:t>
      </w:r>
      <w:r>
        <w:rPr>
          <w:rFonts w:ascii="FangSong" w:hAnsi="FangSong" w:eastAsia="FangSong" w:cs="FangSong"/>
          <w:sz w:val="24"/>
          <w:szCs w:val="24"/>
          <w:spacing w:val="-2"/>
        </w:rPr>
        <w:t>年度</w:t>
      </w:r>
      <w:r>
        <w:rPr>
          <w:rFonts w:ascii="FangSong" w:hAnsi="FangSong" w:eastAsia="FangSong" w:cs="FangSong"/>
          <w:sz w:val="24"/>
          <w:szCs w:val="24"/>
          <w:spacing w:val="16"/>
        </w:rPr>
        <w:t>），</w:t>
      </w:r>
      <w:r>
        <w:rPr>
          <w:rFonts w:ascii="FangSong" w:hAnsi="FangSong" w:eastAsia="FangSong" w:cs="FangSong"/>
          <w:sz w:val="24"/>
          <w:szCs w:val="24"/>
          <w:spacing w:val="-2"/>
        </w:rPr>
        <w:t>故本次自行监测不包含深层土壤点位。</w:t>
      </w:r>
    </w:p>
    <w:p>
      <w:pPr>
        <w:pStyle w:val="BodyText"/>
        <w:ind w:left="131" w:right="111" w:firstLine="478"/>
        <w:spacing w:before="3" w:line="359" w:lineRule="auto"/>
        <w:jc w:val="both"/>
        <w:rPr>
          <w:rFonts w:ascii="FangSong" w:hAnsi="FangSong" w:eastAsia="FangSong" w:cs="FangSong"/>
          <w:sz w:val="24"/>
          <w:szCs w:val="24"/>
        </w:rPr>
      </w:pPr>
      <w:r>
        <w:rPr>
          <w:rFonts w:ascii="FangSong" w:hAnsi="FangSong" w:eastAsia="FangSong" w:cs="FangSong"/>
          <w:sz w:val="24"/>
          <w:szCs w:val="24"/>
        </w:rPr>
        <w:t>根据项目用地性质工业用地，地块土壤按《土壤环境质量</w:t>
      </w:r>
      <w:r>
        <w:rPr>
          <w:rFonts w:ascii="FangSong" w:hAnsi="FangSong" w:eastAsia="FangSong" w:cs="FangSong"/>
          <w:sz w:val="24"/>
          <w:szCs w:val="24"/>
        </w:rPr>
        <w:t xml:space="preserve"> </w:t>
      </w:r>
      <w:r>
        <w:rPr>
          <w:rFonts w:ascii="FangSong" w:hAnsi="FangSong" w:eastAsia="FangSong" w:cs="FangSong"/>
          <w:sz w:val="24"/>
          <w:szCs w:val="24"/>
        </w:rPr>
        <w:t>建设用地土壤污染风险管控标</w:t>
      </w:r>
      <w:r>
        <w:rPr>
          <w:rFonts w:ascii="FangSong" w:hAnsi="FangSong" w:eastAsia="FangSong" w:cs="FangSong"/>
          <w:sz w:val="24"/>
          <w:szCs w:val="24"/>
          <w:spacing w:val="6"/>
        </w:rPr>
        <w:t xml:space="preserve"> </w:t>
      </w:r>
      <w:r>
        <w:rPr>
          <w:rFonts w:ascii="FangSong" w:hAnsi="FangSong" w:eastAsia="FangSong" w:cs="FangSong"/>
          <w:sz w:val="24"/>
          <w:szCs w:val="24"/>
        </w:rPr>
        <w:t>准（试行）》（</w:t>
      </w:r>
      <w:r>
        <w:rPr>
          <w:sz w:val="24"/>
          <w:szCs w:val="24"/>
        </w:rPr>
        <w:t>GB 36600-2018</w:t>
      </w:r>
      <w:r>
        <w:rPr>
          <w:rFonts w:ascii="FangSong" w:hAnsi="FangSong" w:eastAsia="FangSong" w:cs="FangSong"/>
          <w:sz w:val="24"/>
          <w:szCs w:val="24"/>
        </w:rPr>
        <w:t>）第二类用地筛选值和浙江省地方标准《建设用地土壤污染风</w:t>
      </w:r>
      <w:r>
        <w:rPr>
          <w:rFonts w:ascii="FangSong" w:hAnsi="FangSong" w:eastAsia="FangSong" w:cs="FangSong"/>
          <w:sz w:val="24"/>
          <w:szCs w:val="24"/>
          <w:spacing w:val="13"/>
        </w:rPr>
        <w:t xml:space="preserve"> </w:t>
      </w:r>
      <w:r>
        <w:rPr>
          <w:rFonts w:ascii="FangSong" w:hAnsi="FangSong" w:eastAsia="FangSong" w:cs="FangSong"/>
          <w:sz w:val="24"/>
          <w:szCs w:val="24"/>
        </w:rPr>
        <w:t>险评估技术导则》（</w:t>
      </w:r>
      <w:r>
        <w:rPr>
          <w:sz w:val="24"/>
          <w:szCs w:val="24"/>
        </w:rPr>
        <w:t>DB 33/T 89</w:t>
      </w:r>
      <w:r>
        <w:rPr>
          <w:sz w:val="24"/>
          <w:szCs w:val="24"/>
          <w:spacing w:val="-1"/>
        </w:rPr>
        <w:t>2-2022</w:t>
      </w:r>
      <w:r>
        <w:rPr>
          <w:rFonts w:ascii="FangSong" w:hAnsi="FangSong" w:eastAsia="FangSong" w:cs="FangSong"/>
          <w:sz w:val="24"/>
          <w:szCs w:val="24"/>
          <w:spacing w:val="-1"/>
        </w:rPr>
        <w:t>）非敏感用地筛选值进行评价。</w:t>
      </w:r>
    </w:p>
    <w:p>
      <w:pPr>
        <w:pStyle w:val="BodyText"/>
        <w:ind w:left="611"/>
        <w:spacing w:line="220" w:lineRule="auto"/>
        <w:rPr>
          <w:rFonts w:ascii="FangSong" w:hAnsi="FangSong" w:eastAsia="FangSong" w:cs="FangSong"/>
          <w:sz w:val="24"/>
          <w:szCs w:val="24"/>
        </w:rPr>
      </w:pPr>
      <w:r>
        <w:rPr>
          <w:rFonts w:ascii="FangSong" w:hAnsi="FangSong" w:eastAsia="FangSong" w:cs="FangSong"/>
          <w:sz w:val="24"/>
          <w:szCs w:val="24"/>
          <w:spacing w:val="-3"/>
        </w:rPr>
        <w:t>土壤检测结果汇总见表</w:t>
      </w:r>
      <w:r>
        <w:rPr>
          <w:sz w:val="24"/>
          <w:szCs w:val="24"/>
          <w:spacing w:val="-3"/>
        </w:rPr>
        <w:t>8.1-2</w:t>
      </w:r>
      <w:r>
        <w:rPr>
          <w:sz w:val="24"/>
          <w:szCs w:val="24"/>
          <w:spacing w:val="-9"/>
        </w:rPr>
        <w:t xml:space="preserve"> </w:t>
      </w:r>
      <w:r>
        <w:rPr>
          <w:rFonts w:ascii="FangSong" w:hAnsi="FangSong" w:eastAsia="FangSong" w:cs="FangSong"/>
          <w:sz w:val="24"/>
          <w:szCs w:val="24"/>
          <w:spacing w:val="-3"/>
        </w:rPr>
        <w:t>，由检测结果可知：</w:t>
      </w:r>
    </w:p>
    <w:p>
      <w:pPr>
        <w:pStyle w:val="BodyText"/>
        <w:ind w:left="613"/>
        <w:spacing w:before="182" w:line="212" w:lineRule="auto"/>
        <w:rPr>
          <w:rFonts w:ascii="FangSong" w:hAnsi="FangSong" w:eastAsia="FangSong" w:cs="FangSong"/>
          <w:sz w:val="24"/>
          <w:szCs w:val="24"/>
        </w:rPr>
      </w:pPr>
      <w:r>
        <w:rPr>
          <w:rFonts w:ascii="FangSong" w:hAnsi="FangSong" w:eastAsia="FangSong" w:cs="FangSong"/>
          <w:sz w:val="24"/>
          <w:szCs w:val="24"/>
          <w:spacing w:val="-3"/>
        </w:rPr>
        <w:t>（</w:t>
      </w:r>
      <w:r>
        <w:rPr>
          <w:sz w:val="24"/>
          <w:szCs w:val="24"/>
          <w:spacing w:val="-3"/>
        </w:rPr>
        <w:t>1</w:t>
      </w:r>
      <w:r>
        <w:rPr>
          <w:rFonts w:ascii="FangSong" w:hAnsi="FangSong" w:eastAsia="FangSong" w:cs="FangSong"/>
          <w:sz w:val="24"/>
          <w:szCs w:val="24"/>
          <w:spacing w:val="-3"/>
        </w:rPr>
        <w:t>）土壤</w:t>
      </w:r>
      <w:r>
        <w:rPr>
          <w:sz w:val="24"/>
          <w:szCs w:val="24"/>
          <w:spacing w:val="-3"/>
        </w:rPr>
        <w:t>pH</w:t>
      </w:r>
      <w:r>
        <w:rPr>
          <w:rFonts w:ascii="FangSong" w:hAnsi="FangSong" w:eastAsia="FangSong" w:cs="FangSong"/>
          <w:sz w:val="24"/>
          <w:szCs w:val="24"/>
          <w:spacing w:val="-3"/>
        </w:rPr>
        <w:t>值</w:t>
      </w:r>
    </w:p>
    <w:p>
      <w:pPr>
        <w:pStyle w:val="BodyText"/>
        <w:ind w:left="592"/>
        <w:spacing w:before="192" w:line="212" w:lineRule="auto"/>
        <w:rPr>
          <w:rFonts w:ascii="FangSong" w:hAnsi="FangSong" w:eastAsia="FangSong" w:cs="FangSong"/>
          <w:sz w:val="24"/>
          <w:szCs w:val="24"/>
        </w:rPr>
      </w:pPr>
      <w:r>
        <w:rPr>
          <w:sz w:val="24"/>
          <w:szCs w:val="24"/>
          <w:spacing w:val="-1"/>
        </w:rPr>
        <w:t>pH</w:t>
      </w:r>
      <w:r>
        <w:rPr>
          <w:rFonts w:ascii="FangSong" w:hAnsi="FangSong" w:eastAsia="FangSong" w:cs="FangSong"/>
          <w:sz w:val="24"/>
          <w:szCs w:val="24"/>
          <w:spacing w:val="-1"/>
        </w:rPr>
        <w:t>值检测范围在</w:t>
      </w:r>
      <w:r>
        <w:rPr>
          <w:sz w:val="24"/>
          <w:szCs w:val="24"/>
          <w:spacing w:val="-1"/>
        </w:rPr>
        <w:t>4.85</w:t>
      </w:r>
      <w:r>
        <w:rPr>
          <w:rFonts w:ascii="FangSong" w:hAnsi="FangSong" w:eastAsia="FangSong" w:cs="FangSong"/>
          <w:sz w:val="24"/>
          <w:szCs w:val="24"/>
          <w:spacing w:val="-1"/>
        </w:rPr>
        <w:t>～</w:t>
      </w:r>
      <w:r>
        <w:rPr>
          <w:sz w:val="24"/>
          <w:szCs w:val="24"/>
          <w:spacing w:val="-1"/>
        </w:rPr>
        <w:t>6.36</w:t>
      </w:r>
      <w:r>
        <w:rPr>
          <w:rFonts w:ascii="FangSong" w:hAnsi="FangSong" w:eastAsia="FangSong" w:cs="FangSong"/>
          <w:sz w:val="24"/>
          <w:szCs w:val="24"/>
          <w:spacing w:val="-1"/>
        </w:rPr>
        <w:t>之间。</w:t>
      </w:r>
    </w:p>
    <w:p>
      <w:pPr>
        <w:pStyle w:val="BodyText"/>
        <w:ind w:left="613"/>
        <w:spacing w:before="192" w:line="221" w:lineRule="auto"/>
        <w:rPr>
          <w:rFonts w:ascii="FangSong" w:hAnsi="FangSong" w:eastAsia="FangSong" w:cs="FangSong"/>
          <w:sz w:val="24"/>
          <w:szCs w:val="24"/>
        </w:rPr>
      </w:pPr>
      <w:r>
        <w:rPr>
          <w:rFonts w:ascii="FangSong" w:hAnsi="FangSong" w:eastAsia="FangSong" w:cs="FangSong"/>
          <w:sz w:val="24"/>
          <w:szCs w:val="24"/>
          <w:spacing w:val="-2"/>
        </w:rPr>
        <w:t>（</w:t>
      </w:r>
      <w:r>
        <w:rPr>
          <w:sz w:val="24"/>
          <w:szCs w:val="24"/>
          <w:spacing w:val="-2"/>
        </w:rPr>
        <w:t>2</w:t>
      </w:r>
      <w:r>
        <w:rPr>
          <w:rFonts w:ascii="FangSong" w:hAnsi="FangSong" w:eastAsia="FangSong" w:cs="FangSong"/>
          <w:sz w:val="24"/>
          <w:szCs w:val="24"/>
          <w:spacing w:val="-2"/>
        </w:rPr>
        <w:t>）土壤重金属和无机物</w:t>
      </w:r>
    </w:p>
    <w:p>
      <w:pPr>
        <w:pStyle w:val="BodyText"/>
        <w:ind w:left="127" w:right="111" w:firstLine="493"/>
        <w:spacing w:before="181" w:line="360" w:lineRule="auto"/>
        <w:rPr>
          <w:rFonts w:ascii="FangSong" w:hAnsi="FangSong" w:eastAsia="FangSong" w:cs="FangSong"/>
          <w:sz w:val="24"/>
          <w:szCs w:val="24"/>
        </w:rPr>
      </w:pPr>
      <w:r>
        <w:rPr>
          <w:sz w:val="24"/>
          <w:szCs w:val="24"/>
          <w:spacing w:val="-3"/>
        </w:rPr>
        <w:t>14</w:t>
      </w:r>
      <w:r>
        <w:rPr>
          <w:rFonts w:ascii="FangSong" w:hAnsi="FangSong" w:eastAsia="FangSong" w:cs="FangSong"/>
          <w:sz w:val="24"/>
          <w:szCs w:val="24"/>
          <w:spacing w:val="-3"/>
        </w:rPr>
        <w:t>个土壤样品有检出砷、镉、铜、铅、汞、镍、锌、总铬、氟化物。检测结果表明</w:t>
      </w:r>
      <w:r>
        <w:rPr>
          <w:rFonts w:ascii="FangSong" w:hAnsi="FangSong" w:eastAsia="FangSong" w:cs="FangSong"/>
          <w:sz w:val="24"/>
          <w:szCs w:val="24"/>
          <w:spacing w:val="-4"/>
        </w:rPr>
        <w:t>，除六</w:t>
      </w:r>
      <w:r>
        <w:rPr>
          <w:rFonts w:ascii="FangSong" w:hAnsi="FangSong" w:eastAsia="FangSong" w:cs="FangSong"/>
          <w:sz w:val="24"/>
          <w:szCs w:val="24"/>
        </w:rPr>
        <w:t xml:space="preserve"> </w:t>
      </w:r>
      <w:r>
        <w:rPr>
          <w:rFonts w:ascii="FangSong" w:hAnsi="FangSong" w:eastAsia="FangSong" w:cs="FangSong"/>
          <w:sz w:val="24"/>
          <w:szCs w:val="24"/>
          <w:spacing w:val="-3"/>
        </w:rPr>
        <w:t>价铬外，土壤样品中的重金属和无机物检测因子均有检出，污染物检出浓度低于《土壤环境质</w:t>
      </w:r>
      <w:r>
        <w:rPr>
          <w:rFonts w:ascii="FangSong" w:hAnsi="FangSong" w:eastAsia="FangSong" w:cs="FangSong"/>
          <w:sz w:val="24"/>
          <w:szCs w:val="24"/>
          <w:spacing w:val="13"/>
        </w:rPr>
        <w:t xml:space="preserve"> </w:t>
      </w:r>
      <w:r>
        <w:rPr>
          <w:rFonts w:ascii="FangSong" w:hAnsi="FangSong" w:eastAsia="FangSong" w:cs="FangSong"/>
          <w:sz w:val="24"/>
          <w:szCs w:val="24"/>
          <w:spacing w:val="2"/>
        </w:rPr>
        <w:t>量建设用地土壤污染风险管控标准》（</w:t>
      </w:r>
      <w:r>
        <w:rPr>
          <w:sz w:val="24"/>
          <w:szCs w:val="24"/>
        </w:rPr>
        <w:t>GB</w:t>
      </w:r>
      <w:r>
        <w:rPr>
          <w:sz w:val="24"/>
          <w:szCs w:val="24"/>
          <w:spacing w:val="2"/>
        </w:rPr>
        <w:t>36600-2018</w:t>
      </w:r>
      <w:r>
        <w:rPr>
          <w:rFonts w:ascii="FangSong" w:hAnsi="FangSong" w:eastAsia="FangSong" w:cs="FangSong"/>
          <w:sz w:val="24"/>
          <w:szCs w:val="24"/>
          <w:spacing w:val="2"/>
        </w:rPr>
        <w:t>）第二类用地</w:t>
      </w:r>
      <w:r>
        <w:rPr>
          <w:rFonts w:ascii="FangSong" w:hAnsi="FangSong" w:eastAsia="FangSong" w:cs="FangSong"/>
          <w:sz w:val="24"/>
          <w:szCs w:val="24"/>
          <w:spacing w:val="1"/>
        </w:rPr>
        <w:t>筛选值，其中总铬、锌、</w:t>
      </w:r>
      <w:r>
        <w:rPr>
          <w:rFonts w:ascii="FangSong" w:hAnsi="FangSong" w:eastAsia="FangSong" w:cs="FangSong"/>
          <w:sz w:val="24"/>
          <w:szCs w:val="24"/>
        </w:rPr>
        <w:t xml:space="preserve"> </w:t>
      </w:r>
      <w:r>
        <w:rPr>
          <w:rFonts w:ascii="FangSong" w:hAnsi="FangSong" w:eastAsia="FangSong" w:cs="FangSong"/>
          <w:sz w:val="24"/>
          <w:szCs w:val="24"/>
          <w:spacing w:val="-5"/>
        </w:rPr>
        <w:t>氟化物污染物检出浓度低于浙江省地方标准《建设用地土壤污染风险评估技术</w:t>
      </w:r>
      <w:r>
        <w:rPr>
          <w:rFonts w:ascii="FangSong" w:hAnsi="FangSong" w:eastAsia="FangSong" w:cs="FangSong"/>
          <w:sz w:val="24"/>
          <w:szCs w:val="24"/>
          <w:spacing w:val="-6"/>
        </w:rPr>
        <w:t>导则》（</w:t>
      </w:r>
      <w:r>
        <w:rPr>
          <w:sz w:val="24"/>
          <w:szCs w:val="24"/>
          <w:spacing w:val="-6"/>
        </w:rPr>
        <w:t>DB 33/T</w:t>
      </w:r>
      <w:r>
        <w:rPr>
          <w:sz w:val="24"/>
          <w:szCs w:val="24"/>
        </w:rPr>
        <w:t xml:space="preserve"> </w:t>
      </w:r>
      <w:r>
        <w:rPr>
          <w:sz w:val="24"/>
          <w:szCs w:val="24"/>
          <w:spacing w:val="-1"/>
        </w:rPr>
        <w:t>892-2022</w:t>
      </w:r>
      <w:r>
        <w:rPr>
          <w:rFonts w:ascii="FangSong" w:hAnsi="FangSong" w:eastAsia="FangSong" w:cs="FangSong"/>
          <w:sz w:val="24"/>
          <w:szCs w:val="24"/>
          <w:spacing w:val="-1"/>
        </w:rPr>
        <w:t>）非敏感用地筛选值。</w:t>
      </w:r>
    </w:p>
    <w:p>
      <w:pPr>
        <w:pStyle w:val="BodyText"/>
        <w:ind w:left="613"/>
        <w:spacing w:before="1" w:line="220" w:lineRule="auto"/>
        <w:rPr>
          <w:rFonts w:ascii="FangSong" w:hAnsi="FangSong" w:eastAsia="FangSong" w:cs="FangSong"/>
          <w:sz w:val="24"/>
          <w:szCs w:val="24"/>
        </w:rPr>
      </w:pPr>
      <w:r>
        <w:rPr>
          <w:rFonts w:ascii="FangSong" w:hAnsi="FangSong" w:eastAsia="FangSong" w:cs="FangSong"/>
          <w:sz w:val="24"/>
          <w:szCs w:val="24"/>
          <w:spacing w:val="-3"/>
        </w:rPr>
        <w:t>（</w:t>
      </w:r>
      <w:r>
        <w:rPr>
          <w:sz w:val="24"/>
          <w:szCs w:val="24"/>
          <w:spacing w:val="-3"/>
        </w:rPr>
        <w:t>3</w:t>
      </w:r>
      <w:r>
        <w:rPr>
          <w:rFonts w:ascii="FangSong" w:hAnsi="FangSong" w:eastAsia="FangSong" w:cs="FangSong"/>
          <w:sz w:val="24"/>
          <w:szCs w:val="24"/>
          <w:spacing w:val="-3"/>
        </w:rPr>
        <w:t>）土壤有机物</w:t>
      </w:r>
    </w:p>
    <w:p>
      <w:pPr>
        <w:pStyle w:val="BodyText"/>
        <w:ind w:left="128" w:right="111" w:firstLine="492"/>
        <w:spacing w:before="181" w:line="360" w:lineRule="auto"/>
        <w:rPr>
          <w:rFonts w:ascii="FangSong" w:hAnsi="FangSong" w:eastAsia="FangSong" w:cs="FangSong"/>
          <w:sz w:val="24"/>
          <w:szCs w:val="24"/>
        </w:rPr>
      </w:pPr>
      <w:r>
        <w:rPr>
          <w:sz w:val="24"/>
          <w:szCs w:val="24"/>
          <w:spacing w:val="-3"/>
        </w:rPr>
        <w:t>14</w:t>
      </w:r>
      <w:r>
        <w:rPr>
          <w:rFonts w:ascii="FangSong" w:hAnsi="FangSong" w:eastAsia="FangSong" w:cs="FangSong"/>
          <w:sz w:val="24"/>
          <w:szCs w:val="24"/>
          <w:spacing w:val="-3"/>
        </w:rPr>
        <w:t>个土壤样品有检出石油烃（</w:t>
      </w:r>
      <w:r>
        <w:rPr>
          <w:sz w:val="24"/>
          <w:szCs w:val="24"/>
          <w:spacing w:val="-3"/>
        </w:rPr>
        <w:t>C</w:t>
      </w:r>
      <w:r>
        <w:rPr>
          <w:sz w:val="15"/>
          <w:szCs w:val="15"/>
          <w:spacing w:val="-3"/>
        </w:rPr>
        <w:t>10</w:t>
      </w:r>
      <w:r>
        <w:rPr>
          <w:sz w:val="24"/>
          <w:szCs w:val="24"/>
          <w:spacing w:val="-3"/>
        </w:rPr>
        <w:t>-C</w:t>
      </w:r>
      <w:r>
        <w:rPr>
          <w:sz w:val="15"/>
          <w:szCs w:val="15"/>
          <w:spacing w:val="-3"/>
          <w:position w:val="-1"/>
        </w:rPr>
        <w:t>40 </w:t>
      </w:r>
      <w:r>
        <w:rPr>
          <w:rFonts w:ascii="FangSong" w:hAnsi="FangSong" w:eastAsia="FangSong" w:cs="FangSong"/>
          <w:sz w:val="24"/>
          <w:szCs w:val="24"/>
          <w:spacing w:val="-3"/>
        </w:rPr>
        <w:t>）、二噁英。检测结果表明，土壤样品</w:t>
      </w:r>
      <w:r>
        <w:rPr>
          <w:rFonts w:ascii="FangSong" w:hAnsi="FangSong" w:eastAsia="FangSong" w:cs="FangSong"/>
          <w:sz w:val="24"/>
          <w:szCs w:val="24"/>
          <w:spacing w:val="-4"/>
        </w:rPr>
        <w:t>中的有机物检</w:t>
      </w:r>
      <w:r>
        <w:rPr>
          <w:rFonts w:ascii="FangSong" w:hAnsi="FangSong" w:eastAsia="FangSong" w:cs="FangSong"/>
          <w:sz w:val="24"/>
          <w:szCs w:val="24"/>
        </w:rPr>
        <w:t xml:space="preserve"> </w:t>
      </w:r>
      <w:r>
        <w:rPr>
          <w:rFonts w:ascii="FangSong" w:hAnsi="FangSong" w:eastAsia="FangSong" w:cs="FangSong"/>
          <w:sz w:val="24"/>
          <w:szCs w:val="24"/>
          <w:spacing w:val="-3"/>
        </w:rPr>
        <w:t>测因子除上述指标外，其他因子均未检出，污染物检出浓度低于《土壤环境质量建设用地土壤</w:t>
      </w:r>
      <w:r>
        <w:rPr>
          <w:rFonts w:ascii="FangSong" w:hAnsi="FangSong" w:eastAsia="FangSong" w:cs="FangSong"/>
          <w:sz w:val="24"/>
          <w:szCs w:val="24"/>
          <w:spacing w:val="12"/>
        </w:rPr>
        <w:t xml:space="preserve"> </w:t>
      </w:r>
      <w:r>
        <w:rPr>
          <w:rFonts w:ascii="FangSong" w:hAnsi="FangSong" w:eastAsia="FangSong" w:cs="FangSong"/>
          <w:sz w:val="24"/>
          <w:szCs w:val="24"/>
          <w:spacing w:val="-1"/>
        </w:rPr>
        <w:t>污染风险管控标准》（</w:t>
      </w:r>
      <w:r>
        <w:rPr>
          <w:sz w:val="24"/>
          <w:szCs w:val="24"/>
          <w:spacing w:val="-1"/>
        </w:rPr>
        <w:t>GB36600-2018</w:t>
      </w:r>
      <w:r>
        <w:rPr>
          <w:rFonts w:ascii="FangSong" w:hAnsi="FangSong" w:eastAsia="FangSong" w:cs="FangSong"/>
          <w:sz w:val="24"/>
          <w:szCs w:val="24"/>
          <w:spacing w:val="-1"/>
        </w:rPr>
        <w:t>）第二类用地筛选值。</w:t>
      </w:r>
    </w:p>
    <w:p>
      <w:pPr>
        <w:pStyle w:val="BodyText"/>
        <w:ind w:left="613"/>
        <w:spacing w:line="220" w:lineRule="auto"/>
        <w:rPr>
          <w:rFonts w:ascii="FangSong" w:hAnsi="FangSong" w:eastAsia="FangSong" w:cs="FangSong"/>
          <w:sz w:val="24"/>
          <w:szCs w:val="24"/>
        </w:rPr>
      </w:pPr>
      <w:r>
        <w:rPr>
          <w:rFonts w:ascii="FangSong" w:hAnsi="FangSong" w:eastAsia="FangSong" w:cs="FangSong"/>
          <w:sz w:val="24"/>
          <w:szCs w:val="24"/>
          <w:spacing w:val="-2"/>
        </w:rPr>
        <w:t>（</w:t>
      </w:r>
      <w:r>
        <w:rPr>
          <w:sz w:val="24"/>
          <w:szCs w:val="24"/>
          <w:spacing w:val="-2"/>
        </w:rPr>
        <w:t>4</w:t>
      </w:r>
      <w:r>
        <w:rPr>
          <w:rFonts w:ascii="FangSong" w:hAnsi="FangSong" w:eastAsia="FangSong" w:cs="FangSong"/>
          <w:sz w:val="24"/>
          <w:szCs w:val="24"/>
          <w:spacing w:val="-2"/>
        </w:rPr>
        <w:t>）土壤关注污染物检出情况</w:t>
      </w:r>
    </w:p>
    <w:p>
      <w:pPr>
        <w:pStyle w:val="BodyText"/>
        <w:ind w:left="130" w:right="111" w:firstLine="480"/>
        <w:spacing w:before="183" w:line="355" w:lineRule="auto"/>
        <w:rPr>
          <w:rFonts w:ascii="FangSong" w:hAnsi="FangSong" w:eastAsia="FangSong" w:cs="FangSong"/>
          <w:sz w:val="24"/>
          <w:szCs w:val="24"/>
        </w:rPr>
      </w:pPr>
      <w:r>
        <w:rPr>
          <w:rFonts w:ascii="FangSong" w:hAnsi="FangSong" w:eastAsia="FangSong" w:cs="FangSong"/>
          <w:sz w:val="24"/>
          <w:szCs w:val="24"/>
          <w:spacing w:val="1"/>
        </w:rPr>
        <w:t>土壤关注污染物为特征污染物</w:t>
      </w:r>
      <w:r>
        <w:rPr>
          <w:sz w:val="24"/>
          <w:szCs w:val="24"/>
        </w:rPr>
        <w:t>pH</w:t>
      </w:r>
      <w:r>
        <w:rPr>
          <w:sz w:val="24"/>
          <w:szCs w:val="24"/>
          <w:spacing w:val="-25"/>
        </w:rPr>
        <w:t xml:space="preserve"> </w:t>
      </w:r>
      <w:r>
        <w:rPr>
          <w:rFonts w:ascii="FangSong" w:hAnsi="FangSong" w:eastAsia="FangSong" w:cs="FangSong"/>
          <w:sz w:val="24"/>
          <w:szCs w:val="24"/>
          <w:spacing w:val="1"/>
        </w:rPr>
        <w:t>、石油烃（</w:t>
      </w:r>
      <w:r>
        <w:rPr>
          <w:sz w:val="24"/>
          <w:szCs w:val="24"/>
          <w:spacing w:val="1"/>
        </w:rPr>
        <w:t>C</w:t>
      </w:r>
      <w:r>
        <w:rPr>
          <w:sz w:val="15"/>
          <w:szCs w:val="15"/>
          <w:spacing w:val="1"/>
        </w:rPr>
        <w:t>1</w:t>
      </w:r>
      <w:r>
        <w:rPr>
          <w:sz w:val="15"/>
          <w:szCs w:val="15"/>
        </w:rPr>
        <w:t>0</w:t>
      </w:r>
      <w:r>
        <w:rPr>
          <w:sz w:val="24"/>
          <w:szCs w:val="24"/>
        </w:rPr>
        <w:t>-C</w:t>
      </w:r>
      <w:r>
        <w:rPr>
          <w:sz w:val="15"/>
          <w:szCs w:val="15"/>
          <w:position w:val="-1"/>
        </w:rPr>
        <w:t>40 </w:t>
      </w:r>
      <w:r>
        <w:rPr>
          <w:rFonts w:ascii="FangSong" w:hAnsi="FangSong" w:eastAsia="FangSong" w:cs="FangSong"/>
          <w:sz w:val="24"/>
          <w:szCs w:val="24"/>
        </w:rPr>
        <w:t>）、氟化物、二噁英（仅测表层）、</w:t>
      </w:r>
      <w:r>
        <w:rPr>
          <w:rFonts w:ascii="FangSong" w:hAnsi="FangSong" w:eastAsia="FangSong" w:cs="FangSong"/>
          <w:sz w:val="24"/>
          <w:szCs w:val="24"/>
        </w:rPr>
        <w:t xml:space="preserve"> </w:t>
      </w:r>
      <w:r>
        <w:rPr>
          <w:rFonts w:ascii="FangSong" w:hAnsi="FangSong" w:eastAsia="FangSong" w:cs="FangSong"/>
          <w:sz w:val="24"/>
          <w:szCs w:val="24"/>
          <w:spacing w:val="-6"/>
        </w:rPr>
        <w:t>铜、铅、锌、镉、镍、砷、总铬、六价铬、苯并</w:t>
      </w:r>
      <w:r>
        <w:rPr>
          <w:sz w:val="24"/>
          <w:szCs w:val="24"/>
          <w:spacing w:val="-6"/>
        </w:rPr>
        <w:t>[a]</w:t>
      </w:r>
      <w:r>
        <w:rPr>
          <w:rFonts w:ascii="FangSong" w:hAnsi="FangSong" w:eastAsia="FangSong" w:cs="FangSong"/>
          <w:sz w:val="24"/>
          <w:szCs w:val="24"/>
          <w:spacing w:val="-6"/>
        </w:rPr>
        <w:t>芘。本次自行</w:t>
      </w:r>
      <w:r>
        <w:rPr>
          <w:rFonts w:ascii="FangSong" w:hAnsi="FangSong" w:eastAsia="FangSong" w:cs="FangSong"/>
          <w:sz w:val="24"/>
          <w:szCs w:val="24"/>
          <w:spacing w:val="-7"/>
        </w:rPr>
        <w:t>监测土壤样品</w:t>
      </w:r>
      <w:r>
        <w:rPr>
          <w:sz w:val="24"/>
          <w:szCs w:val="24"/>
          <w:spacing w:val="-7"/>
        </w:rPr>
        <w:t>pH</w:t>
      </w:r>
      <w:r>
        <w:rPr>
          <w:rFonts w:ascii="FangSong" w:hAnsi="FangSong" w:eastAsia="FangSong" w:cs="FangSong"/>
          <w:sz w:val="24"/>
          <w:szCs w:val="24"/>
          <w:spacing w:val="-7"/>
        </w:rPr>
        <w:t>值为</w:t>
      </w:r>
      <w:r>
        <w:rPr>
          <w:sz w:val="24"/>
          <w:szCs w:val="24"/>
          <w:spacing w:val="-7"/>
        </w:rPr>
        <w:t>4.85</w:t>
      </w:r>
      <w:r>
        <w:rPr>
          <w:rFonts w:ascii="FangSong" w:hAnsi="FangSong" w:eastAsia="FangSong" w:cs="FangSong"/>
          <w:sz w:val="24"/>
          <w:szCs w:val="24"/>
          <w:spacing w:val="-7"/>
        </w:rPr>
        <w:t>～</w:t>
      </w:r>
      <w:r>
        <w:rPr>
          <w:sz w:val="24"/>
          <w:szCs w:val="24"/>
          <w:spacing w:val="-7"/>
        </w:rPr>
        <w:t>6.36</w:t>
      </w:r>
      <w:r>
        <w:rPr>
          <w:sz w:val="24"/>
          <w:szCs w:val="24"/>
        </w:rPr>
        <w:t xml:space="preserve"> </w:t>
      </w:r>
      <w:r>
        <w:rPr>
          <w:rFonts w:ascii="FangSong" w:hAnsi="FangSong" w:eastAsia="FangSong" w:cs="FangSong"/>
          <w:sz w:val="24"/>
          <w:szCs w:val="24"/>
          <w:spacing w:val="-1"/>
        </w:rPr>
        <w:t>之间，石油烃（</w:t>
      </w:r>
      <w:r>
        <w:rPr>
          <w:sz w:val="24"/>
          <w:szCs w:val="24"/>
          <w:spacing w:val="-1"/>
        </w:rPr>
        <w:t>C</w:t>
      </w:r>
      <w:r>
        <w:rPr>
          <w:sz w:val="15"/>
          <w:szCs w:val="15"/>
          <w:spacing w:val="-1"/>
        </w:rPr>
        <w:t>10</w:t>
      </w:r>
      <w:r>
        <w:rPr>
          <w:sz w:val="24"/>
          <w:szCs w:val="24"/>
          <w:spacing w:val="-1"/>
        </w:rPr>
        <w:t>-C</w:t>
      </w:r>
      <w:r>
        <w:rPr>
          <w:sz w:val="15"/>
          <w:szCs w:val="15"/>
          <w:spacing w:val="-1"/>
          <w:position w:val="-1"/>
        </w:rPr>
        <w:t>40 </w:t>
      </w:r>
      <w:r>
        <w:rPr>
          <w:rFonts w:ascii="FangSong" w:hAnsi="FangSong" w:eastAsia="FangSong" w:cs="FangSong"/>
          <w:sz w:val="24"/>
          <w:szCs w:val="24"/>
          <w:spacing w:val="-1"/>
        </w:rPr>
        <w:t>）、氟化物、二噁英、铜、铅、锌、镉、镍、砷、总铬均有检</w:t>
      </w:r>
      <w:r>
        <w:rPr>
          <w:rFonts w:ascii="FangSong" w:hAnsi="FangSong" w:eastAsia="FangSong" w:cs="FangSong"/>
          <w:sz w:val="24"/>
          <w:szCs w:val="24"/>
          <w:spacing w:val="-2"/>
        </w:rPr>
        <w:t>出。</w:t>
      </w:r>
    </w:p>
    <w:p>
      <w:pPr>
        <w:pStyle w:val="BodyText"/>
        <w:ind w:left="2916"/>
        <w:spacing w:before="19" w:line="219" w:lineRule="auto"/>
        <w:rPr>
          <w:rFonts w:ascii="FangSong" w:hAnsi="FangSong" w:eastAsia="FangSong" w:cs="FangSong"/>
          <w:sz w:val="24"/>
          <w:szCs w:val="24"/>
        </w:rPr>
      </w:pPr>
      <w:r>
        <w:rPr>
          <w:rFonts w:ascii="FangSong" w:hAnsi="FangSong" w:eastAsia="FangSong" w:cs="FangSong"/>
          <w:sz w:val="24"/>
          <w:szCs w:val="24"/>
          <w:b/>
          <w:bCs/>
          <w:spacing w:val="-2"/>
        </w:rPr>
        <w:t>表</w:t>
      </w:r>
      <w:r>
        <w:rPr>
          <w:sz w:val="24"/>
          <w:szCs w:val="24"/>
          <w:b/>
          <w:bCs/>
          <w:spacing w:val="-2"/>
        </w:rPr>
        <w:t>8.1-3 2025</w:t>
      </w:r>
      <w:r>
        <w:rPr>
          <w:rFonts w:ascii="FangSong" w:hAnsi="FangSong" w:eastAsia="FangSong" w:cs="FangSong"/>
          <w:sz w:val="24"/>
          <w:szCs w:val="24"/>
          <w:b/>
          <w:bCs/>
          <w:spacing w:val="-2"/>
        </w:rPr>
        <w:t>年土壤样品检测结果分析表</w:t>
      </w:r>
    </w:p>
    <w:p>
      <w:pPr>
        <w:spacing w:line="69" w:lineRule="exact"/>
        <w:rPr/>
      </w:pPr>
      <w:r/>
    </w:p>
    <w:tbl>
      <w:tblPr>
        <w:tblStyle w:val="TableNormal"/>
        <w:tblW w:w="996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73"/>
        <w:gridCol w:w="2369"/>
        <w:gridCol w:w="995"/>
        <w:gridCol w:w="991"/>
        <w:gridCol w:w="1567"/>
        <w:gridCol w:w="917"/>
        <w:gridCol w:w="884"/>
        <w:gridCol w:w="1169"/>
      </w:tblGrid>
      <w:tr>
        <w:trPr>
          <w:trHeight w:val="632" w:hRule="atLeast"/>
        </w:trPr>
        <w:tc>
          <w:tcPr>
            <w:tcW w:w="1073" w:type="dxa"/>
            <w:vAlign w:val="top"/>
          </w:tcPr>
          <w:p>
            <w:pPr>
              <w:pStyle w:val="TableText"/>
              <w:ind w:left="340"/>
              <w:spacing w:before="211" w:line="232" w:lineRule="auto"/>
              <w:rPr/>
            </w:pPr>
            <w:r>
              <w:rPr>
                <w:b/>
                <w:bCs/>
                <w:spacing w:val="-1"/>
              </w:rPr>
              <w:t>类别</w:t>
            </w:r>
          </w:p>
        </w:tc>
        <w:tc>
          <w:tcPr>
            <w:tcW w:w="2369" w:type="dxa"/>
            <w:vAlign w:val="top"/>
          </w:tcPr>
          <w:p>
            <w:pPr>
              <w:pStyle w:val="TableText"/>
              <w:ind w:left="774"/>
              <w:spacing w:before="212" w:line="230" w:lineRule="auto"/>
              <w:rPr/>
            </w:pPr>
            <w:r>
              <w:rPr>
                <w:b/>
                <w:bCs/>
                <w:spacing w:val="4"/>
              </w:rPr>
              <w:t>分析因子</w:t>
            </w:r>
          </w:p>
        </w:tc>
        <w:tc>
          <w:tcPr>
            <w:tcW w:w="995" w:type="dxa"/>
            <w:vAlign w:val="top"/>
          </w:tcPr>
          <w:p>
            <w:pPr>
              <w:pStyle w:val="TableText"/>
              <w:ind w:left="300"/>
              <w:spacing w:before="212" w:line="229" w:lineRule="auto"/>
              <w:rPr/>
            </w:pPr>
            <w:r>
              <w:rPr>
                <w:b/>
                <w:bCs/>
                <w:spacing w:val="-1"/>
              </w:rPr>
              <w:t>单位</w:t>
            </w:r>
          </w:p>
        </w:tc>
        <w:tc>
          <w:tcPr>
            <w:tcW w:w="991" w:type="dxa"/>
            <w:vAlign w:val="top"/>
          </w:tcPr>
          <w:p>
            <w:pPr>
              <w:pStyle w:val="TableText"/>
              <w:ind w:left="192"/>
              <w:spacing w:before="56" w:line="231" w:lineRule="auto"/>
              <w:rPr/>
            </w:pPr>
            <w:r>
              <w:rPr>
                <w:b/>
                <w:bCs/>
                <w:spacing w:val="3"/>
              </w:rPr>
              <w:t>评价标</w:t>
            </w:r>
          </w:p>
          <w:p>
            <w:pPr>
              <w:pStyle w:val="TableText"/>
              <w:ind w:left="194"/>
              <w:spacing w:before="61" w:line="231" w:lineRule="auto"/>
              <w:rPr/>
            </w:pPr>
            <w:r>
              <w:rPr>
                <w:b/>
                <w:bCs/>
                <w:spacing w:val="2"/>
              </w:rPr>
              <w:t>准限值</w:t>
            </w:r>
          </w:p>
        </w:tc>
        <w:tc>
          <w:tcPr>
            <w:tcW w:w="1567" w:type="dxa"/>
            <w:vAlign w:val="top"/>
          </w:tcPr>
          <w:p>
            <w:pPr>
              <w:pStyle w:val="TableText"/>
              <w:ind w:left="378"/>
              <w:spacing w:before="212" w:line="231" w:lineRule="auto"/>
              <w:rPr/>
            </w:pPr>
            <w:r>
              <w:rPr>
                <w:b/>
                <w:bCs/>
                <w:spacing w:val="4"/>
              </w:rPr>
              <w:t>结果范围</w:t>
            </w:r>
          </w:p>
        </w:tc>
        <w:tc>
          <w:tcPr>
            <w:tcW w:w="917" w:type="dxa"/>
            <w:vAlign w:val="top"/>
          </w:tcPr>
          <w:p>
            <w:pPr>
              <w:pStyle w:val="TableText"/>
              <w:ind w:left="157"/>
              <w:spacing w:before="56" w:line="231" w:lineRule="auto"/>
              <w:rPr/>
            </w:pPr>
            <w:r>
              <w:rPr>
                <w:b/>
                <w:bCs/>
                <w:spacing w:val="3"/>
              </w:rPr>
              <w:t>超标率</w:t>
            </w:r>
          </w:p>
          <w:p>
            <w:pPr>
              <w:pStyle w:val="TableText"/>
              <w:ind w:left="160"/>
              <w:spacing w:before="61" w:line="234" w:lineRule="auto"/>
              <w:rPr/>
            </w:pPr>
            <w:r>
              <w:rPr>
                <w:b/>
                <w:bCs/>
                <w:spacing w:val="-2"/>
              </w:rPr>
              <w:t>（</w:t>
            </w:r>
            <w:r>
              <w:rPr>
                <w:rFonts w:ascii="Times New Roman" w:hAnsi="Times New Roman" w:eastAsia="Times New Roman" w:cs="Times New Roman"/>
                <w:b/>
                <w:bCs/>
                <w:spacing w:val="-2"/>
              </w:rPr>
              <w:t>%</w:t>
            </w:r>
            <w:r>
              <w:rPr>
                <w:b/>
                <w:bCs/>
                <w:spacing w:val="-2"/>
              </w:rPr>
              <w:t>）</w:t>
            </w:r>
          </w:p>
        </w:tc>
        <w:tc>
          <w:tcPr>
            <w:tcW w:w="884" w:type="dxa"/>
            <w:vAlign w:val="top"/>
          </w:tcPr>
          <w:p>
            <w:pPr>
              <w:pStyle w:val="TableText"/>
              <w:ind w:left="145"/>
              <w:spacing w:before="212" w:line="231" w:lineRule="auto"/>
              <w:rPr/>
            </w:pPr>
            <w:r>
              <w:rPr>
                <w:b/>
                <w:bCs/>
                <w:spacing w:val="1"/>
              </w:rPr>
              <w:t>最大值</w:t>
            </w:r>
          </w:p>
        </w:tc>
        <w:tc>
          <w:tcPr>
            <w:tcW w:w="1169" w:type="dxa"/>
            <w:vAlign w:val="top"/>
          </w:tcPr>
          <w:p>
            <w:pPr>
              <w:pStyle w:val="TableText"/>
              <w:ind w:left="281" w:right="160" w:hanging="101"/>
              <w:spacing w:before="56" w:line="261" w:lineRule="auto"/>
              <w:rPr/>
            </w:pPr>
            <w:r>
              <w:rPr>
                <w:b/>
                <w:bCs/>
                <w:spacing w:val="3"/>
              </w:rPr>
              <w:t>最大值所</w:t>
            </w:r>
            <w:r>
              <w:rPr>
                <w:spacing w:val="1"/>
              </w:rPr>
              <w:t xml:space="preserve"> </w:t>
            </w:r>
            <w:r>
              <w:rPr>
                <w:b/>
                <w:bCs/>
                <w:spacing w:val="3"/>
              </w:rPr>
              <w:t>在点位</w:t>
            </w:r>
          </w:p>
        </w:tc>
      </w:tr>
      <w:tr>
        <w:trPr>
          <w:trHeight w:val="344" w:hRule="atLeast"/>
        </w:trPr>
        <w:tc>
          <w:tcPr>
            <w:tcW w:w="1073" w:type="dxa"/>
            <w:vAlign w:val="top"/>
          </w:tcPr>
          <w:p>
            <w:pPr>
              <w:pStyle w:val="TableText"/>
              <w:ind w:left="299"/>
              <w:spacing w:before="67" w:line="221" w:lineRule="auto"/>
              <w:rPr/>
            </w:pPr>
            <w:r>
              <w:rPr>
                <w:rFonts w:ascii="Times New Roman" w:hAnsi="Times New Roman" w:eastAsia="Times New Roman" w:cs="Times New Roman"/>
              </w:rPr>
              <w:t>pH</w:t>
            </w:r>
            <w:r>
              <w:rPr>
                <w:spacing w:val="21"/>
              </w:rPr>
              <w:t>值</w:t>
            </w:r>
          </w:p>
        </w:tc>
        <w:tc>
          <w:tcPr>
            <w:tcW w:w="2369" w:type="dxa"/>
            <w:vAlign w:val="top"/>
          </w:tcPr>
          <w:p>
            <w:pPr>
              <w:pStyle w:val="TableText"/>
              <w:ind w:left="947"/>
              <w:spacing w:before="67" w:line="221" w:lineRule="auto"/>
              <w:rPr/>
            </w:pPr>
            <w:r>
              <w:rPr>
                <w:rFonts w:ascii="Times New Roman" w:hAnsi="Times New Roman" w:eastAsia="Times New Roman" w:cs="Times New Roman"/>
              </w:rPr>
              <w:t>pH</w:t>
            </w:r>
            <w:r>
              <w:rPr>
                <w:spacing w:val="19"/>
              </w:rPr>
              <w:t>值</w:t>
            </w:r>
          </w:p>
        </w:tc>
        <w:tc>
          <w:tcPr>
            <w:tcW w:w="995" w:type="dxa"/>
            <w:vAlign w:val="top"/>
          </w:tcPr>
          <w:p>
            <w:pPr>
              <w:pStyle w:val="TableText"/>
              <w:ind w:left="195"/>
              <w:spacing w:before="67" w:line="233" w:lineRule="auto"/>
              <w:rPr/>
            </w:pPr>
            <w:r>
              <w:rPr>
                <w:spacing w:val="4"/>
              </w:rPr>
              <w:t>无量纲</w:t>
            </w:r>
          </w:p>
        </w:tc>
        <w:tc>
          <w:tcPr>
            <w:tcW w:w="991" w:type="dxa"/>
            <w:vAlign w:val="top"/>
          </w:tcPr>
          <w:p>
            <w:pPr>
              <w:ind w:left="387"/>
              <w:spacing w:before="192" w:line="9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2"/>
                <w:position w:val="-2"/>
              </w:rPr>
              <w:t>—</w:t>
            </w:r>
          </w:p>
        </w:tc>
        <w:tc>
          <w:tcPr>
            <w:tcW w:w="1567" w:type="dxa"/>
            <w:vAlign w:val="top"/>
          </w:tcPr>
          <w:p>
            <w:pPr>
              <w:pStyle w:val="TableText"/>
              <w:ind w:left="313"/>
              <w:spacing w:before="67" w:line="266" w:lineRule="exact"/>
              <w:rPr>
                <w:rFonts w:ascii="Times New Roman" w:hAnsi="Times New Roman" w:eastAsia="Times New Roman" w:cs="Times New Roman"/>
              </w:rPr>
            </w:pPr>
            <w:r>
              <w:rPr>
                <w:rFonts w:ascii="Times New Roman" w:hAnsi="Times New Roman" w:eastAsia="Times New Roman" w:cs="Times New Roman"/>
                <w:spacing w:val="4"/>
                <w:position w:val="1"/>
              </w:rPr>
              <w:t>4.85</w:t>
            </w:r>
            <w:r>
              <w:rPr>
                <w:spacing w:val="4"/>
                <w:position w:val="1"/>
              </w:rPr>
              <w:t>～</w:t>
            </w:r>
            <w:r>
              <w:rPr>
                <w:rFonts w:ascii="Times New Roman" w:hAnsi="Times New Roman" w:eastAsia="Times New Roman" w:cs="Times New Roman"/>
                <w:spacing w:val="4"/>
                <w:position w:val="1"/>
              </w:rPr>
              <w:t>6.36</w:t>
            </w:r>
          </w:p>
        </w:tc>
        <w:tc>
          <w:tcPr>
            <w:tcW w:w="917" w:type="dxa"/>
            <w:vAlign w:val="top"/>
          </w:tcPr>
          <w:p>
            <w:pPr>
              <w:ind w:left="428"/>
              <w:spacing w:before="9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884" w:type="dxa"/>
            <w:vAlign w:val="top"/>
          </w:tcPr>
          <w:p>
            <w:pPr>
              <w:ind w:left="413"/>
              <w:spacing w:before="9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169" w:type="dxa"/>
            <w:vAlign w:val="top"/>
          </w:tcPr>
          <w:p>
            <w:pPr>
              <w:ind w:left="552"/>
              <w:spacing w:before="9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4" w:hRule="atLeast"/>
        </w:trPr>
        <w:tc>
          <w:tcPr>
            <w:tcW w:w="1073" w:type="dxa"/>
            <w:vAlign w:val="top"/>
            <w:vMerge w:val="restart"/>
            <w:tcBorders>
              <w:bottom w:val="nil"/>
            </w:tcBorders>
          </w:tcPr>
          <w:p>
            <w:pPr>
              <w:pStyle w:val="TableText"/>
              <w:ind w:left="234" w:right="117" w:hanging="101"/>
              <w:spacing w:before="262" w:line="288" w:lineRule="auto"/>
              <w:rPr/>
            </w:pPr>
            <w:r>
              <w:rPr>
                <w:spacing w:val="4"/>
              </w:rPr>
              <w:t>重金属和</w:t>
            </w:r>
            <w:r>
              <w:rPr/>
              <w:t xml:space="preserve"> </w:t>
            </w:r>
            <w:r>
              <w:rPr>
                <w:spacing w:val="4"/>
              </w:rPr>
              <w:t>无机物</w:t>
            </w:r>
          </w:p>
        </w:tc>
        <w:tc>
          <w:tcPr>
            <w:tcW w:w="2369" w:type="dxa"/>
            <w:vAlign w:val="top"/>
          </w:tcPr>
          <w:p>
            <w:pPr>
              <w:pStyle w:val="TableText"/>
              <w:ind w:left="1088"/>
              <w:spacing w:before="68" w:line="229" w:lineRule="auto"/>
              <w:rPr/>
            </w:pPr>
            <w:r>
              <w:rPr/>
              <w:t>砷</w:t>
            </w:r>
          </w:p>
        </w:tc>
        <w:tc>
          <w:tcPr>
            <w:tcW w:w="995" w:type="dxa"/>
            <w:vAlign w:val="top"/>
          </w:tcPr>
          <w:p>
            <w:pPr>
              <w:ind w:left="226"/>
              <w:spacing w:before="10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98"/>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567" w:type="dxa"/>
            <w:vAlign w:val="top"/>
          </w:tcPr>
          <w:p>
            <w:pPr>
              <w:ind w:left="365"/>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7.32~</w:t>
            </w:r>
            <w:r>
              <w:rPr>
                <w:rFonts w:ascii="Times New Roman" w:hAnsi="Times New Roman" w:eastAsia="Times New Roman" w:cs="Times New Roman"/>
                <w:sz w:val="20"/>
                <w:szCs w:val="20"/>
                <w:spacing w:val="-19"/>
              </w:rPr>
              <w:t xml:space="preserve"> </w:t>
            </w:r>
            <w:r>
              <w:rPr>
                <w:rFonts w:ascii="Times New Roman" w:hAnsi="Times New Roman" w:eastAsia="Times New Roman" w:cs="Times New Roman"/>
                <w:sz w:val="20"/>
                <w:szCs w:val="20"/>
              </w:rPr>
              <w:t>13.9</w:t>
            </w:r>
          </w:p>
        </w:tc>
        <w:tc>
          <w:tcPr>
            <w:tcW w:w="917" w:type="dxa"/>
            <w:vAlign w:val="top"/>
          </w:tcPr>
          <w:p>
            <w:pPr>
              <w:ind w:left="413"/>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1"/>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13.9</w:t>
            </w:r>
          </w:p>
        </w:tc>
        <w:tc>
          <w:tcPr>
            <w:tcW w:w="1169" w:type="dxa"/>
            <w:vAlign w:val="top"/>
          </w:tcPr>
          <w:p>
            <w:pPr>
              <w:ind w:left="411"/>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FT</w:t>
            </w:r>
            <w:r>
              <w:rPr>
                <w:rFonts w:ascii="Times New Roman" w:hAnsi="Times New Roman" w:eastAsia="Times New Roman" w:cs="Times New Roman"/>
                <w:sz w:val="20"/>
                <w:szCs w:val="20"/>
                <w:spacing w:val="10"/>
              </w:rPr>
              <w:t>1</w:t>
            </w:r>
          </w:p>
        </w:tc>
      </w:tr>
      <w:tr>
        <w:trPr>
          <w:trHeight w:val="344"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1089"/>
              <w:spacing w:before="70" w:line="232" w:lineRule="auto"/>
              <w:rPr/>
            </w:pPr>
            <w:r>
              <w:rPr/>
              <w:t>镉</w:t>
            </w:r>
          </w:p>
        </w:tc>
        <w:tc>
          <w:tcPr>
            <w:tcW w:w="995" w:type="dxa"/>
            <w:vAlign w:val="top"/>
          </w:tcPr>
          <w:p>
            <w:pPr>
              <w:ind w:left="226"/>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98"/>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567" w:type="dxa"/>
            <w:vAlign w:val="top"/>
          </w:tcPr>
          <w:p>
            <w:pPr>
              <w:ind w:left="418"/>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0.56~7.3</w:t>
            </w:r>
          </w:p>
        </w:tc>
        <w:tc>
          <w:tcPr>
            <w:tcW w:w="917" w:type="dxa"/>
            <w:vAlign w:val="top"/>
          </w:tcPr>
          <w:p>
            <w:pPr>
              <w:ind w:left="413"/>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317"/>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7.3</w:t>
            </w:r>
          </w:p>
        </w:tc>
        <w:tc>
          <w:tcPr>
            <w:tcW w:w="1169" w:type="dxa"/>
            <w:vAlign w:val="top"/>
          </w:tcPr>
          <w:p>
            <w:pPr>
              <w:ind w:left="411"/>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FT</w:t>
            </w:r>
            <w:r>
              <w:rPr>
                <w:rFonts w:ascii="Times New Roman" w:hAnsi="Times New Roman" w:eastAsia="Times New Roman" w:cs="Times New Roman"/>
                <w:sz w:val="20"/>
                <w:szCs w:val="20"/>
                <w:spacing w:val="10"/>
              </w:rPr>
              <w:t>1</w:t>
            </w:r>
          </w:p>
        </w:tc>
      </w:tr>
      <w:tr>
        <w:trPr>
          <w:trHeight w:val="347" w:hRule="atLeast"/>
        </w:trPr>
        <w:tc>
          <w:tcPr>
            <w:tcW w:w="1073" w:type="dxa"/>
            <w:vAlign w:val="top"/>
            <w:vMerge w:val="continue"/>
            <w:tcBorders>
              <w:top w:val="nil"/>
            </w:tcBorders>
          </w:tcPr>
          <w:p>
            <w:pPr>
              <w:rPr>
                <w:rFonts w:ascii="Arial"/>
                <w:sz w:val="21"/>
              </w:rPr>
            </w:pPr>
            <w:r/>
          </w:p>
        </w:tc>
        <w:tc>
          <w:tcPr>
            <w:tcW w:w="2369" w:type="dxa"/>
            <w:vAlign w:val="top"/>
          </w:tcPr>
          <w:p>
            <w:pPr>
              <w:pStyle w:val="TableText"/>
              <w:ind w:left="881"/>
              <w:spacing w:before="69" w:line="230" w:lineRule="auto"/>
              <w:rPr/>
            </w:pPr>
            <w:r>
              <w:rPr>
                <w:spacing w:val="4"/>
              </w:rPr>
              <w:t>六价铬</w:t>
            </w:r>
          </w:p>
        </w:tc>
        <w:tc>
          <w:tcPr>
            <w:tcW w:w="995" w:type="dxa"/>
            <w:vAlign w:val="top"/>
          </w:tcPr>
          <w:p>
            <w:pPr>
              <w:ind w:left="226"/>
              <w:spacing w:before="10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72"/>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567" w:type="dxa"/>
            <w:vAlign w:val="top"/>
          </w:tcPr>
          <w:p>
            <w:pPr>
              <w:ind w:left="629"/>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bl>
    <w:p>
      <w:pPr>
        <w:rPr>
          <w:rFonts w:ascii="Arial"/>
          <w:sz w:val="21"/>
        </w:rPr>
      </w:pPr>
      <w:r/>
    </w:p>
    <w:p>
      <w:pPr>
        <w:sectPr>
          <w:headerReference w:type="default" r:id="rId139"/>
          <w:footerReference w:type="default" r:id="rId140"/>
          <w:pgSz w:w="11906" w:h="16839"/>
          <w:pgMar w:top="1139" w:right="968" w:bottom="1252" w:left="967" w:header="831" w:footer="1090" w:gutter="0"/>
        </w:sectPr>
        <w:rPr>
          <w:rFonts w:ascii="Arial" w:hAnsi="Arial" w:eastAsia="Arial" w:cs="Arial"/>
          <w:sz w:val="21"/>
          <w:szCs w:val="21"/>
        </w:rPr>
      </w:pPr>
    </w:p>
    <w:p>
      <w:pPr>
        <w:spacing w:before="58"/>
        <w:rPr/>
      </w:pPr>
      <w:r/>
    </w:p>
    <w:tbl>
      <w:tblPr>
        <w:tblStyle w:val="TableNormal"/>
        <w:tblW w:w="996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73"/>
        <w:gridCol w:w="2369"/>
        <w:gridCol w:w="995"/>
        <w:gridCol w:w="991"/>
        <w:gridCol w:w="1567"/>
        <w:gridCol w:w="917"/>
        <w:gridCol w:w="884"/>
        <w:gridCol w:w="1169"/>
      </w:tblGrid>
      <w:tr>
        <w:trPr>
          <w:trHeight w:val="633" w:hRule="atLeast"/>
        </w:trPr>
        <w:tc>
          <w:tcPr>
            <w:tcW w:w="1073" w:type="dxa"/>
            <w:vAlign w:val="top"/>
          </w:tcPr>
          <w:p>
            <w:pPr>
              <w:pStyle w:val="TableText"/>
              <w:ind w:left="340"/>
              <w:spacing w:before="211" w:line="232" w:lineRule="auto"/>
              <w:rPr/>
            </w:pPr>
            <w:r>
              <w:rPr>
                <w:b/>
                <w:bCs/>
                <w:spacing w:val="-1"/>
              </w:rPr>
              <w:t>类别</w:t>
            </w:r>
          </w:p>
        </w:tc>
        <w:tc>
          <w:tcPr>
            <w:tcW w:w="2369" w:type="dxa"/>
            <w:vAlign w:val="top"/>
          </w:tcPr>
          <w:p>
            <w:pPr>
              <w:pStyle w:val="TableText"/>
              <w:ind w:left="774"/>
              <w:spacing w:before="212" w:line="230" w:lineRule="auto"/>
              <w:rPr/>
            </w:pPr>
            <w:r>
              <w:rPr>
                <w:b/>
                <w:bCs/>
                <w:spacing w:val="4"/>
              </w:rPr>
              <w:t>分析因子</w:t>
            </w:r>
          </w:p>
        </w:tc>
        <w:tc>
          <w:tcPr>
            <w:tcW w:w="995" w:type="dxa"/>
            <w:vAlign w:val="top"/>
          </w:tcPr>
          <w:p>
            <w:pPr>
              <w:pStyle w:val="TableText"/>
              <w:ind w:left="300"/>
              <w:spacing w:before="212" w:line="229" w:lineRule="auto"/>
              <w:rPr/>
            </w:pPr>
            <w:r>
              <w:rPr>
                <w:b/>
                <w:bCs/>
                <w:spacing w:val="-1"/>
              </w:rPr>
              <w:t>单位</w:t>
            </w:r>
          </w:p>
        </w:tc>
        <w:tc>
          <w:tcPr>
            <w:tcW w:w="991" w:type="dxa"/>
            <w:vAlign w:val="top"/>
          </w:tcPr>
          <w:p>
            <w:pPr>
              <w:pStyle w:val="TableText"/>
              <w:ind w:left="192"/>
              <w:spacing w:before="56" w:line="231" w:lineRule="auto"/>
              <w:rPr/>
            </w:pPr>
            <w:r>
              <w:rPr>
                <w:b/>
                <w:bCs/>
                <w:spacing w:val="3"/>
              </w:rPr>
              <w:t>评价标</w:t>
            </w:r>
          </w:p>
          <w:p>
            <w:pPr>
              <w:pStyle w:val="TableText"/>
              <w:ind w:left="194"/>
              <w:spacing w:before="61" w:line="231" w:lineRule="auto"/>
              <w:rPr/>
            </w:pPr>
            <w:r>
              <w:rPr>
                <w:b/>
                <w:bCs/>
                <w:spacing w:val="2"/>
              </w:rPr>
              <w:t>准限值</w:t>
            </w:r>
          </w:p>
        </w:tc>
        <w:tc>
          <w:tcPr>
            <w:tcW w:w="1567" w:type="dxa"/>
            <w:vAlign w:val="top"/>
          </w:tcPr>
          <w:p>
            <w:pPr>
              <w:pStyle w:val="TableText"/>
              <w:ind w:left="378"/>
              <w:spacing w:before="212" w:line="231" w:lineRule="auto"/>
              <w:rPr/>
            </w:pPr>
            <w:r>
              <w:rPr>
                <w:b/>
                <w:bCs/>
                <w:spacing w:val="4"/>
              </w:rPr>
              <w:t>结果范围</w:t>
            </w:r>
          </w:p>
        </w:tc>
        <w:tc>
          <w:tcPr>
            <w:tcW w:w="917" w:type="dxa"/>
            <w:vAlign w:val="top"/>
          </w:tcPr>
          <w:p>
            <w:pPr>
              <w:pStyle w:val="TableText"/>
              <w:ind w:left="157"/>
              <w:spacing w:before="56" w:line="231" w:lineRule="auto"/>
              <w:rPr/>
            </w:pPr>
            <w:r>
              <w:rPr>
                <w:b/>
                <w:bCs/>
                <w:spacing w:val="3"/>
              </w:rPr>
              <w:t>超标率</w:t>
            </w:r>
          </w:p>
          <w:p>
            <w:pPr>
              <w:pStyle w:val="TableText"/>
              <w:ind w:left="160"/>
              <w:spacing w:before="61" w:line="235" w:lineRule="auto"/>
              <w:rPr/>
            </w:pPr>
            <w:r>
              <w:rPr>
                <w:b/>
                <w:bCs/>
                <w:spacing w:val="-2"/>
              </w:rPr>
              <w:t>（</w:t>
            </w:r>
            <w:r>
              <w:rPr>
                <w:rFonts w:ascii="Times New Roman" w:hAnsi="Times New Roman" w:eastAsia="Times New Roman" w:cs="Times New Roman"/>
                <w:b/>
                <w:bCs/>
                <w:spacing w:val="-2"/>
              </w:rPr>
              <w:t>%</w:t>
            </w:r>
            <w:r>
              <w:rPr>
                <w:b/>
                <w:bCs/>
                <w:spacing w:val="-2"/>
              </w:rPr>
              <w:t>）</w:t>
            </w:r>
          </w:p>
        </w:tc>
        <w:tc>
          <w:tcPr>
            <w:tcW w:w="884" w:type="dxa"/>
            <w:vAlign w:val="top"/>
          </w:tcPr>
          <w:p>
            <w:pPr>
              <w:pStyle w:val="TableText"/>
              <w:ind w:left="145"/>
              <w:spacing w:before="212" w:line="231" w:lineRule="auto"/>
              <w:rPr/>
            </w:pPr>
            <w:r>
              <w:rPr>
                <w:b/>
                <w:bCs/>
                <w:spacing w:val="1"/>
              </w:rPr>
              <w:t>最大值</w:t>
            </w:r>
          </w:p>
        </w:tc>
        <w:tc>
          <w:tcPr>
            <w:tcW w:w="1169" w:type="dxa"/>
            <w:vAlign w:val="top"/>
          </w:tcPr>
          <w:p>
            <w:pPr>
              <w:pStyle w:val="TableText"/>
              <w:ind w:left="281" w:right="160" w:hanging="101"/>
              <w:spacing w:before="57" w:line="261" w:lineRule="auto"/>
              <w:rPr/>
            </w:pPr>
            <w:r>
              <w:rPr>
                <w:b/>
                <w:bCs/>
                <w:spacing w:val="3"/>
              </w:rPr>
              <w:t>最大值所</w:t>
            </w:r>
            <w:r>
              <w:rPr>
                <w:spacing w:val="1"/>
              </w:rPr>
              <w:t xml:space="preserve"> </w:t>
            </w:r>
            <w:r>
              <w:rPr>
                <w:b/>
                <w:bCs/>
                <w:spacing w:val="3"/>
              </w:rPr>
              <w:t>在点位</w:t>
            </w:r>
          </w:p>
        </w:tc>
      </w:tr>
      <w:tr>
        <w:trPr>
          <w:trHeight w:val="344" w:hRule="atLeast"/>
        </w:trPr>
        <w:tc>
          <w:tcPr>
            <w:tcW w:w="1073" w:type="dxa"/>
            <w:vAlign w:val="top"/>
            <w:vMerge w:val="restart"/>
            <w:tcBorders>
              <w:bottom w:val="nil"/>
            </w:tcBorders>
          </w:tcPr>
          <w:p>
            <w:pPr>
              <w:rPr>
                <w:rFonts w:ascii="Arial"/>
                <w:sz w:val="21"/>
              </w:rPr>
            </w:pPr>
            <w:r/>
          </w:p>
        </w:tc>
        <w:tc>
          <w:tcPr>
            <w:tcW w:w="2369" w:type="dxa"/>
            <w:vAlign w:val="top"/>
          </w:tcPr>
          <w:p>
            <w:pPr>
              <w:pStyle w:val="TableText"/>
              <w:ind w:left="1090"/>
              <w:spacing w:before="65" w:line="232" w:lineRule="auto"/>
              <w:rPr/>
            </w:pPr>
            <w:r>
              <w:rPr/>
              <w:t>铜</w:t>
            </w:r>
          </w:p>
        </w:tc>
        <w:tc>
          <w:tcPr>
            <w:tcW w:w="995" w:type="dxa"/>
            <w:vAlign w:val="top"/>
          </w:tcPr>
          <w:p>
            <w:pPr>
              <w:ind w:left="226"/>
              <w:spacing w:before="98"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255"/>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18000</w:t>
            </w:r>
          </w:p>
        </w:tc>
        <w:tc>
          <w:tcPr>
            <w:tcW w:w="1567" w:type="dxa"/>
            <w:vAlign w:val="top"/>
          </w:tcPr>
          <w:p>
            <w:pPr>
              <w:ind w:left="472"/>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33~</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1"/>
              </w:rPr>
              <w:t>164</w:t>
            </w:r>
          </w:p>
        </w:tc>
        <w:tc>
          <w:tcPr>
            <w:tcW w:w="917" w:type="dxa"/>
            <w:vAlign w:val="top"/>
          </w:tcPr>
          <w:p>
            <w:pPr>
              <w:ind w:left="413"/>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308"/>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164</w:t>
            </w:r>
          </w:p>
        </w:tc>
        <w:tc>
          <w:tcPr>
            <w:tcW w:w="1169" w:type="dxa"/>
            <w:vAlign w:val="top"/>
          </w:tcPr>
          <w:p>
            <w:pPr>
              <w:ind w:left="411"/>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FT</w:t>
            </w:r>
            <w:r>
              <w:rPr>
                <w:rFonts w:ascii="Times New Roman" w:hAnsi="Times New Roman" w:eastAsia="Times New Roman" w:cs="Times New Roman"/>
                <w:sz w:val="20"/>
                <w:szCs w:val="20"/>
                <w:spacing w:val="10"/>
              </w:rPr>
              <w:t>1</w:t>
            </w:r>
          </w:p>
        </w:tc>
      </w:tr>
      <w:tr>
        <w:trPr>
          <w:trHeight w:val="344"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1087"/>
              <w:spacing w:before="67" w:line="231" w:lineRule="auto"/>
              <w:rPr/>
            </w:pPr>
            <w:r>
              <w:rPr/>
              <w:t>铅</w:t>
            </w:r>
          </w:p>
        </w:tc>
        <w:tc>
          <w:tcPr>
            <w:tcW w:w="995" w:type="dxa"/>
            <w:vAlign w:val="top"/>
          </w:tcPr>
          <w:p>
            <w:pPr>
              <w:ind w:left="226"/>
              <w:spacing w:before="99"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49"/>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567" w:type="dxa"/>
            <w:vAlign w:val="top"/>
          </w:tcPr>
          <w:p>
            <w:pPr>
              <w:ind w:left="520"/>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28~54</w:t>
            </w:r>
          </w:p>
        </w:tc>
        <w:tc>
          <w:tcPr>
            <w:tcW w:w="917" w:type="dxa"/>
            <w:vAlign w:val="top"/>
          </w:tcPr>
          <w:p>
            <w:pPr>
              <w:ind w:left="413"/>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346"/>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169" w:type="dxa"/>
            <w:vAlign w:val="top"/>
          </w:tcPr>
          <w:p>
            <w:pPr>
              <w:ind w:left="403"/>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CT</w:t>
            </w:r>
            <w:r>
              <w:rPr>
                <w:rFonts w:ascii="Times New Roman" w:hAnsi="Times New Roman" w:eastAsia="Times New Roman" w:cs="Times New Roman"/>
                <w:sz w:val="20"/>
                <w:szCs w:val="20"/>
                <w:spacing w:val="7"/>
              </w:rPr>
              <w:t>1</w:t>
            </w:r>
          </w:p>
        </w:tc>
      </w:tr>
      <w:tr>
        <w:trPr>
          <w:trHeight w:val="344"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1089"/>
              <w:spacing w:before="69" w:line="232" w:lineRule="auto"/>
              <w:rPr/>
            </w:pPr>
            <w:r>
              <w:rPr/>
              <w:t>汞</w:t>
            </w:r>
          </w:p>
        </w:tc>
        <w:tc>
          <w:tcPr>
            <w:tcW w:w="995" w:type="dxa"/>
            <w:vAlign w:val="top"/>
          </w:tcPr>
          <w:p>
            <w:pPr>
              <w:ind w:left="226"/>
              <w:spacing w:before="10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97"/>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567" w:type="dxa"/>
            <w:vAlign w:val="top"/>
          </w:tcPr>
          <w:p>
            <w:pPr>
              <w:ind w:left="312"/>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0.05~0.129</w:t>
            </w:r>
          </w:p>
        </w:tc>
        <w:tc>
          <w:tcPr>
            <w:tcW w:w="917" w:type="dxa"/>
            <w:vAlign w:val="top"/>
          </w:tcPr>
          <w:p>
            <w:pPr>
              <w:ind w:left="41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12"/>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0.129</w:t>
            </w:r>
          </w:p>
        </w:tc>
        <w:tc>
          <w:tcPr>
            <w:tcW w:w="1169" w:type="dxa"/>
            <w:vAlign w:val="top"/>
          </w:tcPr>
          <w:p>
            <w:pPr>
              <w:ind w:left="40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CT</w:t>
            </w:r>
            <w:r>
              <w:rPr>
                <w:rFonts w:ascii="Times New Roman" w:hAnsi="Times New Roman" w:eastAsia="Times New Roman" w:cs="Times New Roman"/>
                <w:sz w:val="20"/>
                <w:szCs w:val="20"/>
                <w:spacing w:val="7"/>
              </w:rPr>
              <w:t>1</w:t>
            </w:r>
          </w:p>
        </w:tc>
      </w:tr>
      <w:tr>
        <w:trPr>
          <w:trHeight w:val="344"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1090"/>
              <w:spacing w:before="68" w:line="231" w:lineRule="auto"/>
              <w:rPr/>
            </w:pPr>
            <w:r>
              <w:rPr/>
              <w:t>镍</w:t>
            </w:r>
          </w:p>
        </w:tc>
        <w:tc>
          <w:tcPr>
            <w:tcW w:w="995" w:type="dxa"/>
            <w:vAlign w:val="top"/>
          </w:tcPr>
          <w:p>
            <w:pPr>
              <w:ind w:left="226"/>
              <w:spacing w:before="10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44"/>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900</w:t>
            </w:r>
          </w:p>
        </w:tc>
        <w:tc>
          <w:tcPr>
            <w:tcW w:w="1567" w:type="dxa"/>
            <w:vAlign w:val="top"/>
          </w:tcPr>
          <w:p>
            <w:pPr>
              <w:ind w:left="472"/>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32~</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1"/>
              </w:rPr>
              <w:t>189</w:t>
            </w:r>
          </w:p>
        </w:tc>
        <w:tc>
          <w:tcPr>
            <w:tcW w:w="917" w:type="dxa"/>
            <w:vAlign w:val="top"/>
          </w:tcPr>
          <w:p>
            <w:pPr>
              <w:ind w:left="413"/>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308"/>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189</w:t>
            </w:r>
          </w:p>
        </w:tc>
        <w:tc>
          <w:tcPr>
            <w:tcW w:w="1169" w:type="dxa"/>
            <w:vAlign w:val="top"/>
          </w:tcPr>
          <w:p>
            <w:pPr>
              <w:ind w:left="392"/>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DT</w:t>
            </w:r>
            <w:r>
              <w:rPr>
                <w:rFonts w:ascii="Times New Roman" w:hAnsi="Times New Roman" w:eastAsia="Times New Roman" w:cs="Times New Roman"/>
                <w:sz w:val="20"/>
                <w:szCs w:val="20"/>
                <w:spacing w:val="12"/>
              </w:rPr>
              <w:t>2</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1088"/>
              <w:spacing w:before="69" w:line="231" w:lineRule="auto"/>
              <w:rPr/>
            </w:pPr>
            <w:r>
              <w:rPr/>
              <w:t>锌</w:t>
            </w:r>
          </w:p>
        </w:tc>
        <w:tc>
          <w:tcPr>
            <w:tcW w:w="995" w:type="dxa"/>
            <w:vAlign w:val="top"/>
          </w:tcPr>
          <w:p>
            <w:pPr>
              <w:ind w:left="226"/>
              <w:spacing w:before="10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255"/>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c>
          <w:tcPr>
            <w:tcW w:w="1567" w:type="dxa"/>
            <w:vAlign w:val="top"/>
          </w:tcPr>
          <w:p>
            <w:pPr>
              <w:ind w:left="472"/>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94~278</w:t>
            </w:r>
          </w:p>
        </w:tc>
        <w:tc>
          <w:tcPr>
            <w:tcW w:w="917" w:type="dxa"/>
            <w:vAlign w:val="top"/>
          </w:tcPr>
          <w:p>
            <w:pPr>
              <w:ind w:left="41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8"/>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278</w:t>
            </w:r>
          </w:p>
        </w:tc>
        <w:tc>
          <w:tcPr>
            <w:tcW w:w="1169" w:type="dxa"/>
            <w:vAlign w:val="top"/>
          </w:tcPr>
          <w:p>
            <w:pPr>
              <w:ind w:left="411"/>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FT</w:t>
            </w:r>
            <w:r>
              <w:rPr>
                <w:rFonts w:ascii="Times New Roman" w:hAnsi="Times New Roman" w:eastAsia="Times New Roman" w:cs="Times New Roman"/>
                <w:sz w:val="20"/>
                <w:szCs w:val="20"/>
                <w:spacing w:val="10"/>
              </w:rPr>
              <w:t>1</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1089"/>
              <w:spacing w:before="70" w:line="230" w:lineRule="auto"/>
              <w:rPr/>
            </w:pPr>
            <w:r>
              <w:rPr/>
              <w:t>铬</w:t>
            </w:r>
          </w:p>
        </w:tc>
        <w:tc>
          <w:tcPr>
            <w:tcW w:w="995" w:type="dxa"/>
            <w:vAlign w:val="top"/>
          </w:tcPr>
          <w:p>
            <w:pPr>
              <w:ind w:left="226"/>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255"/>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c>
          <w:tcPr>
            <w:tcW w:w="1567" w:type="dxa"/>
            <w:vAlign w:val="top"/>
          </w:tcPr>
          <w:p>
            <w:pPr>
              <w:ind w:left="472"/>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1"/>
              </w:rPr>
              <w:t>124</w:t>
            </w:r>
          </w:p>
        </w:tc>
        <w:tc>
          <w:tcPr>
            <w:tcW w:w="917" w:type="dxa"/>
            <w:vAlign w:val="top"/>
          </w:tcPr>
          <w:p>
            <w:pPr>
              <w:ind w:left="41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308"/>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124</w:t>
            </w:r>
          </w:p>
        </w:tc>
        <w:tc>
          <w:tcPr>
            <w:tcW w:w="1169" w:type="dxa"/>
            <w:vAlign w:val="top"/>
          </w:tcPr>
          <w:p>
            <w:pPr>
              <w:ind w:left="411"/>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FT</w:t>
            </w:r>
            <w:r>
              <w:rPr>
                <w:rFonts w:ascii="Times New Roman" w:hAnsi="Times New Roman" w:eastAsia="Times New Roman" w:cs="Times New Roman"/>
                <w:sz w:val="20"/>
                <w:szCs w:val="20"/>
                <w:spacing w:val="10"/>
              </w:rPr>
              <w:t>1</w:t>
            </w:r>
          </w:p>
        </w:tc>
      </w:tr>
      <w:tr>
        <w:trPr>
          <w:trHeight w:val="345" w:hRule="atLeast"/>
        </w:trPr>
        <w:tc>
          <w:tcPr>
            <w:tcW w:w="1073" w:type="dxa"/>
            <w:vAlign w:val="top"/>
            <w:vMerge w:val="continue"/>
            <w:tcBorders>
              <w:top w:val="nil"/>
            </w:tcBorders>
          </w:tcPr>
          <w:p>
            <w:pPr>
              <w:rPr>
                <w:rFonts w:ascii="Arial"/>
                <w:sz w:val="21"/>
              </w:rPr>
            </w:pPr>
            <w:r/>
          </w:p>
        </w:tc>
        <w:tc>
          <w:tcPr>
            <w:tcW w:w="2369" w:type="dxa"/>
            <w:vAlign w:val="top"/>
          </w:tcPr>
          <w:p>
            <w:pPr>
              <w:pStyle w:val="TableText"/>
              <w:ind w:left="885"/>
              <w:spacing w:before="70" w:line="229" w:lineRule="auto"/>
              <w:rPr/>
            </w:pPr>
            <w:r>
              <w:rPr>
                <w:spacing w:val="3"/>
              </w:rPr>
              <w:t>氟化物</w:t>
            </w:r>
          </w:p>
        </w:tc>
        <w:tc>
          <w:tcPr>
            <w:tcW w:w="995" w:type="dxa"/>
            <w:vAlign w:val="top"/>
          </w:tcPr>
          <w:p>
            <w:pPr>
              <w:ind w:left="226"/>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255"/>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c>
          <w:tcPr>
            <w:tcW w:w="1567" w:type="dxa"/>
            <w:vAlign w:val="top"/>
          </w:tcPr>
          <w:p>
            <w:pPr>
              <w:ind w:left="415"/>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284~396</w:t>
            </w:r>
          </w:p>
        </w:tc>
        <w:tc>
          <w:tcPr>
            <w:tcW w:w="917" w:type="dxa"/>
            <w:vAlign w:val="top"/>
          </w:tcPr>
          <w:p>
            <w:pPr>
              <w:ind w:left="413"/>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92"/>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396</w:t>
            </w:r>
          </w:p>
        </w:tc>
        <w:tc>
          <w:tcPr>
            <w:tcW w:w="1169" w:type="dxa"/>
            <w:vAlign w:val="top"/>
          </w:tcPr>
          <w:p>
            <w:pPr>
              <w:ind w:left="395"/>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GT</w:t>
            </w:r>
            <w:r>
              <w:rPr>
                <w:rFonts w:ascii="Times New Roman" w:hAnsi="Times New Roman" w:eastAsia="Times New Roman" w:cs="Times New Roman"/>
                <w:sz w:val="20"/>
                <w:szCs w:val="20"/>
                <w:spacing w:val="8"/>
              </w:rPr>
              <w:t>1</w:t>
            </w:r>
          </w:p>
        </w:tc>
      </w:tr>
      <w:tr>
        <w:trPr>
          <w:trHeight w:val="345" w:hRule="atLeast"/>
        </w:trPr>
        <w:tc>
          <w:tcPr>
            <w:tcW w:w="1073" w:type="dxa"/>
            <w:vAlign w:val="top"/>
            <w:vMerge w:val="restart"/>
            <w:tcBorders>
              <w:bottom w:val="nil"/>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272"/>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VOCs</w:t>
            </w:r>
          </w:p>
        </w:tc>
        <w:tc>
          <w:tcPr>
            <w:tcW w:w="2369" w:type="dxa"/>
            <w:vAlign w:val="top"/>
          </w:tcPr>
          <w:p>
            <w:pPr>
              <w:pStyle w:val="TableText"/>
              <w:ind w:left="798"/>
              <w:spacing w:before="70" w:line="231" w:lineRule="auto"/>
              <w:rPr/>
            </w:pPr>
            <w:r>
              <w:rPr>
                <w:spacing w:val="-1"/>
              </w:rPr>
              <w:t>四氯化碳</w:t>
            </w:r>
          </w:p>
        </w:tc>
        <w:tc>
          <w:tcPr>
            <w:tcW w:w="995" w:type="dxa"/>
            <w:vAlign w:val="top"/>
          </w:tcPr>
          <w:p>
            <w:pPr>
              <w:ind w:left="226"/>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67"/>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2.8</w:t>
            </w:r>
          </w:p>
        </w:tc>
        <w:tc>
          <w:tcPr>
            <w:tcW w:w="1567" w:type="dxa"/>
            <w:vAlign w:val="top"/>
          </w:tcPr>
          <w:p>
            <w:pPr>
              <w:ind w:left="629"/>
              <w:spacing w:before="10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989"/>
              <w:spacing w:before="71" w:line="231" w:lineRule="auto"/>
              <w:rPr/>
            </w:pPr>
            <w:r>
              <w:rPr>
                <w:spacing w:val="-1"/>
              </w:rPr>
              <w:t>氯仿</w:t>
            </w:r>
          </w:p>
        </w:tc>
        <w:tc>
          <w:tcPr>
            <w:tcW w:w="995" w:type="dxa"/>
            <w:vAlign w:val="top"/>
          </w:tcPr>
          <w:p>
            <w:pPr>
              <w:ind w:left="226"/>
              <w:spacing w:before="10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70"/>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0.9</w:t>
            </w:r>
          </w:p>
        </w:tc>
        <w:tc>
          <w:tcPr>
            <w:tcW w:w="1567" w:type="dxa"/>
            <w:vAlign w:val="top"/>
          </w:tcPr>
          <w:p>
            <w:pPr>
              <w:ind w:left="629"/>
              <w:spacing w:before="110"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10"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883"/>
              <w:spacing w:before="69" w:line="231" w:lineRule="auto"/>
              <w:rPr/>
            </w:pPr>
            <w:r>
              <w:rPr>
                <w:spacing w:val="3"/>
              </w:rPr>
              <w:t>氯甲烷</w:t>
            </w:r>
          </w:p>
        </w:tc>
        <w:tc>
          <w:tcPr>
            <w:tcW w:w="995" w:type="dxa"/>
            <w:vAlign w:val="top"/>
          </w:tcPr>
          <w:p>
            <w:pPr>
              <w:ind w:left="226"/>
              <w:spacing w:before="10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97"/>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1567" w:type="dxa"/>
            <w:vAlign w:val="top"/>
          </w:tcPr>
          <w:p>
            <w:pPr>
              <w:ind w:left="629"/>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619"/>
              <w:spacing w:before="69" w:line="221" w:lineRule="auto"/>
              <w:rPr/>
            </w:pPr>
            <w:r>
              <w:rPr>
                <w:rFonts w:ascii="Times New Roman" w:hAnsi="Times New Roman" w:eastAsia="Times New Roman" w:cs="Times New Roman"/>
              </w:rPr>
              <w:t>1,</w:t>
            </w:r>
            <w:r>
              <w:rPr>
                <w:rFonts w:ascii="Times New Roman" w:hAnsi="Times New Roman" w:eastAsia="Times New Roman" w:cs="Times New Roman"/>
                <w:spacing w:val="-24"/>
              </w:rPr>
              <w:t xml:space="preserve"> </w:t>
            </w:r>
            <w:r>
              <w:rPr>
                <w:rFonts w:ascii="Times New Roman" w:hAnsi="Times New Roman" w:eastAsia="Times New Roman" w:cs="Times New Roman"/>
              </w:rPr>
              <w:t>1-</w:t>
            </w:r>
            <w:r>
              <w:rPr/>
              <w:t>二氯乙烷</w:t>
            </w:r>
          </w:p>
        </w:tc>
        <w:tc>
          <w:tcPr>
            <w:tcW w:w="995" w:type="dxa"/>
            <w:vAlign w:val="top"/>
          </w:tcPr>
          <w:p>
            <w:pPr>
              <w:ind w:left="226"/>
              <w:spacing w:before="10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447"/>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567" w:type="dxa"/>
            <w:vAlign w:val="top"/>
          </w:tcPr>
          <w:p>
            <w:pPr>
              <w:ind w:left="629"/>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619"/>
              <w:spacing w:before="69" w:line="221" w:lineRule="auto"/>
              <w:rPr/>
            </w:pPr>
            <w:r>
              <w:rPr>
                <w:rFonts w:ascii="Times New Roman" w:hAnsi="Times New Roman" w:eastAsia="Times New Roman" w:cs="Times New Roman"/>
                <w:spacing w:val="3"/>
              </w:rPr>
              <w:t>1,2-</w:t>
            </w:r>
            <w:r>
              <w:rPr>
                <w:spacing w:val="3"/>
              </w:rPr>
              <w:t>二氯乙烷</w:t>
            </w:r>
          </w:p>
        </w:tc>
        <w:tc>
          <w:tcPr>
            <w:tcW w:w="995" w:type="dxa"/>
            <w:vAlign w:val="top"/>
          </w:tcPr>
          <w:p>
            <w:pPr>
              <w:ind w:left="226"/>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449"/>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67" w:type="dxa"/>
            <w:vAlign w:val="top"/>
          </w:tcPr>
          <w:p>
            <w:pPr>
              <w:ind w:left="629"/>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619"/>
              <w:spacing w:before="70" w:line="221" w:lineRule="auto"/>
              <w:rPr/>
            </w:pPr>
            <w:r>
              <w:rPr>
                <w:rFonts w:ascii="Times New Roman" w:hAnsi="Times New Roman" w:eastAsia="Times New Roman" w:cs="Times New Roman"/>
              </w:rPr>
              <w:t>1,</w:t>
            </w:r>
            <w:r>
              <w:rPr>
                <w:rFonts w:ascii="Times New Roman" w:hAnsi="Times New Roman" w:eastAsia="Times New Roman" w:cs="Times New Roman"/>
                <w:spacing w:val="-24"/>
              </w:rPr>
              <w:t xml:space="preserve"> </w:t>
            </w:r>
            <w:r>
              <w:rPr>
                <w:rFonts w:ascii="Times New Roman" w:hAnsi="Times New Roman" w:eastAsia="Times New Roman" w:cs="Times New Roman"/>
              </w:rPr>
              <w:t>1-</w:t>
            </w:r>
            <w:r>
              <w:rPr/>
              <w:t>二氯乙烯</w:t>
            </w:r>
          </w:p>
        </w:tc>
        <w:tc>
          <w:tcPr>
            <w:tcW w:w="995" w:type="dxa"/>
            <w:vAlign w:val="top"/>
          </w:tcPr>
          <w:p>
            <w:pPr>
              <w:ind w:left="226"/>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98"/>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66</w:t>
            </w:r>
          </w:p>
        </w:tc>
        <w:tc>
          <w:tcPr>
            <w:tcW w:w="1567" w:type="dxa"/>
            <w:vAlign w:val="top"/>
          </w:tcPr>
          <w:p>
            <w:pPr>
              <w:ind w:left="629"/>
              <w:spacing w:before="10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470"/>
              <w:spacing w:before="70" w:line="221" w:lineRule="auto"/>
              <w:rPr/>
            </w:pPr>
            <w:r>
              <w:rPr>
                <w:spacing w:val="5"/>
              </w:rPr>
              <w:t>顺</w:t>
            </w:r>
            <w:r>
              <w:rPr>
                <w:rFonts w:ascii="Times New Roman" w:hAnsi="Times New Roman" w:eastAsia="Times New Roman" w:cs="Times New Roman"/>
                <w:spacing w:val="5"/>
              </w:rPr>
              <w:t>-1,2-</w:t>
            </w:r>
            <w:r>
              <w:rPr>
                <w:spacing w:val="5"/>
              </w:rPr>
              <w:t>二氯乙烯</w:t>
            </w:r>
          </w:p>
        </w:tc>
        <w:tc>
          <w:tcPr>
            <w:tcW w:w="995" w:type="dxa"/>
            <w:vAlign w:val="top"/>
          </w:tcPr>
          <w:p>
            <w:pPr>
              <w:ind w:left="226"/>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46"/>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596</w:t>
            </w:r>
          </w:p>
        </w:tc>
        <w:tc>
          <w:tcPr>
            <w:tcW w:w="1567" w:type="dxa"/>
            <w:vAlign w:val="top"/>
          </w:tcPr>
          <w:p>
            <w:pPr>
              <w:ind w:left="629"/>
              <w:spacing w:before="10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470"/>
              <w:spacing w:before="70" w:line="221" w:lineRule="auto"/>
              <w:rPr/>
            </w:pPr>
            <w:r>
              <w:rPr>
                <w:spacing w:val="5"/>
              </w:rPr>
              <w:t>反</w:t>
            </w:r>
            <w:r>
              <w:rPr>
                <w:rFonts w:ascii="Times New Roman" w:hAnsi="Times New Roman" w:eastAsia="Times New Roman" w:cs="Times New Roman"/>
                <w:spacing w:val="5"/>
              </w:rPr>
              <w:t>-1,2-</w:t>
            </w:r>
            <w:r>
              <w:rPr>
                <w:spacing w:val="5"/>
              </w:rPr>
              <w:t>二氯乙烯</w:t>
            </w:r>
          </w:p>
        </w:tc>
        <w:tc>
          <w:tcPr>
            <w:tcW w:w="995" w:type="dxa"/>
            <w:vAlign w:val="top"/>
          </w:tcPr>
          <w:p>
            <w:pPr>
              <w:ind w:left="226"/>
              <w:spacing w:before="10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99"/>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567" w:type="dxa"/>
            <w:vAlign w:val="top"/>
          </w:tcPr>
          <w:p>
            <w:pPr>
              <w:ind w:left="629"/>
              <w:spacing w:before="110"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10"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780"/>
              <w:spacing w:before="69" w:line="231" w:lineRule="auto"/>
              <w:rPr/>
            </w:pPr>
            <w:r>
              <w:rPr>
                <w:spacing w:val="4"/>
              </w:rPr>
              <w:t>二氯甲烷</w:t>
            </w:r>
          </w:p>
        </w:tc>
        <w:tc>
          <w:tcPr>
            <w:tcW w:w="995" w:type="dxa"/>
            <w:vAlign w:val="top"/>
          </w:tcPr>
          <w:p>
            <w:pPr>
              <w:ind w:left="226"/>
              <w:spacing w:before="10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45"/>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616</w:t>
            </w:r>
          </w:p>
        </w:tc>
        <w:tc>
          <w:tcPr>
            <w:tcW w:w="1567" w:type="dxa"/>
            <w:vAlign w:val="top"/>
          </w:tcPr>
          <w:p>
            <w:pPr>
              <w:ind w:left="629"/>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619"/>
              <w:spacing w:before="69" w:line="221" w:lineRule="auto"/>
              <w:rPr/>
            </w:pPr>
            <w:r>
              <w:rPr>
                <w:rFonts w:ascii="Times New Roman" w:hAnsi="Times New Roman" w:eastAsia="Times New Roman" w:cs="Times New Roman"/>
                <w:spacing w:val="3"/>
              </w:rPr>
              <w:t>1,2-</w:t>
            </w:r>
            <w:r>
              <w:rPr>
                <w:spacing w:val="3"/>
              </w:rPr>
              <w:t>二氯丙烷</w:t>
            </w:r>
          </w:p>
        </w:tc>
        <w:tc>
          <w:tcPr>
            <w:tcW w:w="995" w:type="dxa"/>
            <w:vAlign w:val="top"/>
          </w:tcPr>
          <w:p>
            <w:pPr>
              <w:ind w:left="226"/>
              <w:spacing w:before="10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449"/>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67" w:type="dxa"/>
            <w:vAlign w:val="top"/>
          </w:tcPr>
          <w:p>
            <w:pPr>
              <w:ind w:left="629"/>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460"/>
              <w:spacing w:before="69" w:line="221" w:lineRule="auto"/>
              <w:rPr/>
            </w:pPr>
            <w:r>
              <w:rPr>
                <w:rFonts w:ascii="Times New Roman" w:hAnsi="Times New Roman" w:eastAsia="Times New Roman" w:cs="Times New Roman"/>
                <w:spacing w:val="-1"/>
              </w:rPr>
              <w:t>1,</w:t>
            </w:r>
            <w:r>
              <w:rPr>
                <w:rFonts w:ascii="Times New Roman" w:hAnsi="Times New Roman" w:eastAsia="Times New Roman" w:cs="Times New Roman"/>
                <w:spacing w:val="-20"/>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1,2-</w:t>
            </w:r>
            <w:r>
              <w:rPr>
                <w:spacing w:val="-1"/>
              </w:rPr>
              <w:t>四氯乙烷</w:t>
            </w:r>
          </w:p>
        </w:tc>
        <w:tc>
          <w:tcPr>
            <w:tcW w:w="995" w:type="dxa"/>
            <w:vAlign w:val="top"/>
          </w:tcPr>
          <w:p>
            <w:pPr>
              <w:ind w:left="226"/>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41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1567" w:type="dxa"/>
            <w:vAlign w:val="top"/>
          </w:tcPr>
          <w:p>
            <w:pPr>
              <w:ind w:left="629"/>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460"/>
              <w:spacing w:before="70" w:line="221" w:lineRule="auto"/>
              <w:rPr/>
            </w:pPr>
            <w:r>
              <w:rPr>
                <w:rFonts w:ascii="Times New Roman" w:hAnsi="Times New Roman" w:eastAsia="Times New Roman" w:cs="Times New Roman"/>
                <w:spacing w:val="1"/>
              </w:rPr>
              <w:t>1,</w:t>
            </w:r>
            <w:r>
              <w:rPr>
                <w:rFonts w:ascii="Times New Roman" w:hAnsi="Times New Roman" w:eastAsia="Times New Roman" w:cs="Times New Roman"/>
                <w:spacing w:val="-19"/>
              </w:rPr>
              <w:t xml:space="preserve"> </w:t>
            </w:r>
            <w:r>
              <w:rPr>
                <w:rFonts w:ascii="Times New Roman" w:hAnsi="Times New Roman" w:eastAsia="Times New Roman" w:cs="Times New Roman"/>
                <w:spacing w:val="1"/>
              </w:rPr>
              <w:t>1,2,2-</w:t>
            </w:r>
            <w:r>
              <w:rPr>
                <w:spacing w:val="1"/>
              </w:rPr>
              <w:t>四氯乙烷</w:t>
            </w:r>
          </w:p>
        </w:tc>
        <w:tc>
          <w:tcPr>
            <w:tcW w:w="995" w:type="dxa"/>
            <w:vAlign w:val="top"/>
          </w:tcPr>
          <w:p>
            <w:pPr>
              <w:ind w:left="226"/>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71"/>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6.8</w:t>
            </w:r>
          </w:p>
        </w:tc>
        <w:tc>
          <w:tcPr>
            <w:tcW w:w="1567" w:type="dxa"/>
            <w:vAlign w:val="top"/>
          </w:tcPr>
          <w:p>
            <w:pPr>
              <w:ind w:left="629"/>
              <w:spacing w:before="10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798"/>
              <w:spacing w:before="70" w:line="231" w:lineRule="auto"/>
              <w:rPr/>
            </w:pPr>
            <w:r>
              <w:rPr>
                <w:spacing w:val="-1"/>
              </w:rPr>
              <w:t>四氯乙烯</w:t>
            </w:r>
          </w:p>
        </w:tc>
        <w:tc>
          <w:tcPr>
            <w:tcW w:w="995" w:type="dxa"/>
            <w:vAlign w:val="top"/>
          </w:tcPr>
          <w:p>
            <w:pPr>
              <w:ind w:left="226"/>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99"/>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567" w:type="dxa"/>
            <w:vAlign w:val="top"/>
          </w:tcPr>
          <w:p>
            <w:pPr>
              <w:ind w:left="629"/>
              <w:spacing w:before="10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540"/>
              <w:spacing w:before="70" w:line="221" w:lineRule="auto"/>
              <w:rPr/>
            </w:pPr>
            <w:r>
              <w:rPr>
                <w:rFonts w:ascii="Times New Roman" w:hAnsi="Times New Roman" w:eastAsia="Times New Roman" w:cs="Times New Roman"/>
                <w:spacing w:val="-2"/>
              </w:rPr>
              <w:t>1,</w:t>
            </w:r>
            <w:r>
              <w:rPr>
                <w:rFonts w:ascii="Times New Roman" w:hAnsi="Times New Roman" w:eastAsia="Times New Roman" w:cs="Times New Roman"/>
                <w:spacing w:val="-20"/>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w:t>
            </w:r>
            <w:r>
              <w:rPr>
                <w:spacing w:val="-2"/>
              </w:rPr>
              <w:t>三氯乙烷</w:t>
            </w:r>
          </w:p>
        </w:tc>
        <w:tc>
          <w:tcPr>
            <w:tcW w:w="995" w:type="dxa"/>
            <w:vAlign w:val="top"/>
          </w:tcPr>
          <w:p>
            <w:pPr>
              <w:ind w:left="226"/>
              <w:spacing w:before="10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49"/>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840</w:t>
            </w:r>
          </w:p>
        </w:tc>
        <w:tc>
          <w:tcPr>
            <w:tcW w:w="1567" w:type="dxa"/>
            <w:vAlign w:val="top"/>
          </w:tcPr>
          <w:p>
            <w:pPr>
              <w:ind w:left="629"/>
              <w:spacing w:before="110"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10"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540"/>
              <w:spacing w:before="68" w:line="221" w:lineRule="auto"/>
              <w:rPr/>
            </w:pP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1,2-</w:t>
            </w:r>
            <w:r>
              <w:rPr>
                <w:spacing w:val="1"/>
              </w:rPr>
              <w:t>三氯乙烷</w:t>
            </w:r>
          </w:p>
        </w:tc>
        <w:tc>
          <w:tcPr>
            <w:tcW w:w="995" w:type="dxa"/>
            <w:vAlign w:val="top"/>
          </w:tcPr>
          <w:p>
            <w:pPr>
              <w:ind w:left="226"/>
              <w:spacing w:before="10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67"/>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2.8</w:t>
            </w:r>
          </w:p>
        </w:tc>
        <w:tc>
          <w:tcPr>
            <w:tcW w:w="1567" w:type="dxa"/>
            <w:vAlign w:val="top"/>
          </w:tcPr>
          <w:p>
            <w:pPr>
              <w:ind w:left="629"/>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780"/>
              <w:spacing w:before="69" w:line="231" w:lineRule="auto"/>
              <w:rPr/>
            </w:pPr>
            <w:r>
              <w:rPr>
                <w:spacing w:val="4"/>
              </w:rPr>
              <w:t>三氯乙烯</w:t>
            </w:r>
          </w:p>
        </w:tc>
        <w:tc>
          <w:tcPr>
            <w:tcW w:w="995" w:type="dxa"/>
            <w:vAlign w:val="top"/>
          </w:tcPr>
          <w:p>
            <w:pPr>
              <w:ind w:left="226"/>
              <w:spacing w:before="10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67"/>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2.8</w:t>
            </w:r>
          </w:p>
        </w:tc>
        <w:tc>
          <w:tcPr>
            <w:tcW w:w="1567" w:type="dxa"/>
            <w:vAlign w:val="top"/>
          </w:tcPr>
          <w:p>
            <w:pPr>
              <w:ind w:left="629"/>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540"/>
              <w:spacing w:before="69" w:line="221" w:lineRule="auto"/>
              <w:rPr/>
            </w:pPr>
            <w:r>
              <w:rPr>
                <w:rFonts w:ascii="Times New Roman" w:hAnsi="Times New Roman" w:eastAsia="Times New Roman" w:cs="Times New Roman"/>
                <w:spacing w:val="3"/>
              </w:rPr>
              <w:t>1,2,3-</w:t>
            </w:r>
            <w:r>
              <w:rPr>
                <w:spacing w:val="3"/>
              </w:rPr>
              <w:t>三氯丙烷</w:t>
            </w:r>
          </w:p>
        </w:tc>
        <w:tc>
          <w:tcPr>
            <w:tcW w:w="995" w:type="dxa"/>
            <w:vAlign w:val="top"/>
          </w:tcPr>
          <w:p>
            <w:pPr>
              <w:ind w:left="226"/>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70"/>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c>
          <w:tcPr>
            <w:tcW w:w="1567" w:type="dxa"/>
            <w:vAlign w:val="top"/>
          </w:tcPr>
          <w:p>
            <w:pPr>
              <w:ind w:left="629"/>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883"/>
              <w:spacing w:before="70" w:line="231" w:lineRule="auto"/>
              <w:rPr/>
            </w:pPr>
            <w:r>
              <w:rPr>
                <w:spacing w:val="3"/>
              </w:rPr>
              <w:t>氯乙烯</w:t>
            </w:r>
          </w:p>
        </w:tc>
        <w:tc>
          <w:tcPr>
            <w:tcW w:w="995" w:type="dxa"/>
            <w:vAlign w:val="top"/>
          </w:tcPr>
          <w:p>
            <w:pPr>
              <w:ind w:left="226"/>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17"/>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0.43</w:t>
            </w:r>
          </w:p>
        </w:tc>
        <w:tc>
          <w:tcPr>
            <w:tcW w:w="1567" w:type="dxa"/>
            <w:vAlign w:val="top"/>
          </w:tcPr>
          <w:p>
            <w:pPr>
              <w:ind w:left="629"/>
              <w:spacing w:before="10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1091"/>
              <w:spacing w:before="70" w:line="226" w:lineRule="auto"/>
              <w:rPr/>
            </w:pPr>
            <w:r>
              <w:rPr/>
              <w:t>苯</w:t>
            </w:r>
          </w:p>
        </w:tc>
        <w:tc>
          <w:tcPr>
            <w:tcW w:w="995" w:type="dxa"/>
            <w:vAlign w:val="top"/>
          </w:tcPr>
          <w:p>
            <w:pPr>
              <w:ind w:left="226"/>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442"/>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567" w:type="dxa"/>
            <w:vAlign w:val="top"/>
          </w:tcPr>
          <w:p>
            <w:pPr>
              <w:ind w:left="629"/>
              <w:spacing w:before="10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989"/>
              <w:spacing w:before="71" w:line="226" w:lineRule="auto"/>
              <w:rPr/>
            </w:pPr>
            <w:r>
              <w:rPr>
                <w:spacing w:val="-1"/>
              </w:rPr>
              <w:t>氯苯</w:t>
            </w:r>
          </w:p>
        </w:tc>
        <w:tc>
          <w:tcPr>
            <w:tcW w:w="995" w:type="dxa"/>
            <w:vAlign w:val="top"/>
          </w:tcPr>
          <w:p>
            <w:pPr>
              <w:ind w:left="226"/>
              <w:spacing w:before="10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40"/>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270</w:t>
            </w:r>
          </w:p>
        </w:tc>
        <w:tc>
          <w:tcPr>
            <w:tcW w:w="1567" w:type="dxa"/>
            <w:vAlign w:val="top"/>
          </w:tcPr>
          <w:p>
            <w:pPr>
              <w:ind w:left="629"/>
              <w:spacing w:before="110"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10"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724"/>
              <w:spacing w:before="68" w:line="221" w:lineRule="auto"/>
              <w:rPr/>
            </w:pPr>
            <w:r>
              <w:rPr>
                <w:rFonts w:ascii="Times New Roman" w:hAnsi="Times New Roman" w:eastAsia="Times New Roman" w:cs="Times New Roman"/>
                <w:spacing w:val="2"/>
              </w:rPr>
              <w:t>1,2-</w:t>
            </w:r>
            <w:r>
              <w:rPr>
                <w:spacing w:val="2"/>
              </w:rPr>
              <w:t>二氯苯</w:t>
            </w:r>
          </w:p>
        </w:tc>
        <w:tc>
          <w:tcPr>
            <w:tcW w:w="995" w:type="dxa"/>
            <w:vAlign w:val="top"/>
          </w:tcPr>
          <w:p>
            <w:pPr>
              <w:ind w:left="226"/>
              <w:spacing w:before="10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46"/>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560</w:t>
            </w:r>
          </w:p>
        </w:tc>
        <w:tc>
          <w:tcPr>
            <w:tcW w:w="1567" w:type="dxa"/>
            <w:vAlign w:val="top"/>
          </w:tcPr>
          <w:p>
            <w:pPr>
              <w:ind w:left="629"/>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724"/>
              <w:spacing w:before="69" w:line="221" w:lineRule="auto"/>
              <w:rPr/>
            </w:pPr>
            <w:r>
              <w:rPr>
                <w:rFonts w:ascii="Times New Roman" w:hAnsi="Times New Roman" w:eastAsia="Times New Roman" w:cs="Times New Roman"/>
                <w:spacing w:val="2"/>
              </w:rPr>
              <w:t>1,4-</w:t>
            </w:r>
            <w:r>
              <w:rPr>
                <w:spacing w:val="2"/>
              </w:rPr>
              <w:t>二氯苯</w:t>
            </w:r>
          </w:p>
        </w:tc>
        <w:tc>
          <w:tcPr>
            <w:tcW w:w="995" w:type="dxa"/>
            <w:vAlign w:val="top"/>
          </w:tcPr>
          <w:p>
            <w:pPr>
              <w:ind w:left="226"/>
              <w:spacing w:before="10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9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567" w:type="dxa"/>
            <w:vAlign w:val="top"/>
          </w:tcPr>
          <w:p>
            <w:pPr>
              <w:ind w:left="629"/>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1000"/>
              <w:spacing w:before="69" w:line="226" w:lineRule="auto"/>
              <w:rPr/>
            </w:pPr>
            <w:r>
              <w:rPr>
                <w:spacing w:val="-6"/>
              </w:rPr>
              <w:t>乙苯</w:t>
            </w:r>
          </w:p>
        </w:tc>
        <w:tc>
          <w:tcPr>
            <w:tcW w:w="995" w:type="dxa"/>
            <w:vAlign w:val="top"/>
          </w:tcPr>
          <w:p>
            <w:pPr>
              <w:ind w:left="226"/>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9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28</w:t>
            </w:r>
          </w:p>
        </w:tc>
        <w:tc>
          <w:tcPr>
            <w:tcW w:w="1567" w:type="dxa"/>
            <w:vAlign w:val="top"/>
          </w:tcPr>
          <w:p>
            <w:pPr>
              <w:ind w:left="629"/>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882"/>
              <w:spacing w:before="70" w:line="226" w:lineRule="auto"/>
              <w:rPr/>
            </w:pPr>
            <w:r>
              <w:rPr>
                <w:spacing w:val="4"/>
              </w:rPr>
              <w:t>苯乙烯</w:t>
            </w:r>
          </w:p>
        </w:tc>
        <w:tc>
          <w:tcPr>
            <w:tcW w:w="995" w:type="dxa"/>
            <w:vAlign w:val="top"/>
          </w:tcPr>
          <w:p>
            <w:pPr>
              <w:ind w:left="226"/>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08"/>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1290</w:t>
            </w:r>
          </w:p>
        </w:tc>
        <w:tc>
          <w:tcPr>
            <w:tcW w:w="1567" w:type="dxa"/>
            <w:vAlign w:val="top"/>
          </w:tcPr>
          <w:p>
            <w:pPr>
              <w:ind w:left="629"/>
              <w:spacing w:before="10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1013"/>
              <w:spacing w:before="70" w:line="226" w:lineRule="auto"/>
              <w:rPr/>
            </w:pPr>
            <w:r>
              <w:rPr>
                <w:spacing w:val="-12"/>
              </w:rPr>
              <w:t>甲苯</w:t>
            </w:r>
          </w:p>
        </w:tc>
        <w:tc>
          <w:tcPr>
            <w:tcW w:w="995" w:type="dxa"/>
            <w:vAlign w:val="top"/>
          </w:tcPr>
          <w:p>
            <w:pPr>
              <w:ind w:left="226"/>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08"/>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1200</w:t>
            </w:r>
          </w:p>
        </w:tc>
        <w:tc>
          <w:tcPr>
            <w:tcW w:w="1567" w:type="dxa"/>
            <w:vAlign w:val="top"/>
          </w:tcPr>
          <w:p>
            <w:pPr>
              <w:ind w:left="629"/>
              <w:spacing w:before="10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316"/>
              <w:spacing w:before="71" w:line="226" w:lineRule="auto"/>
              <w:rPr/>
            </w:pPr>
            <w:r>
              <w:rPr>
                <w:spacing w:val="-5"/>
              </w:rPr>
              <w:t>间二</w:t>
            </w:r>
            <w:r>
              <w:rPr>
                <w:spacing w:val="-51"/>
              </w:rPr>
              <w:t xml:space="preserve"> </w:t>
            </w:r>
            <w:r>
              <w:rPr>
                <w:spacing w:val="-5"/>
              </w:rPr>
              <w:t>甲苯</w:t>
            </w:r>
            <w:r>
              <w:rPr>
                <w:rFonts w:ascii="Times New Roman" w:hAnsi="Times New Roman" w:eastAsia="Times New Roman" w:cs="Times New Roman"/>
                <w:spacing w:val="-5"/>
              </w:rPr>
              <w:t>+</w:t>
            </w:r>
            <w:r>
              <w:rPr>
                <w:spacing w:val="-5"/>
              </w:rPr>
              <w:t>对二</w:t>
            </w:r>
            <w:r>
              <w:rPr>
                <w:spacing w:val="-56"/>
              </w:rPr>
              <w:t xml:space="preserve"> </w:t>
            </w:r>
            <w:r>
              <w:rPr>
                <w:spacing w:val="-5"/>
              </w:rPr>
              <w:t>甲苯</w:t>
            </w:r>
          </w:p>
        </w:tc>
        <w:tc>
          <w:tcPr>
            <w:tcW w:w="995" w:type="dxa"/>
            <w:vAlign w:val="top"/>
          </w:tcPr>
          <w:p>
            <w:pPr>
              <w:ind w:left="226"/>
              <w:spacing w:before="10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46"/>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570</w:t>
            </w:r>
          </w:p>
        </w:tc>
        <w:tc>
          <w:tcPr>
            <w:tcW w:w="1567" w:type="dxa"/>
            <w:vAlign w:val="top"/>
          </w:tcPr>
          <w:p>
            <w:pPr>
              <w:ind w:left="629"/>
              <w:spacing w:before="110"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10"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vMerge w:val="continue"/>
            <w:tcBorders>
              <w:top w:val="nil"/>
            </w:tcBorders>
          </w:tcPr>
          <w:p>
            <w:pPr>
              <w:rPr>
                <w:rFonts w:ascii="Arial"/>
                <w:sz w:val="21"/>
              </w:rPr>
            </w:pPr>
            <w:r/>
          </w:p>
        </w:tc>
        <w:tc>
          <w:tcPr>
            <w:tcW w:w="2369" w:type="dxa"/>
            <w:vAlign w:val="top"/>
          </w:tcPr>
          <w:p>
            <w:pPr>
              <w:pStyle w:val="TableText"/>
              <w:ind w:left="774"/>
              <w:spacing w:before="69" w:line="226" w:lineRule="auto"/>
              <w:rPr/>
            </w:pPr>
            <w:r>
              <w:rPr>
                <w:spacing w:val="-5"/>
              </w:rPr>
              <w:t>邻二</w:t>
            </w:r>
            <w:r>
              <w:rPr>
                <w:spacing w:val="-57"/>
              </w:rPr>
              <w:t xml:space="preserve"> </w:t>
            </w:r>
            <w:r>
              <w:rPr>
                <w:spacing w:val="-5"/>
              </w:rPr>
              <w:t>甲苯</w:t>
            </w:r>
          </w:p>
        </w:tc>
        <w:tc>
          <w:tcPr>
            <w:tcW w:w="995" w:type="dxa"/>
            <w:vAlign w:val="top"/>
          </w:tcPr>
          <w:p>
            <w:pPr>
              <w:ind w:left="226"/>
              <w:spacing w:before="10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45"/>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640</w:t>
            </w:r>
          </w:p>
        </w:tc>
        <w:tc>
          <w:tcPr>
            <w:tcW w:w="1567" w:type="dxa"/>
            <w:vAlign w:val="top"/>
          </w:tcPr>
          <w:p>
            <w:pPr>
              <w:ind w:left="629"/>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vMerge w:val="restart"/>
            <w:tcBorders>
              <w:bottom w:val="nil"/>
            </w:tcBorders>
          </w:tcPr>
          <w:p>
            <w:pPr>
              <w:spacing w:line="285" w:lineRule="auto"/>
              <w:rPr>
                <w:rFonts w:ascii="Arial"/>
                <w:sz w:val="21"/>
              </w:rPr>
            </w:pPr>
            <w:r/>
          </w:p>
          <w:p>
            <w:pPr>
              <w:spacing w:line="285" w:lineRule="auto"/>
              <w:rPr>
                <w:rFonts w:ascii="Arial"/>
                <w:sz w:val="21"/>
              </w:rPr>
            </w:pPr>
            <w:r/>
          </w:p>
          <w:p>
            <w:pPr>
              <w:ind w:left="226"/>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SVOCs</w:t>
            </w:r>
          </w:p>
        </w:tc>
        <w:tc>
          <w:tcPr>
            <w:tcW w:w="2369" w:type="dxa"/>
            <w:vAlign w:val="top"/>
          </w:tcPr>
          <w:p>
            <w:pPr>
              <w:pStyle w:val="TableText"/>
              <w:ind w:left="879"/>
              <w:spacing w:before="69" w:line="226" w:lineRule="auto"/>
              <w:rPr/>
            </w:pPr>
            <w:r>
              <w:rPr>
                <w:spacing w:val="5"/>
              </w:rPr>
              <w:t>硝基苯</w:t>
            </w:r>
          </w:p>
        </w:tc>
        <w:tc>
          <w:tcPr>
            <w:tcW w:w="995" w:type="dxa"/>
            <w:vAlign w:val="top"/>
          </w:tcPr>
          <w:p>
            <w:pPr>
              <w:ind w:left="226"/>
              <w:spacing w:before="10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96"/>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76</w:t>
            </w:r>
          </w:p>
        </w:tc>
        <w:tc>
          <w:tcPr>
            <w:tcW w:w="1567" w:type="dxa"/>
            <w:vAlign w:val="top"/>
          </w:tcPr>
          <w:p>
            <w:pPr>
              <w:ind w:left="629"/>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987"/>
              <w:spacing w:before="69" w:line="226" w:lineRule="auto"/>
              <w:rPr/>
            </w:pPr>
            <w:r>
              <w:rPr/>
              <w:t>苯胺</w:t>
            </w:r>
          </w:p>
        </w:tc>
        <w:tc>
          <w:tcPr>
            <w:tcW w:w="995" w:type="dxa"/>
            <w:vAlign w:val="top"/>
          </w:tcPr>
          <w:p>
            <w:pPr>
              <w:ind w:left="226"/>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40"/>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260</w:t>
            </w:r>
          </w:p>
        </w:tc>
        <w:tc>
          <w:tcPr>
            <w:tcW w:w="1567" w:type="dxa"/>
            <w:vAlign w:val="top"/>
          </w:tcPr>
          <w:p>
            <w:pPr>
              <w:ind w:left="629"/>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887"/>
              <w:spacing w:before="70" w:line="231" w:lineRule="auto"/>
              <w:rPr/>
            </w:pPr>
            <w:r>
              <w:rPr>
                <w:rFonts w:ascii="Times New Roman" w:hAnsi="Times New Roman" w:eastAsia="Times New Roman" w:cs="Times New Roman"/>
                <w:spacing w:val="4"/>
              </w:rPr>
              <w:t>2-</w:t>
            </w:r>
            <w:r>
              <w:rPr>
                <w:spacing w:val="4"/>
              </w:rPr>
              <w:t>氯酚</w:t>
            </w:r>
          </w:p>
        </w:tc>
        <w:tc>
          <w:tcPr>
            <w:tcW w:w="995" w:type="dxa"/>
            <w:vAlign w:val="top"/>
          </w:tcPr>
          <w:p>
            <w:pPr>
              <w:ind w:left="226"/>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287"/>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2256</w:t>
            </w:r>
          </w:p>
        </w:tc>
        <w:tc>
          <w:tcPr>
            <w:tcW w:w="1567" w:type="dxa"/>
            <w:vAlign w:val="top"/>
          </w:tcPr>
          <w:p>
            <w:pPr>
              <w:ind w:left="629"/>
              <w:spacing w:before="10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7" w:hRule="atLeast"/>
        </w:trPr>
        <w:tc>
          <w:tcPr>
            <w:tcW w:w="1073" w:type="dxa"/>
            <w:vAlign w:val="top"/>
            <w:vMerge w:val="continue"/>
            <w:tcBorders>
              <w:top w:val="nil"/>
            </w:tcBorders>
          </w:tcPr>
          <w:p>
            <w:pPr>
              <w:rPr>
                <w:rFonts w:ascii="Arial"/>
                <w:sz w:val="21"/>
              </w:rPr>
            </w:pPr>
            <w:r/>
          </w:p>
        </w:tc>
        <w:tc>
          <w:tcPr>
            <w:tcW w:w="2369" w:type="dxa"/>
            <w:vAlign w:val="top"/>
          </w:tcPr>
          <w:p>
            <w:pPr>
              <w:pStyle w:val="TableText"/>
              <w:ind w:left="764"/>
              <w:spacing w:before="70" w:line="221" w:lineRule="auto"/>
              <w:rPr/>
            </w:pPr>
            <w:r>
              <w:rPr>
                <w:spacing w:val="3"/>
              </w:rPr>
              <w:t>苯并</w:t>
            </w:r>
            <w:r>
              <w:rPr>
                <w:rFonts w:ascii="Times New Roman" w:hAnsi="Times New Roman" w:eastAsia="Times New Roman" w:cs="Times New Roman"/>
                <w:spacing w:val="3"/>
              </w:rPr>
              <w:t>[a]</w:t>
            </w:r>
            <w:r>
              <w:rPr>
                <w:spacing w:val="3"/>
              </w:rPr>
              <w:t>蒽</w:t>
            </w:r>
          </w:p>
        </w:tc>
        <w:tc>
          <w:tcPr>
            <w:tcW w:w="995" w:type="dxa"/>
            <w:vAlign w:val="top"/>
          </w:tcPr>
          <w:p>
            <w:pPr>
              <w:ind w:left="226"/>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413"/>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1567" w:type="dxa"/>
            <w:vAlign w:val="top"/>
          </w:tcPr>
          <w:p>
            <w:pPr>
              <w:ind w:left="629"/>
              <w:spacing w:before="10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bl>
    <w:p>
      <w:pPr>
        <w:spacing w:line="193" w:lineRule="exact"/>
        <w:rPr>
          <w:rFonts w:ascii="Arial"/>
          <w:sz w:val="16"/>
        </w:rPr>
      </w:pPr>
      <w:r/>
    </w:p>
    <w:p>
      <w:pPr>
        <w:spacing w:line="193" w:lineRule="exact"/>
        <w:sectPr>
          <w:footerReference w:type="default" r:id="rId141"/>
          <w:pgSz w:w="11906" w:h="16839"/>
          <w:pgMar w:top="1139" w:right="968" w:bottom="1252" w:left="967" w:header="831" w:footer="1090" w:gutter="0"/>
        </w:sectPr>
        <w:rPr>
          <w:rFonts w:ascii="Arial" w:hAnsi="Arial" w:eastAsia="Arial" w:cs="Arial"/>
          <w:sz w:val="16"/>
          <w:szCs w:val="16"/>
        </w:rPr>
      </w:pPr>
    </w:p>
    <w:p>
      <w:pPr>
        <w:spacing w:before="58"/>
        <w:rPr/>
      </w:pPr>
      <w:r/>
    </w:p>
    <w:tbl>
      <w:tblPr>
        <w:tblStyle w:val="TableNormal"/>
        <w:tblW w:w="996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73"/>
        <w:gridCol w:w="2369"/>
        <w:gridCol w:w="995"/>
        <w:gridCol w:w="991"/>
        <w:gridCol w:w="1567"/>
        <w:gridCol w:w="917"/>
        <w:gridCol w:w="884"/>
        <w:gridCol w:w="1169"/>
      </w:tblGrid>
      <w:tr>
        <w:trPr>
          <w:trHeight w:val="633" w:hRule="atLeast"/>
        </w:trPr>
        <w:tc>
          <w:tcPr>
            <w:tcW w:w="1073" w:type="dxa"/>
            <w:vAlign w:val="top"/>
          </w:tcPr>
          <w:p>
            <w:pPr>
              <w:pStyle w:val="TableText"/>
              <w:ind w:left="340"/>
              <w:spacing w:before="211" w:line="232" w:lineRule="auto"/>
              <w:rPr/>
            </w:pPr>
            <w:r>
              <w:rPr>
                <w:b/>
                <w:bCs/>
                <w:spacing w:val="-1"/>
              </w:rPr>
              <w:t>类别</w:t>
            </w:r>
          </w:p>
        </w:tc>
        <w:tc>
          <w:tcPr>
            <w:tcW w:w="2369" w:type="dxa"/>
            <w:vAlign w:val="top"/>
          </w:tcPr>
          <w:p>
            <w:pPr>
              <w:pStyle w:val="TableText"/>
              <w:ind w:left="774"/>
              <w:spacing w:before="212" w:line="230" w:lineRule="auto"/>
              <w:rPr/>
            </w:pPr>
            <w:r>
              <w:rPr>
                <w:b/>
                <w:bCs/>
                <w:spacing w:val="4"/>
              </w:rPr>
              <w:t>分析因子</w:t>
            </w:r>
          </w:p>
        </w:tc>
        <w:tc>
          <w:tcPr>
            <w:tcW w:w="995" w:type="dxa"/>
            <w:vAlign w:val="top"/>
          </w:tcPr>
          <w:p>
            <w:pPr>
              <w:pStyle w:val="TableText"/>
              <w:ind w:left="300"/>
              <w:spacing w:before="212" w:line="229" w:lineRule="auto"/>
              <w:rPr/>
            </w:pPr>
            <w:r>
              <w:rPr>
                <w:b/>
                <w:bCs/>
                <w:spacing w:val="-1"/>
              </w:rPr>
              <w:t>单位</w:t>
            </w:r>
          </w:p>
        </w:tc>
        <w:tc>
          <w:tcPr>
            <w:tcW w:w="991" w:type="dxa"/>
            <w:vAlign w:val="top"/>
          </w:tcPr>
          <w:p>
            <w:pPr>
              <w:pStyle w:val="TableText"/>
              <w:ind w:left="192"/>
              <w:spacing w:before="56" w:line="231" w:lineRule="auto"/>
              <w:rPr/>
            </w:pPr>
            <w:r>
              <w:rPr>
                <w:b/>
                <w:bCs/>
                <w:spacing w:val="3"/>
              </w:rPr>
              <w:t>评价标</w:t>
            </w:r>
          </w:p>
          <w:p>
            <w:pPr>
              <w:pStyle w:val="TableText"/>
              <w:ind w:left="194"/>
              <w:spacing w:before="61" w:line="231" w:lineRule="auto"/>
              <w:rPr/>
            </w:pPr>
            <w:r>
              <w:rPr>
                <w:b/>
                <w:bCs/>
                <w:spacing w:val="2"/>
              </w:rPr>
              <w:t>准限值</w:t>
            </w:r>
          </w:p>
        </w:tc>
        <w:tc>
          <w:tcPr>
            <w:tcW w:w="1567" w:type="dxa"/>
            <w:vAlign w:val="top"/>
          </w:tcPr>
          <w:p>
            <w:pPr>
              <w:pStyle w:val="TableText"/>
              <w:ind w:left="378"/>
              <w:spacing w:before="212" w:line="231" w:lineRule="auto"/>
              <w:rPr/>
            </w:pPr>
            <w:r>
              <w:rPr>
                <w:b/>
                <w:bCs/>
                <w:spacing w:val="4"/>
              </w:rPr>
              <w:t>结果范围</w:t>
            </w:r>
          </w:p>
        </w:tc>
        <w:tc>
          <w:tcPr>
            <w:tcW w:w="917" w:type="dxa"/>
            <w:vAlign w:val="top"/>
          </w:tcPr>
          <w:p>
            <w:pPr>
              <w:pStyle w:val="TableText"/>
              <w:ind w:left="157"/>
              <w:spacing w:before="56" w:line="231" w:lineRule="auto"/>
              <w:rPr/>
            </w:pPr>
            <w:r>
              <w:rPr>
                <w:b/>
                <w:bCs/>
                <w:spacing w:val="3"/>
              </w:rPr>
              <w:t>超标率</w:t>
            </w:r>
          </w:p>
          <w:p>
            <w:pPr>
              <w:pStyle w:val="TableText"/>
              <w:ind w:left="160"/>
              <w:spacing w:before="61" w:line="235" w:lineRule="auto"/>
              <w:rPr/>
            </w:pPr>
            <w:r>
              <w:rPr>
                <w:b/>
                <w:bCs/>
                <w:spacing w:val="-2"/>
              </w:rPr>
              <w:t>（</w:t>
            </w:r>
            <w:r>
              <w:rPr>
                <w:rFonts w:ascii="Times New Roman" w:hAnsi="Times New Roman" w:eastAsia="Times New Roman" w:cs="Times New Roman"/>
                <w:b/>
                <w:bCs/>
                <w:spacing w:val="-2"/>
              </w:rPr>
              <w:t>%</w:t>
            </w:r>
            <w:r>
              <w:rPr>
                <w:b/>
                <w:bCs/>
                <w:spacing w:val="-2"/>
              </w:rPr>
              <w:t>）</w:t>
            </w:r>
          </w:p>
        </w:tc>
        <w:tc>
          <w:tcPr>
            <w:tcW w:w="884" w:type="dxa"/>
            <w:vAlign w:val="top"/>
          </w:tcPr>
          <w:p>
            <w:pPr>
              <w:pStyle w:val="TableText"/>
              <w:ind w:left="145"/>
              <w:spacing w:before="212" w:line="231" w:lineRule="auto"/>
              <w:rPr/>
            </w:pPr>
            <w:r>
              <w:rPr>
                <w:b/>
                <w:bCs/>
                <w:spacing w:val="1"/>
              </w:rPr>
              <w:t>最大值</w:t>
            </w:r>
          </w:p>
        </w:tc>
        <w:tc>
          <w:tcPr>
            <w:tcW w:w="1169" w:type="dxa"/>
            <w:vAlign w:val="top"/>
          </w:tcPr>
          <w:p>
            <w:pPr>
              <w:pStyle w:val="TableText"/>
              <w:ind w:left="281" w:right="160" w:hanging="101"/>
              <w:spacing w:before="57" w:line="261" w:lineRule="auto"/>
              <w:rPr/>
            </w:pPr>
            <w:r>
              <w:rPr>
                <w:b/>
                <w:bCs/>
                <w:spacing w:val="3"/>
              </w:rPr>
              <w:t>最大值所</w:t>
            </w:r>
            <w:r>
              <w:rPr>
                <w:spacing w:val="1"/>
              </w:rPr>
              <w:t xml:space="preserve"> </w:t>
            </w:r>
            <w:r>
              <w:rPr>
                <w:b/>
                <w:bCs/>
                <w:spacing w:val="3"/>
              </w:rPr>
              <w:t>在点位</w:t>
            </w:r>
          </w:p>
        </w:tc>
      </w:tr>
      <w:tr>
        <w:trPr>
          <w:trHeight w:val="344" w:hRule="atLeast"/>
        </w:trPr>
        <w:tc>
          <w:tcPr>
            <w:tcW w:w="1073" w:type="dxa"/>
            <w:vAlign w:val="top"/>
            <w:vMerge w:val="restart"/>
            <w:tcBorders>
              <w:bottom w:val="nil"/>
            </w:tcBorders>
          </w:tcPr>
          <w:p>
            <w:pPr>
              <w:rPr>
                <w:rFonts w:ascii="Arial"/>
                <w:sz w:val="21"/>
              </w:rPr>
            </w:pPr>
            <w:r/>
          </w:p>
        </w:tc>
        <w:tc>
          <w:tcPr>
            <w:tcW w:w="2369" w:type="dxa"/>
            <w:vAlign w:val="top"/>
          </w:tcPr>
          <w:p>
            <w:pPr>
              <w:pStyle w:val="TableText"/>
              <w:ind w:left="764"/>
              <w:spacing w:before="66" w:line="221" w:lineRule="auto"/>
              <w:rPr/>
            </w:pPr>
            <w:r>
              <w:rPr>
                <w:spacing w:val="3"/>
              </w:rPr>
              <w:t>苯并</w:t>
            </w:r>
            <w:r>
              <w:rPr>
                <w:rFonts w:ascii="Times New Roman" w:hAnsi="Times New Roman" w:eastAsia="Times New Roman" w:cs="Times New Roman"/>
                <w:spacing w:val="3"/>
              </w:rPr>
              <w:t>[a]</w:t>
            </w:r>
            <w:r>
              <w:rPr>
                <w:spacing w:val="3"/>
              </w:rPr>
              <w:t>芘</w:t>
            </w:r>
          </w:p>
        </w:tc>
        <w:tc>
          <w:tcPr>
            <w:tcW w:w="995" w:type="dxa"/>
            <w:vAlign w:val="top"/>
          </w:tcPr>
          <w:p>
            <w:pPr>
              <w:ind w:left="226"/>
              <w:spacing w:before="98"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87"/>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w:t>
            </w:r>
          </w:p>
        </w:tc>
        <w:tc>
          <w:tcPr>
            <w:tcW w:w="1567" w:type="dxa"/>
            <w:vAlign w:val="top"/>
          </w:tcPr>
          <w:p>
            <w:pPr>
              <w:ind w:left="629"/>
              <w:spacing w:before="105"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5"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9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4"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654"/>
              <w:spacing w:before="67" w:line="221" w:lineRule="auto"/>
              <w:rPr/>
            </w:pPr>
            <w:r>
              <w:rPr>
                <w:spacing w:val="4"/>
              </w:rPr>
              <w:t>苯并</w:t>
            </w:r>
            <w:r>
              <w:rPr>
                <w:rFonts w:ascii="Times New Roman" w:hAnsi="Times New Roman" w:eastAsia="Times New Roman" w:cs="Times New Roman"/>
                <w:spacing w:val="4"/>
              </w:rPr>
              <w:t>[b]</w:t>
            </w:r>
            <w:r>
              <w:rPr>
                <w:spacing w:val="4"/>
              </w:rPr>
              <w:t>荧蒽</w:t>
            </w:r>
          </w:p>
        </w:tc>
        <w:tc>
          <w:tcPr>
            <w:tcW w:w="995" w:type="dxa"/>
            <w:vAlign w:val="top"/>
          </w:tcPr>
          <w:p>
            <w:pPr>
              <w:ind w:left="226"/>
              <w:spacing w:before="99"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413"/>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1567" w:type="dxa"/>
            <w:vAlign w:val="top"/>
          </w:tcPr>
          <w:p>
            <w:pPr>
              <w:ind w:left="629"/>
              <w:spacing w:before="10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9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4"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654"/>
              <w:spacing w:before="69" w:line="221" w:lineRule="auto"/>
              <w:rPr/>
            </w:pPr>
            <w:r>
              <w:rPr>
                <w:spacing w:val="4"/>
              </w:rPr>
              <w:t>苯并</w:t>
            </w:r>
            <w:r>
              <w:rPr>
                <w:rFonts w:ascii="Times New Roman" w:hAnsi="Times New Roman" w:eastAsia="Times New Roman" w:cs="Times New Roman"/>
                <w:spacing w:val="4"/>
              </w:rPr>
              <w:t>[k]</w:t>
            </w:r>
            <w:r>
              <w:rPr>
                <w:spacing w:val="4"/>
              </w:rPr>
              <w:t>荧蒽</w:t>
            </w:r>
          </w:p>
        </w:tc>
        <w:tc>
          <w:tcPr>
            <w:tcW w:w="995" w:type="dxa"/>
            <w:vAlign w:val="top"/>
          </w:tcPr>
          <w:p>
            <w:pPr>
              <w:ind w:left="226"/>
              <w:spacing w:before="10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60"/>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151</w:t>
            </w:r>
          </w:p>
        </w:tc>
        <w:tc>
          <w:tcPr>
            <w:tcW w:w="1567" w:type="dxa"/>
            <w:vAlign w:val="top"/>
          </w:tcPr>
          <w:p>
            <w:pPr>
              <w:ind w:left="629"/>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4"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1090"/>
              <w:spacing w:before="68" w:line="234" w:lineRule="auto"/>
              <w:rPr/>
            </w:pPr>
            <w:r>
              <w:rPr/>
              <w:t>䓛</w:t>
            </w:r>
          </w:p>
        </w:tc>
        <w:tc>
          <w:tcPr>
            <w:tcW w:w="995" w:type="dxa"/>
            <w:vAlign w:val="top"/>
          </w:tcPr>
          <w:p>
            <w:pPr>
              <w:ind w:left="226"/>
              <w:spacing w:before="10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08"/>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1293</w:t>
            </w:r>
          </w:p>
        </w:tc>
        <w:tc>
          <w:tcPr>
            <w:tcW w:w="1567" w:type="dxa"/>
            <w:vAlign w:val="top"/>
          </w:tcPr>
          <w:p>
            <w:pPr>
              <w:ind w:left="629"/>
              <w:spacing w:before="10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507"/>
              <w:spacing w:before="69" w:line="221" w:lineRule="auto"/>
              <w:rPr/>
            </w:pPr>
            <w:r>
              <w:rPr>
                <w:spacing w:val="1"/>
              </w:rPr>
              <w:t>二苯并</w:t>
            </w:r>
            <w:r>
              <w:rPr>
                <w:rFonts w:ascii="Times New Roman" w:hAnsi="Times New Roman" w:eastAsia="Times New Roman" w:cs="Times New Roman"/>
                <w:spacing w:val="1"/>
              </w:rPr>
              <w:t>[a</w:t>
            </w:r>
            <w:r>
              <w:rPr>
                <w:rFonts w:ascii="Times New Roman" w:hAnsi="Times New Roman" w:eastAsia="Times New Roman" w:cs="Times New Roman"/>
                <w:spacing w:val="-16"/>
              </w:rPr>
              <w:t xml:space="preserve"> </w:t>
            </w:r>
            <w:r>
              <w:rPr>
                <w:spacing w:val="1"/>
              </w:rPr>
              <w:t>，</w:t>
            </w:r>
            <w:r>
              <w:rPr>
                <w:rFonts w:ascii="Times New Roman" w:hAnsi="Times New Roman" w:eastAsia="Times New Roman" w:cs="Times New Roman"/>
                <w:spacing w:val="1"/>
              </w:rPr>
              <w:t>h]</w:t>
            </w:r>
            <w:r>
              <w:rPr>
                <w:spacing w:val="1"/>
              </w:rPr>
              <w:t>蒽</w:t>
            </w:r>
          </w:p>
        </w:tc>
        <w:tc>
          <w:tcPr>
            <w:tcW w:w="995" w:type="dxa"/>
            <w:vAlign w:val="top"/>
          </w:tcPr>
          <w:p>
            <w:pPr>
              <w:ind w:left="226"/>
              <w:spacing w:before="10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87"/>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w:t>
            </w:r>
          </w:p>
        </w:tc>
        <w:tc>
          <w:tcPr>
            <w:tcW w:w="1567" w:type="dxa"/>
            <w:vAlign w:val="top"/>
          </w:tcPr>
          <w:p>
            <w:pPr>
              <w:ind w:left="629"/>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474"/>
              <w:spacing w:before="69" w:line="221" w:lineRule="auto"/>
              <w:rPr/>
            </w:pPr>
            <w:r>
              <w:rPr>
                <w:spacing w:val="4"/>
              </w:rPr>
              <w:t>茚并</w:t>
            </w:r>
            <w:r>
              <w:rPr>
                <w:rFonts w:ascii="Times New Roman" w:hAnsi="Times New Roman" w:eastAsia="Times New Roman" w:cs="Times New Roman"/>
                <w:spacing w:val="4"/>
              </w:rPr>
              <w:t>[1,2,3-</w:t>
            </w:r>
            <w:r>
              <w:rPr>
                <w:rFonts w:ascii="Times New Roman" w:hAnsi="Times New Roman" w:eastAsia="Times New Roman" w:cs="Times New Roman"/>
              </w:rPr>
              <w:t>cd</w:t>
            </w:r>
            <w:r>
              <w:rPr>
                <w:rFonts w:ascii="Times New Roman" w:hAnsi="Times New Roman" w:eastAsia="Times New Roman" w:cs="Times New Roman"/>
                <w:spacing w:val="4"/>
              </w:rPr>
              <w:t>]</w:t>
            </w:r>
            <w:r>
              <w:rPr>
                <w:spacing w:val="4"/>
              </w:rPr>
              <w:t>芘</w:t>
            </w:r>
          </w:p>
        </w:tc>
        <w:tc>
          <w:tcPr>
            <w:tcW w:w="995" w:type="dxa"/>
            <w:vAlign w:val="top"/>
          </w:tcPr>
          <w:p>
            <w:pPr>
              <w:ind w:left="226"/>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41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1567" w:type="dxa"/>
            <w:vAlign w:val="top"/>
          </w:tcPr>
          <w:p>
            <w:pPr>
              <w:ind w:left="629"/>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vMerge w:val="continue"/>
            <w:tcBorders>
              <w:top w:val="nil"/>
            </w:tcBorders>
          </w:tcPr>
          <w:p>
            <w:pPr>
              <w:rPr>
                <w:rFonts w:ascii="Arial"/>
                <w:sz w:val="21"/>
              </w:rPr>
            </w:pPr>
            <w:r/>
          </w:p>
        </w:tc>
        <w:tc>
          <w:tcPr>
            <w:tcW w:w="2369" w:type="dxa"/>
            <w:vAlign w:val="top"/>
          </w:tcPr>
          <w:p>
            <w:pPr>
              <w:pStyle w:val="TableText"/>
              <w:ind w:left="1089"/>
              <w:spacing w:before="70" w:line="233" w:lineRule="auto"/>
              <w:rPr/>
            </w:pPr>
            <w:r>
              <w:rPr/>
              <w:t>萘</w:t>
            </w:r>
          </w:p>
        </w:tc>
        <w:tc>
          <w:tcPr>
            <w:tcW w:w="995" w:type="dxa"/>
            <w:vAlign w:val="top"/>
          </w:tcPr>
          <w:p>
            <w:pPr>
              <w:ind w:left="226"/>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396"/>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c>
          <w:tcPr>
            <w:tcW w:w="1567" w:type="dxa"/>
            <w:vAlign w:val="top"/>
          </w:tcPr>
          <w:p>
            <w:pPr>
              <w:ind w:left="629"/>
              <w:spacing w:before="10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917" w:type="dxa"/>
            <w:vAlign w:val="top"/>
          </w:tcPr>
          <w:p>
            <w:pPr>
              <w:ind w:left="413"/>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286"/>
              <w:spacing w:before="10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69" w:type="dxa"/>
            <w:vAlign w:val="top"/>
          </w:tcPr>
          <w:p>
            <w:pPr>
              <w:ind w:left="552"/>
              <w:spacing w:before="10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1073" w:type="dxa"/>
            <w:vAlign w:val="top"/>
          </w:tcPr>
          <w:p>
            <w:pPr>
              <w:pStyle w:val="TableText"/>
              <w:ind w:left="126"/>
              <w:spacing w:before="70" w:line="233" w:lineRule="auto"/>
              <w:rPr/>
            </w:pPr>
            <w:r>
              <w:rPr>
                <w:spacing w:val="5"/>
              </w:rPr>
              <w:t>石油烃类</w:t>
            </w:r>
          </w:p>
        </w:tc>
        <w:tc>
          <w:tcPr>
            <w:tcW w:w="2369" w:type="dxa"/>
            <w:vAlign w:val="top"/>
          </w:tcPr>
          <w:p>
            <w:pPr>
              <w:pStyle w:val="TableText"/>
              <w:ind w:left="879"/>
              <w:spacing w:before="70" w:line="233" w:lineRule="auto"/>
              <w:rPr/>
            </w:pPr>
            <w:r>
              <w:rPr>
                <w:spacing w:val="5"/>
              </w:rPr>
              <w:t>石油烃</w:t>
            </w:r>
          </w:p>
        </w:tc>
        <w:tc>
          <w:tcPr>
            <w:tcW w:w="995" w:type="dxa"/>
            <w:vAlign w:val="top"/>
          </w:tcPr>
          <w:p>
            <w:pPr>
              <w:ind w:left="226"/>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286"/>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4500</w:t>
            </w:r>
          </w:p>
        </w:tc>
        <w:tc>
          <w:tcPr>
            <w:tcW w:w="1567" w:type="dxa"/>
            <w:vAlign w:val="top"/>
          </w:tcPr>
          <w:p>
            <w:pPr>
              <w:ind w:left="579"/>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8~</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5"/>
              </w:rPr>
              <w:t>16</w:t>
            </w:r>
          </w:p>
        </w:tc>
        <w:tc>
          <w:tcPr>
            <w:tcW w:w="917" w:type="dxa"/>
            <w:vAlign w:val="top"/>
          </w:tcPr>
          <w:p>
            <w:pPr>
              <w:ind w:left="413"/>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361"/>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16</w:t>
            </w:r>
          </w:p>
        </w:tc>
        <w:tc>
          <w:tcPr>
            <w:tcW w:w="1169" w:type="dxa"/>
            <w:vAlign w:val="top"/>
          </w:tcPr>
          <w:p>
            <w:pPr>
              <w:ind w:left="392"/>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DT</w:t>
            </w:r>
            <w:r>
              <w:rPr>
                <w:rFonts w:ascii="Times New Roman" w:hAnsi="Times New Roman" w:eastAsia="Times New Roman" w:cs="Times New Roman"/>
                <w:sz w:val="20"/>
                <w:szCs w:val="20"/>
                <w:spacing w:val="12"/>
              </w:rPr>
              <w:t>2</w:t>
            </w:r>
          </w:p>
        </w:tc>
      </w:tr>
      <w:tr>
        <w:trPr>
          <w:trHeight w:val="349" w:hRule="atLeast"/>
        </w:trPr>
        <w:tc>
          <w:tcPr>
            <w:tcW w:w="1073" w:type="dxa"/>
            <w:vAlign w:val="top"/>
          </w:tcPr>
          <w:p>
            <w:pPr>
              <w:pStyle w:val="TableText"/>
              <w:ind w:left="133"/>
              <w:spacing w:before="70" w:line="232" w:lineRule="auto"/>
              <w:rPr/>
            </w:pPr>
            <w:r>
              <w:rPr>
                <w:spacing w:val="4"/>
              </w:rPr>
              <w:t>二噁英类</w:t>
            </w:r>
          </w:p>
        </w:tc>
        <w:tc>
          <w:tcPr>
            <w:tcW w:w="2369" w:type="dxa"/>
            <w:vAlign w:val="top"/>
          </w:tcPr>
          <w:p>
            <w:pPr>
              <w:pStyle w:val="TableText"/>
              <w:ind w:left="780"/>
              <w:spacing w:before="70" w:line="232" w:lineRule="auto"/>
              <w:rPr/>
            </w:pPr>
            <w:r>
              <w:rPr>
                <w:spacing w:val="4"/>
              </w:rPr>
              <w:t>二噁英类</w:t>
            </w:r>
          </w:p>
        </w:tc>
        <w:tc>
          <w:tcPr>
            <w:tcW w:w="995" w:type="dxa"/>
            <w:vAlign w:val="top"/>
          </w:tcPr>
          <w:p>
            <w:pPr>
              <w:ind w:left="226"/>
              <w:spacing w:before="10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mg/kg</w:t>
            </w:r>
          </w:p>
        </w:tc>
        <w:tc>
          <w:tcPr>
            <w:tcW w:w="991" w:type="dxa"/>
            <w:vAlign w:val="top"/>
          </w:tcPr>
          <w:p>
            <w:pPr>
              <w:ind w:left="255"/>
              <w:spacing w:before="88" w:line="214"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5"/>
              </w:rPr>
              <w:t>4×10</w:t>
            </w:r>
            <w:r>
              <w:rPr>
                <w:rFonts w:ascii="Times New Roman" w:hAnsi="Times New Roman" w:eastAsia="Times New Roman" w:cs="Times New Roman"/>
                <w:sz w:val="13"/>
                <w:szCs w:val="13"/>
                <w:spacing w:val="-5"/>
                <w:position w:val="6"/>
              </w:rPr>
              <w:t>-5</w:t>
            </w:r>
          </w:p>
        </w:tc>
        <w:tc>
          <w:tcPr>
            <w:tcW w:w="1567" w:type="dxa"/>
            <w:vAlign w:val="top"/>
          </w:tcPr>
          <w:p>
            <w:pPr>
              <w:ind w:left="119"/>
              <w:spacing w:before="87"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6"/>
              </w:rPr>
              <w:t>4.6×10</w:t>
            </w:r>
            <w:r>
              <w:rPr>
                <w:rFonts w:ascii="Times New Roman" w:hAnsi="Times New Roman" w:eastAsia="Times New Roman" w:cs="Times New Roman"/>
                <w:sz w:val="13"/>
                <w:szCs w:val="13"/>
                <w:spacing w:val="-6"/>
                <w:position w:val="6"/>
              </w:rPr>
              <w:t>-6</w:t>
            </w:r>
            <w:r>
              <w:rPr>
                <w:rFonts w:ascii="Times New Roman" w:hAnsi="Times New Roman" w:eastAsia="Times New Roman" w:cs="Times New Roman"/>
                <w:sz w:val="20"/>
                <w:szCs w:val="20"/>
                <w:spacing w:val="-7"/>
              </w:rPr>
              <w:t>~1.8×10</w:t>
            </w:r>
            <w:r>
              <w:rPr>
                <w:rFonts w:ascii="Times New Roman" w:hAnsi="Times New Roman" w:eastAsia="Times New Roman" w:cs="Times New Roman"/>
                <w:sz w:val="13"/>
                <w:szCs w:val="13"/>
                <w:spacing w:val="-7"/>
                <w:position w:val="6"/>
              </w:rPr>
              <w:t>-5</w:t>
            </w:r>
          </w:p>
        </w:tc>
        <w:tc>
          <w:tcPr>
            <w:tcW w:w="917" w:type="dxa"/>
            <w:vAlign w:val="top"/>
          </w:tcPr>
          <w:p>
            <w:pPr>
              <w:ind w:left="413"/>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4" w:type="dxa"/>
            <w:vAlign w:val="top"/>
          </w:tcPr>
          <w:p>
            <w:pPr>
              <w:ind w:left="157"/>
              <w:spacing w:before="88" w:line="214"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8"/>
              </w:rPr>
              <w:t>1.8×10</w:t>
            </w:r>
            <w:r>
              <w:rPr>
                <w:rFonts w:ascii="Times New Roman" w:hAnsi="Times New Roman" w:eastAsia="Times New Roman" w:cs="Times New Roman"/>
                <w:sz w:val="13"/>
                <w:szCs w:val="13"/>
                <w:spacing w:val="-8"/>
                <w:position w:val="6"/>
              </w:rPr>
              <w:t>-5</w:t>
            </w:r>
          </w:p>
        </w:tc>
        <w:tc>
          <w:tcPr>
            <w:tcW w:w="1169" w:type="dxa"/>
            <w:vAlign w:val="top"/>
          </w:tcPr>
          <w:p>
            <w:pPr>
              <w:ind w:left="392"/>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DT</w:t>
            </w:r>
            <w:r>
              <w:rPr>
                <w:rFonts w:ascii="Times New Roman" w:hAnsi="Times New Roman" w:eastAsia="Times New Roman" w:cs="Times New Roman"/>
                <w:sz w:val="20"/>
                <w:szCs w:val="20"/>
                <w:spacing w:val="12"/>
              </w:rPr>
              <w:t>1</w:t>
            </w:r>
          </w:p>
        </w:tc>
      </w:tr>
    </w:tbl>
    <w:p>
      <w:pPr>
        <w:pStyle w:val="BodyText"/>
        <w:ind w:left="122"/>
        <w:spacing w:before="171" w:line="222" w:lineRule="auto"/>
        <w:outlineLvl w:val="1"/>
        <w:rPr>
          <w:rFonts w:ascii="FangSong" w:hAnsi="FangSong" w:eastAsia="FangSong" w:cs="FangSong"/>
          <w:sz w:val="28"/>
          <w:szCs w:val="28"/>
        </w:rPr>
      </w:pPr>
      <w:bookmarkStart w:name="bookmark31" w:id="36"/>
      <w:bookmarkEnd w:id="36"/>
      <w:r>
        <w:rPr>
          <w:sz w:val="28"/>
          <w:szCs w:val="28"/>
          <w:b/>
          <w:bCs/>
          <w:spacing w:val="-2"/>
        </w:rPr>
        <w:t>8.2 2025</w:t>
      </w:r>
      <w:r>
        <w:rPr>
          <w:rFonts w:ascii="FangSong" w:hAnsi="FangSong" w:eastAsia="FangSong" w:cs="FangSong"/>
          <w:sz w:val="28"/>
          <w:szCs w:val="28"/>
          <w:b/>
          <w:bCs/>
          <w:spacing w:val="-2"/>
        </w:rPr>
        <w:t>年地下水监测结果分析</w:t>
      </w:r>
    </w:p>
    <w:p>
      <w:pPr>
        <w:pStyle w:val="BodyText"/>
        <w:ind w:left="121"/>
        <w:spacing w:before="230" w:line="222" w:lineRule="auto"/>
        <w:outlineLvl w:val="2"/>
        <w:rPr>
          <w:rFonts w:ascii="FangSong" w:hAnsi="FangSong" w:eastAsia="FangSong" w:cs="FangSong"/>
          <w:sz w:val="24"/>
          <w:szCs w:val="24"/>
        </w:rPr>
      </w:pPr>
      <w:r>
        <w:rPr>
          <w:sz w:val="24"/>
          <w:szCs w:val="24"/>
          <w:b/>
          <w:bCs/>
          <w:spacing w:val="-2"/>
        </w:rPr>
        <w:t>8.2.1  </w:t>
      </w:r>
      <w:r>
        <w:rPr>
          <w:rFonts w:ascii="FangSong" w:hAnsi="FangSong" w:eastAsia="FangSong" w:cs="FangSong"/>
          <w:sz w:val="24"/>
          <w:szCs w:val="24"/>
          <w:b/>
          <w:bCs/>
          <w:spacing w:val="-2"/>
        </w:rPr>
        <w:t>分析方法及评价标准</w:t>
      </w:r>
    </w:p>
    <w:p>
      <w:pPr>
        <w:pStyle w:val="BodyText"/>
        <w:ind w:left="3188"/>
        <w:spacing w:before="180" w:line="219" w:lineRule="auto"/>
        <w:rPr>
          <w:rFonts w:ascii="FangSong" w:hAnsi="FangSong" w:eastAsia="FangSong" w:cs="FangSong"/>
          <w:sz w:val="24"/>
          <w:szCs w:val="24"/>
        </w:rPr>
      </w:pPr>
      <w:r>
        <w:rPr>
          <w:rFonts w:ascii="FangSong" w:hAnsi="FangSong" w:eastAsia="FangSong" w:cs="FangSong"/>
          <w:sz w:val="24"/>
          <w:szCs w:val="24"/>
          <w:b/>
          <w:bCs/>
          <w:spacing w:val="-2"/>
        </w:rPr>
        <w:t>表</w:t>
      </w:r>
      <w:r>
        <w:rPr>
          <w:sz w:val="24"/>
          <w:szCs w:val="24"/>
          <w:b/>
          <w:bCs/>
          <w:spacing w:val="-2"/>
        </w:rPr>
        <w:t>8.2-1    </w:t>
      </w:r>
      <w:r>
        <w:rPr>
          <w:rFonts w:ascii="FangSong" w:hAnsi="FangSong" w:eastAsia="FangSong" w:cs="FangSong"/>
          <w:sz w:val="24"/>
          <w:szCs w:val="24"/>
          <w:b/>
          <w:bCs/>
          <w:spacing w:val="-2"/>
        </w:rPr>
        <w:t>地下水样品分析测试方法</w:t>
      </w:r>
    </w:p>
    <w:p>
      <w:pPr>
        <w:spacing w:line="68" w:lineRule="exact"/>
        <w:rPr/>
      </w:pPr>
      <w:r/>
    </w:p>
    <w:tbl>
      <w:tblPr>
        <w:tblStyle w:val="TableNormal"/>
        <w:tblW w:w="9796" w:type="dxa"/>
        <w:tblInd w:w="8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6"/>
        <w:gridCol w:w="1498"/>
        <w:gridCol w:w="6274"/>
        <w:gridCol w:w="1428"/>
      </w:tblGrid>
      <w:tr>
        <w:trPr>
          <w:trHeight w:val="349" w:hRule="atLeast"/>
        </w:trPr>
        <w:tc>
          <w:tcPr>
            <w:tcW w:w="596" w:type="dxa"/>
            <w:vAlign w:val="top"/>
          </w:tcPr>
          <w:p>
            <w:pPr>
              <w:pStyle w:val="TableText"/>
              <w:ind w:left="98"/>
              <w:spacing w:before="71" w:line="231" w:lineRule="auto"/>
              <w:rPr/>
            </w:pPr>
            <w:r>
              <w:rPr>
                <w:b/>
                <w:bCs/>
                <w:spacing w:val="1"/>
              </w:rPr>
              <w:t>序号</w:t>
            </w:r>
          </w:p>
        </w:tc>
        <w:tc>
          <w:tcPr>
            <w:tcW w:w="1498" w:type="dxa"/>
            <w:vAlign w:val="top"/>
          </w:tcPr>
          <w:p>
            <w:pPr>
              <w:pStyle w:val="TableText"/>
              <w:ind w:left="547"/>
              <w:spacing w:before="71" w:line="232" w:lineRule="auto"/>
              <w:rPr/>
            </w:pPr>
            <w:r>
              <w:rPr>
                <w:b/>
                <w:bCs/>
              </w:rPr>
              <w:t>项目</w:t>
            </w:r>
          </w:p>
        </w:tc>
        <w:tc>
          <w:tcPr>
            <w:tcW w:w="6274" w:type="dxa"/>
            <w:vAlign w:val="top"/>
          </w:tcPr>
          <w:p>
            <w:pPr>
              <w:pStyle w:val="TableText"/>
              <w:ind w:left="2096"/>
              <w:spacing w:before="70" w:line="229" w:lineRule="auto"/>
              <w:rPr/>
            </w:pPr>
            <w:r>
              <w:rPr>
                <w:b/>
                <w:bCs/>
                <w:spacing w:val="7"/>
              </w:rPr>
              <w:t>检测分析方法及标准号</w:t>
            </w:r>
          </w:p>
        </w:tc>
        <w:tc>
          <w:tcPr>
            <w:tcW w:w="1428" w:type="dxa"/>
            <w:vAlign w:val="top"/>
          </w:tcPr>
          <w:p>
            <w:pPr>
              <w:pStyle w:val="TableText"/>
              <w:ind w:left="411"/>
              <w:spacing w:before="70" w:line="229" w:lineRule="auto"/>
              <w:rPr/>
            </w:pPr>
            <w:r>
              <w:rPr>
                <w:b/>
                <w:bCs/>
                <w:spacing w:val="3"/>
              </w:rPr>
              <w:t>检出限</w:t>
            </w:r>
          </w:p>
        </w:tc>
      </w:tr>
      <w:tr>
        <w:trPr>
          <w:trHeight w:val="345" w:hRule="atLeast"/>
        </w:trPr>
        <w:tc>
          <w:tcPr>
            <w:tcW w:w="596" w:type="dxa"/>
            <w:vAlign w:val="top"/>
          </w:tcPr>
          <w:p>
            <w:pPr>
              <w:ind w:left="268"/>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98" w:type="dxa"/>
            <w:vAlign w:val="top"/>
          </w:tcPr>
          <w:p>
            <w:pPr>
              <w:pStyle w:val="TableText"/>
              <w:ind w:left="484"/>
              <w:spacing w:before="65" w:line="221" w:lineRule="auto"/>
              <w:rPr/>
            </w:pPr>
            <w:r>
              <w:rPr>
                <w:rFonts w:ascii="Times New Roman" w:hAnsi="Times New Roman" w:eastAsia="Times New Roman" w:cs="Times New Roman"/>
              </w:rPr>
              <w:t>pH</w:t>
            </w:r>
            <w:r>
              <w:rPr>
                <w:rFonts w:ascii="Times New Roman" w:hAnsi="Times New Roman" w:eastAsia="Times New Roman" w:cs="Times New Roman"/>
                <w:spacing w:val="16"/>
              </w:rPr>
              <w:t xml:space="preserve"> </w:t>
            </w:r>
            <w:r>
              <w:rPr>
                <w:spacing w:val="12"/>
              </w:rPr>
              <w:t>值</w:t>
            </w:r>
          </w:p>
        </w:tc>
        <w:tc>
          <w:tcPr>
            <w:tcW w:w="6274" w:type="dxa"/>
            <w:vAlign w:val="top"/>
          </w:tcPr>
          <w:p>
            <w:pPr>
              <w:pStyle w:val="TableText"/>
              <w:ind w:left="1318"/>
              <w:spacing w:before="65" w:line="221" w:lineRule="auto"/>
              <w:rPr>
                <w:rFonts w:ascii="Times New Roman" w:hAnsi="Times New Roman" w:eastAsia="Times New Roman" w:cs="Times New Roman"/>
              </w:rPr>
            </w:pPr>
            <w:r>
              <w:rPr>
                <w:spacing w:val="3"/>
              </w:rPr>
              <w:t>水质</w:t>
            </w:r>
            <w:r>
              <w:rPr>
                <w:spacing w:val="3"/>
              </w:rPr>
              <w:t xml:space="preserve"> </w:t>
            </w:r>
            <w:r>
              <w:rPr>
                <w:rFonts w:ascii="Times New Roman" w:hAnsi="Times New Roman" w:eastAsia="Times New Roman" w:cs="Times New Roman"/>
              </w:rPr>
              <w:t>pH</w:t>
            </w:r>
            <w:r>
              <w:rPr>
                <w:rFonts w:ascii="Times New Roman" w:hAnsi="Times New Roman" w:eastAsia="Times New Roman" w:cs="Times New Roman"/>
                <w:spacing w:val="26"/>
              </w:rPr>
              <w:t xml:space="preserve"> </w:t>
            </w:r>
            <w:r>
              <w:rPr>
                <w:spacing w:val="3"/>
              </w:rPr>
              <w:t>值的测定</w:t>
            </w:r>
            <w:r>
              <w:rPr>
                <w:spacing w:val="44"/>
              </w:rPr>
              <w:t xml:space="preserve"> </w:t>
            </w:r>
            <w:r>
              <w:rPr>
                <w:spacing w:val="3"/>
              </w:rPr>
              <w:t>电极法</w:t>
            </w:r>
            <w:r>
              <w:rPr>
                <w:spacing w:val="-44"/>
              </w:rPr>
              <w:t xml:space="preserve"> </w:t>
            </w:r>
            <w:r>
              <w:rPr>
                <w:rFonts w:ascii="Times New Roman" w:hAnsi="Times New Roman" w:eastAsia="Times New Roman" w:cs="Times New Roman"/>
              </w:rPr>
              <w:t>HJ</w:t>
            </w:r>
            <w:r>
              <w:rPr>
                <w:rFonts w:ascii="Times New Roman" w:hAnsi="Times New Roman" w:eastAsia="Times New Roman" w:cs="Times New Roman"/>
                <w:spacing w:val="28"/>
              </w:rPr>
              <w:t xml:space="preserve"> </w:t>
            </w:r>
            <w:r>
              <w:rPr>
                <w:rFonts w:ascii="Times New Roman" w:hAnsi="Times New Roman" w:eastAsia="Times New Roman" w:cs="Times New Roman"/>
                <w:spacing w:val="3"/>
              </w:rPr>
              <w:t>1147-2020</w:t>
            </w:r>
          </w:p>
        </w:tc>
        <w:tc>
          <w:tcPr>
            <w:tcW w:w="1428" w:type="dxa"/>
            <w:vAlign w:val="top"/>
          </w:tcPr>
          <w:p>
            <w:pPr>
              <w:ind w:left="683"/>
              <w:spacing w:before="9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596" w:type="dxa"/>
            <w:vAlign w:val="top"/>
          </w:tcPr>
          <w:p>
            <w:pPr>
              <w:ind w:left="247"/>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98" w:type="dxa"/>
            <w:vAlign w:val="top"/>
          </w:tcPr>
          <w:p>
            <w:pPr>
              <w:pStyle w:val="TableText"/>
              <w:ind w:left="552"/>
              <w:spacing w:before="65" w:line="232" w:lineRule="auto"/>
              <w:rPr/>
            </w:pPr>
            <w:r>
              <w:rPr/>
              <w:t>色度</w:t>
            </w:r>
          </w:p>
        </w:tc>
        <w:tc>
          <w:tcPr>
            <w:tcW w:w="6274" w:type="dxa"/>
            <w:vAlign w:val="top"/>
          </w:tcPr>
          <w:p>
            <w:pPr>
              <w:pStyle w:val="TableText"/>
              <w:ind w:left="1561"/>
              <w:spacing w:before="65" w:line="232" w:lineRule="auto"/>
              <w:rPr>
                <w:rFonts w:ascii="Times New Roman" w:hAnsi="Times New Roman" w:eastAsia="Times New Roman" w:cs="Times New Roman"/>
              </w:rPr>
            </w:pPr>
            <w:r>
              <w:rPr>
                <w:spacing w:val="4"/>
              </w:rPr>
              <w:t>水质</w:t>
            </w:r>
            <w:r>
              <w:rPr>
                <w:spacing w:val="4"/>
              </w:rPr>
              <w:t xml:space="preserve"> </w:t>
            </w:r>
            <w:r>
              <w:rPr>
                <w:spacing w:val="4"/>
              </w:rPr>
              <w:t>色度的测定</w:t>
            </w:r>
            <w:r>
              <w:rPr>
                <w:spacing w:val="-25"/>
              </w:rPr>
              <w:t xml:space="preserve"> </w:t>
            </w:r>
            <w:r>
              <w:rPr>
                <w:rFonts w:ascii="Times New Roman" w:hAnsi="Times New Roman" w:eastAsia="Times New Roman" w:cs="Times New Roman"/>
              </w:rPr>
              <w:t>GB</w:t>
            </w:r>
            <w:r>
              <w:rPr>
                <w:rFonts w:ascii="Times New Roman" w:hAnsi="Times New Roman" w:eastAsia="Times New Roman" w:cs="Times New Roman"/>
                <w:spacing w:val="4"/>
              </w:rPr>
              <w:t>/T</w:t>
            </w:r>
            <w:r>
              <w:rPr>
                <w:rFonts w:ascii="Times New Roman" w:hAnsi="Times New Roman" w:eastAsia="Times New Roman" w:cs="Times New Roman"/>
                <w:spacing w:val="30"/>
              </w:rPr>
              <w:t xml:space="preserve"> </w:t>
            </w:r>
            <w:r>
              <w:rPr>
                <w:rFonts w:ascii="Times New Roman" w:hAnsi="Times New Roman" w:eastAsia="Times New Roman" w:cs="Times New Roman"/>
                <w:spacing w:val="4"/>
              </w:rPr>
              <w:t>11903-1989</w:t>
            </w:r>
          </w:p>
        </w:tc>
        <w:tc>
          <w:tcPr>
            <w:tcW w:w="1428" w:type="dxa"/>
            <w:vAlign w:val="top"/>
          </w:tcPr>
          <w:p>
            <w:pPr>
              <w:pStyle w:val="TableText"/>
              <w:ind w:left="537"/>
              <w:spacing w:before="65" w:line="232" w:lineRule="auto"/>
              <w:rPr/>
            </w:pPr>
            <w:r>
              <w:rPr>
                <w:rFonts w:ascii="Times New Roman" w:hAnsi="Times New Roman" w:eastAsia="Times New Roman" w:cs="Times New Roman"/>
                <w:spacing w:val="-3"/>
              </w:rPr>
              <w:t>5</w:t>
            </w:r>
            <w:r>
              <w:rPr>
                <w:rFonts w:ascii="Times New Roman" w:hAnsi="Times New Roman" w:eastAsia="Times New Roman" w:cs="Times New Roman"/>
                <w:spacing w:val="15"/>
              </w:rPr>
              <w:t xml:space="preserve"> </w:t>
            </w:r>
            <w:r>
              <w:rPr>
                <w:spacing w:val="-3"/>
              </w:rPr>
              <w:t>度</w:t>
            </w:r>
          </w:p>
        </w:tc>
      </w:tr>
      <w:tr>
        <w:trPr>
          <w:trHeight w:val="628" w:hRule="atLeast"/>
        </w:trPr>
        <w:tc>
          <w:tcPr>
            <w:tcW w:w="596" w:type="dxa"/>
            <w:vAlign w:val="top"/>
          </w:tcPr>
          <w:p>
            <w:pPr>
              <w:ind w:left="252"/>
              <w:spacing w:before="2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98" w:type="dxa"/>
            <w:vAlign w:val="top"/>
          </w:tcPr>
          <w:p>
            <w:pPr>
              <w:pStyle w:val="TableText"/>
              <w:ind w:left="447"/>
              <w:spacing w:before="208" w:line="229" w:lineRule="auto"/>
              <w:rPr/>
            </w:pPr>
            <w:r>
              <w:rPr>
                <w:spacing w:val="3"/>
              </w:rPr>
              <w:t>臭和味</w:t>
            </w:r>
          </w:p>
        </w:tc>
        <w:tc>
          <w:tcPr>
            <w:tcW w:w="6274" w:type="dxa"/>
            <w:vAlign w:val="top"/>
          </w:tcPr>
          <w:p>
            <w:pPr>
              <w:pStyle w:val="TableText"/>
              <w:ind w:left="484"/>
              <w:spacing w:before="51" w:line="229" w:lineRule="auto"/>
              <w:rPr/>
            </w:pPr>
            <w:r>
              <w:rPr>
                <w:spacing w:val="7"/>
              </w:rPr>
              <w:t>生活饮用水标准检验方法</w:t>
            </w:r>
            <w:r>
              <w:rPr>
                <w:spacing w:val="7"/>
              </w:rPr>
              <w:t xml:space="preserve"> </w:t>
            </w:r>
            <w:r>
              <w:rPr>
                <w:spacing w:val="7"/>
              </w:rPr>
              <w:t>第</w:t>
            </w:r>
            <w:r>
              <w:rPr>
                <w:spacing w:val="-26"/>
              </w:rPr>
              <w:t xml:space="preserve"> </w:t>
            </w:r>
            <w:r>
              <w:rPr>
                <w:rFonts w:ascii="Times New Roman" w:hAnsi="Times New Roman" w:eastAsia="Times New Roman" w:cs="Times New Roman"/>
                <w:spacing w:val="7"/>
              </w:rPr>
              <w:t>4</w:t>
            </w:r>
            <w:r>
              <w:rPr>
                <w:rFonts w:ascii="Times New Roman" w:hAnsi="Times New Roman" w:eastAsia="Times New Roman" w:cs="Times New Roman"/>
                <w:spacing w:val="18"/>
                <w:w w:val="101"/>
              </w:rPr>
              <w:t xml:space="preserve"> </w:t>
            </w:r>
            <w:r>
              <w:rPr>
                <w:spacing w:val="7"/>
              </w:rPr>
              <w:t>部分：感官性状和物理指标</w:t>
            </w:r>
          </w:p>
          <w:p>
            <w:pPr>
              <w:ind w:left="2140"/>
              <w:spacing w:before="96"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2"/>
              </w:rPr>
              <w:t>/T</w:t>
            </w:r>
            <w:r>
              <w:rPr>
                <w:rFonts w:ascii="Times New Roman" w:hAnsi="Times New Roman" w:eastAsia="Times New Roman" w:cs="Times New Roman"/>
                <w:sz w:val="20"/>
                <w:szCs w:val="20"/>
                <w:spacing w:val="26"/>
                <w:w w:val="101"/>
              </w:rPr>
              <w:t xml:space="preserve"> </w:t>
            </w:r>
            <w:r>
              <w:rPr>
                <w:rFonts w:ascii="Times New Roman" w:hAnsi="Times New Roman" w:eastAsia="Times New Roman" w:cs="Times New Roman"/>
                <w:sz w:val="20"/>
                <w:szCs w:val="20"/>
                <w:spacing w:val="2"/>
              </w:rPr>
              <w:t>5750.4-2023(6.</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428" w:type="dxa"/>
            <w:vAlign w:val="top"/>
          </w:tcPr>
          <w:p>
            <w:pPr>
              <w:ind w:left="683"/>
              <w:spacing w:before="23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45" w:hRule="atLeast"/>
        </w:trPr>
        <w:tc>
          <w:tcPr>
            <w:tcW w:w="596" w:type="dxa"/>
            <w:vAlign w:val="top"/>
          </w:tcPr>
          <w:p>
            <w:pPr>
              <w:ind w:left="246"/>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498" w:type="dxa"/>
            <w:vAlign w:val="top"/>
          </w:tcPr>
          <w:p>
            <w:pPr>
              <w:pStyle w:val="TableText"/>
              <w:ind w:left="552"/>
              <w:spacing w:before="66" w:line="232" w:lineRule="auto"/>
              <w:rPr/>
            </w:pPr>
            <w:r>
              <w:rPr/>
              <w:t>浊度</w:t>
            </w:r>
          </w:p>
        </w:tc>
        <w:tc>
          <w:tcPr>
            <w:tcW w:w="6274" w:type="dxa"/>
            <w:vAlign w:val="top"/>
          </w:tcPr>
          <w:p>
            <w:pPr>
              <w:pStyle w:val="TableText"/>
              <w:ind w:left="1263"/>
              <w:spacing w:before="66" w:line="231" w:lineRule="auto"/>
              <w:rPr>
                <w:rFonts w:ascii="Times New Roman" w:hAnsi="Times New Roman" w:eastAsia="Times New Roman" w:cs="Times New Roman"/>
              </w:rPr>
            </w:pPr>
            <w:r>
              <w:rPr>
                <w:spacing w:val="5"/>
              </w:rPr>
              <w:t>水质</w:t>
            </w:r>
            <w:r>
              <w:rPr>
                <w:spacing w:val="5"/>
              </w:rPr>
              <w:t xml:space="preserve"> </w:t>
            </w:r>
            <w:r>
              <w:rPr>
                <w:spacing w:val="5"/>
              </w:rPr>
              <w:t>浊度的测定</w:t>
            </w:r>
            <w:r>
              <w:rPr>
                <w:spacing w:val="25"/>
              </w:rPr>
              <w:t xml:space="preserve"> </w:t>
            </w:r>
            <w:r>
              <w:rPr>
                <w:spacing w:val="5"/>
              </w:rPr>
              <w:t>浊度计法</w:t>
            </w:r>
            <w:r>
              <w:rPr>
                <w:spacing w:val="-42"/>
              </w:rPr>
              <w:t xml:space="preserve"> </w:t>
            </w:r>
            <w:r>
              <w:rPr>
                <w:rFonts w:ascii="Times New Roman" w:hAnsi="Times New Roman" w:eastAsia="Times New Roman" w:cs="Times New Roman"/>
              </w:rPr>
              <w:t>HJ</w:t>
            </w:r>
            <w:r>
              <w:rPr>
                <w:rFonts w:ascii="Times New Roman" w:hAnsi="Times New Roman" w:eastAsia="Times New Roman" w:cs="Times New Roman"/>
                <w:spacing w:val="28"/>
              </w:rPr>
              <w:t xml:space="preserve"> </w:t>
            </w:r>
            <w:r>
              <w:rPr>
                <w:rFonts w:ascii="Times New Roman" w:hAnsi="Times New Roman" w:eastAsia="Times New Roman" w:cs="Times New Roman"/>
                <w:spacing w:val="5"/>
              </w:rPr>
              <w:t>1075-2019</w:t>
            </w:r>
          </w:p>
        </w:tc>
        <w:tc>
          <w:tcPr>
            <w:tcW w:w="1428" w:type="dxa"/>
            <w:vAlign w:val="top"/>
          </w:tcPr>
          <w:p>
            <w:pPr>
              <w:ind w:left="371"/>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0.3</w:t>
            </w:r>
            <w:r>
              <w:rPr>
                <w:rFonts w:ascii="Times New Roman" w:hAnsi="Times New Roman" w:eastAsia="Times New Roman" w:cs="Times New Roman"/>
                <w:sz w:val="20"/>
                <w:szCs w:val="20"/>
              </w:rPr>
              <w:t>NTU</w:t>
            </w:r>
          </w:p>
        </w:tc>
      </w:tr>
      <w:tr>
        <w:trPr>
          <w:trHeight w:val="628" w:hRule="atLeast"/>
        </w:trPr>
        <w:tc>
          <w:tcPr>
            <w:tcW w:w="596" w:type="dxa"/>
            <w:vAlign w:val="top"/>
          </w:tcPr>
          <w:p>
            <w:pPr>
              <w:ind w:left="253"/>
              <w:spacing w:before="24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498" w:type="dxa"/>
            <w:vAlign w:val="top"/>
          </w:tcPr>
          <w:p>
            <w:pPr>
              <w:pStyle w:val="TableText"/>
              <w:ind w:left="254"/>
              <w:spacing w:before="209" w:line="229" w:lineRule="auto"/>
              <w:rPr/>
            </w:pPr>
            <w:r>
              <w:rPr>
                <w:spacing w:val="2"/>
              </w:rPr>
              <w:t>肉眼可见物</w:t>
            </w:r>
          </w:p>
        </w:tc>
        <w:tc>
          <w:tcPr>
            <w:tcW w:w="6274" w:type="dxa"/>
            <w:vAlign w:val="top"/>
          </w:tcPr>
          <w:p>
            <w:pPr>
              <w:pStyle w:val="TableText"/>
              <w:ind w:left="484"/>
              <w:spacing w:before="52" w:line="229" w:lineRule="auto"/>
              <w:rPr/>
            </w:pPr>
            <w:r>
              <w:rPr>
                <w:spacing w:val="7"/>
              </w:rPr>
              <w:t>生活饮用水标准检验方法</w:t>
            </w:r>
            <w:r>
              <w:rPr>
                <w:spacing w:val="7"/>
              </w:rPr>
              <w:t xml:space="preserve"> </w:t>
            </w:r>
            <w:r>
              <w:rPr>
                <w:spacing w:val="7"/>
              </w:rPr>
              <w:t>第</w:t>
            </w:r>
            <w:r>
              <w:rPr>
                <w:spacing w:val="-26"/>
              </w:rPr>
              <w:t xml:space="preserve"> </w:t>
            </w:r>
            <w:r>
              <w:rPr>
                <w:rFonts w:ascii="Times New Roman" w:hAnsi="Times New Roman" w:eastAsia="Times New Roman" w:cs="Times New Roman"/>
                <w:spacing w:val="7"/>
              </w:rPr>
              <w:t>4</w:t>
            </w:r>
            <w:r>
              <w:rPr>
                <w:rFonts w:ascii="Times New Roman" w:hAnsi="Times New Roman" w:eastAsia="Times New Roman" w:cs="Times New Roman"/>
                <w:spacing w:val="18"/>
                <w:w w:val="101"/>
              </w:rPr>
              <w:t xml:space="preserve"> </w:t>
            </w:r>
            <w:r>
              <w:rPr>
                <w:spacing w:val="7"/>
              </w:rPr>
              <w:t>部分：感官性状和物理指标</w:t>
            </w:r>
          </w:p>
          <w:p>
            <w:pPr>
              <w:ind w:left="2220"/>
              <w:spacing w:before="96"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4"/>
              </w:rPr>
              <w:t>/T 5750.4-2023(7)</w:t>
            </w:r>
          </w:p>
        </w:tc>
        <w:tc>
          <w:tcPr>
            <w:tcW w:w="1428" w:type="dxa"/>
            <w:vAlign w:val="top"/>
          </w:tcPr>
          <w:p>
            <w:pPr>
              <w:ind w:left="683"/>
              <w:spacing w:before="24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629" w:hRule="atLeast"/>
        </w:trPr>
        <w:tc>
          <w:tcPr>
            <w:tcW w:w="596" w:type="dxa"/>
            <w:vAlign w:val="top"/>
          </w:tcPr>
          <w:p>
            <w:pPr>
              <w:ind w:left="252"/>
              <w:spacing w:before="2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498" w:type="dxa"/>
            <w:vAlign w:val="top"/>
          </w:tcPr>
          <w:p>
            <w:pPr>
              <w:pStyle w:val="TableText"/>
              <w:ind w:left="452"/>
              <w:spacing w:before="208" w:line="232" w:lineRule="auto"/>
              <w:rPr/>
            </w:pPr>
            <w:r>
              <w:rPr>
                <w:spacing w:val="2"/>
              </w:rPr>
              <w:t>总硬度</w:t>
            </w:r>
          </w:p>
        </w:tc>
        <w:tc>
          <w:tcPr>
            <w:tcW w:w="6274" w:type="dxa"/>
            <w:vAlign w:val="top"/>
          </w:tcPr>
          <w:p>
            <w:pPr>
              <w:pStyle w:val="TableText"/>
              <w:ind w:left="38"/>
              <w:spacing w:before="53" w:line="230" w:lineRule="auto"/>
              <w:rPr/>
            </w:pPr>
            <w:r>
              <w:rPr>
                <w:spacing w:val="3"/>
              </w:rPr>
              <w:t>地下水质分析方法</w:t>
            </w:r>
            <w:r>
              <w:rPr>
                <w:spacing w:val="46"/>
              </w:rPr>
              <w:t xml:space="preserve"> </w:t>
            </w:r>
            <w:r>
              <w:rPr>
                <w:spacing w:val="3"/>
              </w:rPr>
              <w:t>第</w:t>
            </w:r>
            <w:r>
              <w:rPr>
                <w:spacing w:val="29"/>
              </w:rPr>
              <w:t xml:space="preserve"> </w:t>
            </w:r>
            <w:r>
              <w:rPr>
                <w:rFonts w:ascii="Times New Roman" w:hAnsi="Times New Roman" w:eastAsia="Times New Roman" w:cs="Times New Roman"/>
                <w:spacing w:val="3"/>
              </w:rPr>
              <w:t>15  </w:t>
            </w:r>
            <w:r>
              <w:rPr>
                <w:spacing w:val="3"/>
              </w:rPr>
              <w:t>部分：总硬度的测定</w:t>
            </w:r>
            <w:r>
              <w:rPr>
                <w:spacing w:val="37"/>
              </w:rPr>
              <w:t xml:space="preserve"> </w:t>
            </w:r>
            <w:r>
              <w:rPr>
                <w:spacing w:val="3"/>
              </w:rPr>
              <w:t>乙二胺四乙酸二钠滴</w:t>
            </w:r>
          </w:p>
          <w:p>
            <w:pPr>
              <w:pStyle w:val="TableText"/>
              <w:ind w:left="2072"/>
              <w:spacing w:before="62" w:line="234" w:lineRule="auto"/>
              <w:rPr>
                <w:rFonts w:ascii="Times New Roman" w:hAnsi="Times New Roman" w:eastAsia="Times New Roman" w:cs="Times New Roman"/>
              </w:rPr>
            </w:pPr>
            <w:r>
              <w:rPr>
                <w:spacing w:val="4"/>
              </w:rPr>
              <w:t>定法</w:t>
            </w:r>
            <w:r>
              <w:rPr>
                <w:spacing w:val="-40"/>
              </w:rPr>
              <w:t xml:space="preserve"> </w:t>
            </w:r>
            <w:r>
              <w:rPr>
                <w:rFonts w:ascii="Times New Roman" w:hAnsi="Times New Roman" w:eastAsia="Times New Roman" w:cs="Times New Roman"/>
              </w:rPr>
              <w:t>DZ</w:t>
            </w:r>
            <w:r>
              <w:rPr>
                <w:rFonts w:ascii="Times New Roman" w:hAnsi="Times New Roman" w:eastAsia="Times New Roman" w:cs="Times New Roman"/>
                <w:spacing w:val="4"/>
              </w:rPr>
              <w:t>/T 0064.15-2021</w:t>
            </w:r>
          </w:p>
        </w:tc>
        <w:tc>
          <w:tcPr>
            <w:tcW w:w="1428" w:type="dxa"/>
            <w:vAlign w:val="top"/>
          </w:tcPr>
          <w:p>
            <w:pPr>
              <w:ind w:left="360"/>
              <w:spacing w:before="24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3.0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4"/>
              </w:rPr>
              <w:t>/L</w:t>
            </w:r>
          </w:p>
        </w:tc>
      </w:tr>
      <w:tr>
        <w:trPr>
          <w:trHeight w:val="628" w:hRule="atLeast"/>
        </w:trPr>
        <w:tc>
          <w:tcPr>
            <w:tcW w:w="596" w:type="dxa"/>
            <w:vAlign w:val="top"/>
          </w:tcPr>
          <w:p>
            <w:pPr>
              <w:ind w:left="251"/>
              <w:spacing w:before="250"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498" w:type="dxa"/>
            <w:vAlign w:val="top"/>
          </w:tcPr>
          <w:p>
            <w:pPr>
              <w:pStyle w:val="TableText"/>
              <w:ind w:left="128"/>
              <w:spacing w:before="54" w:line="229" w:lineRule="auto"/>
              <w:rPr/>
            </w:pPr>
            <w:r>
              <w:rPr>
                <w:spacing w:val="7"/>
              </w:rPr>
              <w:t>溶解性固体总</w:t>
            </w:r>
          </w:p>
          <w:p>
            <w:pPr>
              <w:pStyle w:val="TableText"/>
              <w:ind w:left="655"/>
              <w:spacing w:before="64" w:line="231" w:lineRule="auto"/>
              <w:rPr/>
            </w:pPr>
            <w:r>
              <w:rPr/>
              <w:t>量</w:t>
            </w:r>
          </w:p>
        </w:tc>
        <w:tc>
          <w:tcPr>
            <w:tcW w:w="6274" w:type="dxa"/>
            <w:vAlign w:val="top"/>
          </w:tcPr>
          <w:p>
            <w:pPr>
              <w:pStyle w:val="TableText"/>
              <w:ind w:left="314"/>
              <w:spacing w:before="54" w:line="229" w:lineRule="auto"/>
              <w:rPr/>
            </w:pPr>
            <w:r>
              <w:rPr>
                <w:spacing w:val="7"/>
              </w:rPr>
              <w:t>地下水质分析方法</w:t>
            </w:r>
            <w:r>
              <w:rPr>
                <w:spacing w:val="34"/>
              </w:rPr>
              <w:t xml:space="preserve"> </w:t>
            </w:r>
            <w:r>
              <w:rPr>
                <w:spacing w:val="7"/>
              </w:rPr>
              <w:t>第</w:t>
            </w:r>
            <w:r>
              <w:rPr>
                <w:spacing w:val="-39"/>
              </w:rPr>
              <w:t xml:space="preserve"> </w:t>
            </w:r>
            <w:r>
              <w:rPr>
                <w:rFonts w:ascii="Times New Roman" w:hAnsi="Times New Roman" w:eastAsia="Times New Roman" w:cs="Times New Roman"/>
                <w:spacing w:val="7"/>
              </w:rPr>
              <w:t>9</w:t>
            </w:r>
            <w:r>
              <w:rPr>
                <w:rFonts w:ascii="Times New Roman" w:hAnsi="Times New Roman" w:eastAsia="Times New Roman" w:cs="Times New Roman"/>
                <w:spacing w:val="19"/>
              </w:rPr>
              <w:t xml:space="preserve"> </w:t>
            </w:r>
            <w:r>
              <w:rPr>
                <w:spacing w:val="7"/>
              </w:rPr>
              <w:t>部分：溶解性固体总量的测定</w:t>
            </w:r>
            <w:r>
              <w:rPr>
                <w:spacing w:val="7"/>
              </w:rPr>
              <w:t xml:space="preserve"> </w:t>
            </w:r>
            <w:r>
              <w:rPr>
                <w:spacing w:val="7"/>
              </w:rPr>
              <w:t>重量法</w:t>
            </w:r>
          </w:p>
          <w:p>
            <w:pPr>
              <w:ind w:left="2348"/>
              <w:spacing w:before="9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DZ</w:t>
            </w:r>
            <w:r>
              <w:rPr>
                <w:rFonts w:ascii="Times New Roman" w:hAnsi="Times New Roman" w:eastAsia="Times New Roman" w:cs="Times New Roman"/>
                <w:sz w:val="20"/>
                <w:szCs w:val="20"/>
                <w:spacing w:val="4"/>
              </w:rPr>
              <w:t>/T 0064.9-2021</w:t>
            </w:r>
          </w:p>
        </w:tc>
        <w:tc>
          <w:tcPr>
            <w:tcW w:w="1428" w:type="dxa"/>
            <w:vAlign w:val="top"/>
          </w:tcPr>
          <w:p>
            <w:pPr>
              <w:ind w:left="440"/>
              <w:spacing w:before="24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3</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/L</w:t>
            </w:r>
          </w:p>
        </w:tc>
      </w:tr>
      <w:tr>
        <w:trPr>
          <w:trHeight w:val="629" w:hRule="atLeast"/>
        </w:trPr>
        <w:tc>
          <w:tcPr>
            <w:tcW w:w="596" w:type="dxa"/>
            <w:vAlign w:val="top"/>
          </w:tcPr>
          <w:p>
            <w:pPr>
              <w:ind w:left="256"/>
              <w:spacing w:before="2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498" w:type="dxa"/>
            <w:vAlign w:val="top"/>
          </w:tcPr>
          <w:p>
            <w:pPr>
              <w:pStyle w:val="TableText"/>
              <w:ind w:left="443"/>
              <w:spacing w:before="212" w:line="232" w:lineRule="auto"/>
              <w:rPr/>
            </w:pPr>
            <w:r>
              <w:rPr>
                <w:spacing w:val="5"/>
              </w:rPr>
              <w:t>硫酸盐</w:t>
            </w:r>
          </w:p>
        </w:tc>
        <w:tc>
          <w:tcPr>
            <w:tcW w:w="6274" w:type="dxa"/>
            <w:vAlign w:val="top"/>
          </w:tcPr>
          <w:p>
            <w:pPr>
              <w:pStyle w:val="TableText"/>
              <w:ind w:left="941"/>
              <w:spacing w:before="56" w:line="229" w:lineRule="auto"/>
              <w:rPr/>
            </w:pPr>
            <w:r>
              <w:rPr>
                <w:spacing w:val="8"/>
              </w:rPr>
              <w:t>水质</w:t>
            </w:r>
            <w:r>
              <w:rPr>
                <w:spacing w:val="8"/>
              </w:rPr>
              <w:t xml:space="preserve"> </w:t>
            </w:r>
            <w:r>
              <w:rPr>
                <w:spacing w:val="8"/>
              </w:rPr>
              <w:t>硫酸盐的测定</w:t>
            </w:r>
            <w:r>
              <w:rPr>
                <w:spacing w:val="8"/>
              </w:rPr>
              <w:t xml:space="preserve"> </w:t>
            </w:r>
            <w:r>
              <w:rPr>
                <w:spacing w:val="8"/>
              </w:rPr>
              <w:t>铬酸钡分光光度法（试行）</w:t>
            </w:r>
          </w:p>
          <w:p>
            <w:pPr>
              <w:ind w:left="2499"/>
              <w:spacing w:before="9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4"/>
              </w:rPr>
              <w:t>/T</w:t>
            </w:r>
            <w:r>
              <w:rPr>
                <w:rFonts w:ascii="Times New Roman" w:hAnsi="Times New Roman" w:eastAsia="Times New Roman" w:cs="Times New Roman"/>
                <w:sz w:val="20"/>
                <w:szCs w:val="20"/>
                <w:spacing w:val="16"/>
                <w:w w:val="101"/>
              </w:rPr>
              <w:t xml:space="preserve"> </w:t>
            </w:r>
            <w:r>
              <w:rPr>
                <w:rFonts w:ascii="Times New Roman" w:hAnsi="Times New Roman" w:eastAsia="Times New Roman" w:cs="Times New Roman"/>
                <w:sz w:val="20"/>
                <w:szCs w:val="20"/>
                <w:spacing w:val="4"/>
              </w:rPr>
              <w:t>342-2007</w:t>
            </w:r>
          </w:p>
        </w:tc>
        <w:tc>
          <w:tcPr>
            <w:tcW w:w="1428" w:type="dxa"/>
            <w:vAlign w:val="top"/>
          </w:tcPr>
          <w:p>
            <w:pPr>
              <w:ind w:left="444"/>
              <w:spacing w:before="24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8</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3"/>
              </w:rPr>
              <w:t>/L</w:t>
            </w:r>
          </w:p>
        </w:tc>
      </w:tr>
      <w:tr>
        <w:trPr>
          <w:trHeight w:val="628" w:hRule="atLeast"/>
        </w:trPr>
        <w:tc>
          <w:tcPr>
            <w:tcW w:w="596" w:type="dxa"/>
            <w:vAlign w:val="top"/>
          </w:tcPr>
          <w:p>
            <w:pPr>
              <w:ind w:left="251"/>
              <w:spacing w:before="2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498" w:type="dxa"/>
            <w:vAlign w:val="top"/>
          </w:tcPr>
          <w:p>
            <w:pPr>
              <w:pStyle w:val="TableText"/>
              <w:ind w:left="447"/>
              <w:spacing w:before="211" w:line="229" w:lineRule="auto"/>
              <w:rPr/>
            </w:pPr>
            <w:r>
              <w:rPr>
                <w:spacing w:val="3"/>
              </w:rPr>
              <w:t>氯化物</w:t>
            </w:r>
          </w:p>
        </w:tc>
        <w:tc>
          <w:tcPr>
            <w:tcW w:w="6274" w:type="dxa"/>
            <w:vAlign w:val="top"/>
          </w:tcPr>
          <w:p>
            <w:pPr>
              <w:pStyle w:val="TableText"/>
              <w:ind w:left="473"/>
              <w:spacing w:before="55" w:line="229" w:lineRule="auto"/>
              <w:rPr/>
            </w:pPr>
            <w:r>
              <w:rPr>
                <w:spacing w:val="7"/>
              </w:rPr>
              <w:t>地下水质分析方法</w:t>
            </w:r>
            <w:r>
              <w:rPr>
                <w:spacing w:val="7"/>
              </w:rPr>
              <w:t xml:space="preserve"> </w:t>
            </w:r>
            <w:r>
              <w:rPr>
                <w:spacing w:val="7"/>
              </w:rPr>
              <w:t>第</w:t>
            </w:r>
            <w:r>
              <w:rPr>
                <w:spacing w:val="-19"/>
              </w:rPr>
              <w:t xml:space="preserve"> </w:t>
            </w:r>
            <w:r>
              <w:rPr>
                <w:rFonts w:ascii="Times New Roman" w:hAnsi="Times New Roman" w:eastAsia="Times New Roman" w:cs="Times New Roman"/>
                <w:spacing w:val="7"/>
              </w:rPr>
              <w:t>50</w:t>
            </w:r>
            <w:r>
              <w:rPr>
                <w:rFonts w:ascii="Times New Roman" w:hAnsi="Times New Roman" w:eastAsia="Times New Roman" w:cs="Times New Roman"/>
                <w:spacing w:val="16"/>
                <w:w w:val="101"/>
              </w:rPr>
              <w:t xml:space="preserve"> </w:t>
            </w:r>
            <w:r>
              <w:rPr>
                <w:spacing w:val="7"/>
              </w:rPr>
              <w:t>部分：氯化物的测定</w:t>
            </w:r>
            <w:r>
              <w:rPr>
                <w:spacing w:val="7"/>
              </w:rPr>
              <w:t xml:space="preserve"> </w:t>
            </w:r>
            <w:r>
              <w:rPr>
                <w:spacing w:val="7"/>
              </w:rPr>
              <w:t>银量滴定法</w:t>
            </w:r>
          </w:p>
          <w:p>
            <w:pPr>
              <w:ind w:left="2293"/>
              <w:spacing w:before="9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DZ</w:t>
            </w:r>
            <w:r>
              <w:rPr>
                <w:rFonts w:ascii="Times New Roman" w:hAnsi="Times New Roman" w:eastAsia="Times New Roman" w:cs="Times New Roman"/>
                <w:sz w:val="20"/>
                <w:szCs w:val="20"/>
                <w:spacing w:val="4"/>
              </w:rPr>
              <w:t>/T 0064.50-2021</w:t>
            </w:r>
          </w:p>
        </w:tc>
        <w:tc>
          <w:tcPr>
            <w:tcW w:w="1428" w:type="dxa"/>
            <w:vAlign w:val="top"/>
          </w:tcPr>
          <w:p>
            <w:pPr>
              <w:ind w:left="360"/>
              <w:spacing w:before="24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3.0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4"/>
              </w:rPr>
              <w:t>/L</w:t>
            </w:r>
          </w:p>
        </w:tc>
      </w:tr>
      <w:tr>
        <w:trPr>
          <w:trHeight w:val="345" w:hRule="atLeast"/>
        </w:trPr>
        <w:tc>
          <w:tcPr>
            <w:tcW w:w="596" w:type="dxa"/>
            <w:vAlign w:val="top"/>
          </w:tcPr>
          <w:p>
            <w:pPr>
              <w:ind w:left="215"/>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1498" w:type="dxa"/>
            <w:vAlign w:val="top"/>
          </w:tcPr>
          <w:p>
            <w:pPr>
              <w:pStyle w:val="TableText"/>
              <w:ind w:left="655"/>
              <w:spacing w:before="70" w:line="232" w:lineRule="auto"/>
              <w:rPr/>
            </w:pPr>
            <w:r>
              <w:rPr/>
              <w:t>铁</w:t>
            </w:r>
          </w:p>
        </w:tc>
        <w:tc>
          <w:tcPr>
            <w:tcW w:w="6274" w:type="dxa"/>
            <w:vAlign w:val="top"/>
          </w:tcPr>
          <w:p>
            <w:pPr>
              <w:pStyle w:val="TableText"/>
              <w:ind w:left="135"/>
              <w:spacing w:before="70" w:line="229" w:lineRule="auto"/>
              <w:rPr>
                <w:rFonts w:ascii="Times New Roman" w:hAnsi="Times New Roman" w:eastAsia="Times New Roman" w:cs="Times New Roman"/>
              </w:rPr>
            </w:pPr>
            <w:r>
              <w:rPr>
                <w:spacing w:val="6"/>
              </w:rPr>
              <w:t>水质</w:t>
            </w:r>
            <w:r>
              <w:rPr>
                <w:spacing w:val="6"/>
              </w:rPr>
              <w:t xml:space="preserve"> </w:t>
            </w:r>
            <w:r>
              <w:rPr>
                <w:rFonts w:ascii="Times New Roman" w:hAnsi="Times New Roman" w:eastAsia="Times New Roman" w:cs="Times New Roman"/>
                <w:spacing w:val="6"/>
              </w:rPr>
              <w:t>32</w:t>
            </w:r>
            <w:r>
              <w:rPr>
                <w:rFonts w:ascii="Times New Roman" w:hAnsi="Times New Roman" w:eastAsia="Times New Roman" w:cs="Times New Roman"/>
                <w:spacing w:val="23"/>
              </w:rPr>
              <w:t xml:space="preserve"> </w:t>
            </w:r>
            <w:r>
              <w:rPr>
                <w:spacing w:val="6"/>
              </w:rPr>
              <w:t>种元素的测定</w:t>
            </w:r>
            <w:r>
              <w:rPr>
                <w:spacing w:val="42"/>
              </w:rPr>
              <w:t xml:space="preserve"> </w:t>
            </w:r>
            <w:r>
              <w:rPr>
                <w:spacing w:val="6"/>
              </w:rPr>
              <w:t>电感耦合等离子体发射光谱法</w:t>
            </w:r>
            <w:r>
              <w:rPr>
                <w:spacing w:val="-41"/>
              </w:rPr>
              <w:t xml:space="preserve"> </w:t>
            </w:r>
            <w:r>
              <w:rPr>
                <w:rFonts w:ascii="Times New Roman" w:hAnsi="Times New Roman" w:eastAsia="Times New Roman" w:cs="Times New Roman"/>
              </w:rPr>
              <w:t>HJ</w:t>
            </w:r>
            <w:r>
              <w:rPr>
                <w:rFonts w:ascii="Times New Roman" w:hAnsi="Times New Roman" w:eastAsia="Times New Roman" w:cs="Times New Roman"/>
                <w:spacing w:val="6"/>
              </w:rPr>
              <w:t xml:space="preserve"> 776-2015</w:t>
            </w:r>
          </w:p>
        </w:tc>
        <w:tc>
          <w:tcPr>
            <w:tcW w:w="1428" w:type="dxa"/>
            <w:vAlign w:val="top"/>
          </w:tcPr>
          <w:p>
            <w:pPr>
              <w:ind w:left="307"/>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0.02</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/L</w:t>
            </w:r>
          </w:p>
        </w:tc>
      </w:tr>
      <w:tr>
        <w:trPr>
          <w:trHeight w:val="345" w:hRule="atLeast"/>
        </w:trPr>
        <w:tc>
          <w:tcPr>
            <w:tcW w:w="596" w:type="dxa"/>
            <w:vAlign w:val="top"/>
          </w:tcPr>
          <w:p>
            <w:pPr>
              <w:ind w:left="215"/>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11</w:t>
            </w:r>
          </w:p>
        </w:tc>
        <w:tc>
          <w:tcPr>
            <w:tcW w:w="1498" w:type="dxa"/>
            <w:vAlign w:val="top"/>
          </w:tcPr>
          <w:p>
            <w:pPr>
              <w:pStyle w:val="TableText"/>
              <w:ind w:left="652"/>
              <w:spacing w:before="71" w:line="239" w:lineRule="auto"/>
              <w:rPr/>
            </w:pPr>
            <w:r>
              <w:rPr/>
              <w:t>锰</w:t>
            </w:r>
          </w:p>
        </w:tc>
        <w:tc>
          <w:tcPr>
            <w:tcW w:w="6274" w:type="dxa"/>
            <w:vAlign w:val="top"/>
          </w:tcPr>
          <w:p>
            <w:pPr>
              <w:pStyle w:val="TableText"/>
              <w:ind w:left="135"/>
              <w:spacing w:before="71" w:line="229" w:lineRule="auto"/>
              <w:rPr>
                <w:rFonts w:ascii="Times New Roman" w:hAnsi="Times New Roman" w:eastAsia="Times New Roman" w:cs="Times New Roman"/>
              </w:rPr>
            </w:pPr>
            <w:r>
              <w:rPr>
                <w:spacing w:val="6"/>
              </w:rPr>
              <w:t>水质</w:t>
            </w:r>
            <w:r>
              <w:rPr>
                <w:spacing w:val="6"/>
              </w:rPr>
              <w:t xml:space="preserve"> </w:t>
            </w:r>
            <w:r>
              <w:rPr>
                <w:rFonts w:ascii="Times New Roman" w:hAnsi="Times New Roman" w:eastAsia="Times New Roman" w:cs="Times New Roman"/>
                <w:spacing w:val="6"/>
              </w:rPr>
              <w:t>32</w:t>
            </w:r>
            <w:r>
              <w:rPr>
                <w:rFonts w:ascii="Times New Roman" w:hAnsi="Times New Roman" w:eastAsia="Times New Roman" w:cs="Times New Roman"/>
                <w:spacing w:val="23"/>
              </w:rPr>
              <w:t xml:space="preserve"> </w:t>
            </w:r>
            <w:r>
              <w:rPr>
                <w:spacing w:val="6"/>
              </w:rPr>
              <w:t>种元素的测定</w:t>
            </w:r>
            <w:r>
              <w:rPr>
                <w:spacing w:val="42"/>
              </w:rPr>
              <w:t xml:space="preserve"> </w:t>
            </w:r>
            <w:r>
              <w:rPr>
                <w:spacing w:val="6"/>
              </w:rPr>
              <w:t>电感耦合等离子体发射光谱法</w:t>
            </w:r>
            <w:r>
              <w:rPr>
                <w:spacing w:val="-41"/>
              </w:rPr>
              <w:t xml:space="preserve"> </w:t>
            </w:r>
            <w:r>
              <w:rPr>
                <w:rFonts w:ascii="Times New Roman" w:hAnsi="Times New Roman" w:eastAsia="Times New Roman" w:cs="Times New Roman"/>
              </w:rPr>
              <w:t>HJ</w:t>
            </w:r>
            <w:r>
              <w:rPr>
                <w:rFonts w:ascii="Times New Roman" w:hAnsi="Times New Roman" w:eastAsia="Times New Roman" w:cs="Times New Roman"/>
                <w:spacing w:val="6"/>
              </w:rPr>
              <w:t xml:space="preserve"> 776-2015</w:t>
            </w:r>
          </w:p>
        </w:tc>
        <w:tc>
          <w:tcPr>
            <w:tcW w:w="1428" w:type="dxa"/>
            <w:vAlign w:val="top"/>
          </w:tcPr>
          <w:p>
            <w:pPr>
              <w:ind w:left="254"/>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0.004</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4"/>
              </w:rPr>
              <w:t>/L</w:t>
            </w:r>
          </w:p>
        </w:tc>
      </w:tr>
      <w:tr>
        <w:trPr>
          <w:trHeight w:val="345" w:hRule="atLeast"/>
        </w:trPr>
        <w:tc>
          <w:tcPr>
            <w:tcW w:w="596" w:type="dxa"/>
            <w:vAlign w:val="top"/>
          </w:tcPr>
          <w:p>
            <w:pPr>
              <w:ind w:left="215"/>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1498" w:type="dxa"/>
            <w:vAlign w:val="top"/>
          </w:tcPr>
          <w:p>
            <w:pPr>
              <w:pStyle w:val="TableText"/>
              <w:ind w:left="654"/>
              <w:spacing w:before="70" w:line="232" w:lineRule="auto"/>
              <w:rPr/>
            </w:pPr>
            <w:r>
              <w:rPr/>
              <w:t>铜</w:t>
            </w:r>
          </w:p>
        </w:tc>
        <w:tc>
          <w:tcPr>
            <w:tcW w:w="6274" w:type="dxa"/>
            <w:vAlign w:val="top"/>
          </w:tcPr>
          <w:p>
            <w:pPr>
              <w:pStyle w:val="TableText"/>
              <w:ind w:left="135"/>
              <w:spacing w:before="71" w:line="229" w:lineRule="auto"/>
              <w:rPr>
                <w:rFonts w:ascii="Times New Roman" w:hAnsi="Times New Roman" w:eastAsia="Times New Roman" w:cs="Times New Roman"/>
              </w:rPr>
            </w:pPr>
            <w:r>
              <w:rPr>
                <w:spacing w:val="6"/>
              </w:rPr>
              <w:t>水质</w:t>
            </w:r>
            <w:r>
              <w:rPr>
                <w:spacing w:val="6"/>
              </w:rPr>
              <w:t xml:space="preserve"> </w:t>
            </w:r>
            <w:r>
              <w:rPr>
                <w:rFonts w:ascii="Times New Roman" w:hAnsi="Times New Roman" w:eastAsia="Times New Roman" w:cs="Times New Roman"/>
                <w:spacing w:val="6"/>
              </w:rPr>
              <w:t>32</w:t>
            </w:r>
            <w:r>
              <w:rPr>
                <w:rFonts w:ascii="Times New Roman" w:hAnsi="Times New Roman" w:eastAsia="Times New Roman" w:cs="Times New Roman"/>
                <w:spacing w:val="23"/>
              </w:rPr>
              <w:t xml:space="preserve"> </w:t>
            </w:r>
            <w:r>
              <w:rPr>
                <w:spacing w:val="6"/>
              </w:rPr>
              <w:t>种元素的测定</w:t>
            </w:r>
            <w:r>
              <w:rPr>
                <w:spacing w:val="42"/>
              </w:rPr>
              <w:t xml:space="preserve"> </w:t>
            </w:r>
            <w:r>
              <w:rPr>
                <w:spacing w:val="6"/>
              </w:rPr>
              <w:t>电感耦合等离子体发射光谱法</w:t>
            </w:r>
            <w:r>
              <w:rPr>
                <w:spacing w:val="-41"/>
              </w:rPr>
              <w:t xml:space="preserve"> </w:t>
            </w:r>
            <w:r>
              <w:rPr>
                <w:rFonts w:ascii="Times New Roman" w:hAnsi="Times New Roman" w:eastAsia="Times New Roman" w:cs="Times New Roman"/>
              </w:rPr>
              <w:t>HJ</w:t>
            </w:r>
            <w:r>
              <w:rPr>
                <w:rFonts w:ascii="Times New Roman" w:hAnsi="Times New Roman" w:eastAsia="Times New Roman" w:cs="Times New Roman"/>
                <w:spacing w:val="6"/>
              </w:rPr>
              <w:t xml:space="preserve"> 776-2015</w:t>
            </w:r>
          </w:p>
        </w:tc>
        <w:tc>
          <w:tcPr>
            <w:tcW w:w="1428" w:type="dxa"/>
            <w:vAlign w:val="top"/>
          </w:tcPr>
          <w:p>
            <w:pPr>
              <w:ind w:left="254"/>
              <w:spacing w:before="10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0.006</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4"/>
              </w:rPr>
              <w:t>/L</w:t>
            </w:r>
          </w:p>
        </w:tc>
      </w:tr>
      <w:tr>
        <w:trPr>
          <w:trHeight w:val="345" w:hRule="atLeast"/>
        </w:trPr>
        <w:tc>
          <w:tcPr>
            <w:tcW w:w="596" w:type="dxa"/>
            <w:vAlign w:val="top"/>
          </w:tcPr>
          <w:p>
            <w:pPr>
              <w:ind w:left="215"/>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c>
          <w:tcPr>
            <w:tcW w:w="1498" w:type="dxa"/>
            <w:vAlign w:val="top"/>
          </w:tcPr>
          <w:p>
            <w:pPr>
              <w:pStyle w:val="TableText"/>
              <w:ind w:left="652"/>
              <w:spacing w:before="69" w:line="231" w:lineRule="auto"/>
              <w:rPr/>
            </w:pPr>
            <w:r>
              <w:rPr/>
              <w:t>锌</w:t>
            </w:r>
          </w:p>
        </w:tc>
        <w:tc>
          <w:tcPr>
            <w:tcW w:w="6274" w:type="dxa"/>
            <w:vAlign w:val="top"/>
          </w:tcPr>
          <w:p>
            <w:pPr>
              <w:pStyle w:val="TableText"/>
              <w:ind w:left="135"/>
              <w:spacing w:before="69" w:line="229" w:lineRule="auto"/>
              <w:rPr>
                <w:rFonts w:ascii="Times New Roman" w:hAnsi="Times New Roman" w:eastAsia="Times New Roman" w:cs="Times New Roman"/>
              </w:rPr>
            </w:pPr>
            <w:r>
              <w:rPr>
                <w:spacing w:val="6"/>
              </w:rPr>
              <w:t>水质</w:t>
            </w:r>
            <w:r>
              <w:rPr>
                <w:spacing w:val="6"/>
              </w:rPr>
              <w:t xml:space="preserve"> </w:t>
            </w:r>
            <w:r>
              <w:rPr>
                <w:rFonts w:ascii="Times New Roman" w:hAnsi="Times New Roman" w:eastAsia="Times New Roman" w:cs="Times New Roman"/>
                <w:spacing w:val="6"/>
              </w:rPr>
              <w:t>32</w:t>
            </w:r>
            <w:r>
              <w:rPr>
                <w:rFonts w:ascii="Times New Roman" w:hAnsi="Times New Roman" w:eastAsia="Times New Roman" w:cs="Times New Roman"/>
                <w:spacing w:val="23"/>
              </w:rPr>
              <w:t xml:space="preserve"> </w:t>
            </w:r>
            <w:r>
              <w:rPr>
                <w:spacing w:val="6"/>
              </w:rPr>
              <w:t>种元素的测定</w:t>
            </w:r>
            <w:r>
              <w:rPr>
                <w:spacing w:val="42"/>
              </w:rPr>
              <w:t xml:space="preserve"> </w:t>
            </w:r>
            <w:r>
              <w:rPr>
                <w:spacing w:val="6"/>
              </w:rPr>
              <w:t>电感耦合等离子体发射光谱法</w:t>
            </w:r>
            <w:r>
              <w:rPr>
                <w:spacing w:val="-41"/>
              </w:rPr>
              <w:t xml:space="preserve"> </w:t>
            </w:r>
            <w:r>
              <w:rPr>
                <w:rFonts w:ascii="Times New Roman" w:hAnsi="Times New Roman" w:eastAsia="Times New Roman" w:cs="Times New Roman"/>
              </w:rPr>
              <w:t>HJ</w:t>
            </w:r>
            <w:r>
              <w:rPr>
                <w:rFonts w:ascii="Times New Roman" w:hAnsi="Times New Roman" w:eastAsia="Times New Roman" w:cs="Times New Roman"/>
                <w:spacing w:val="6"/>
              </w:rPr>
              <w:t xml:space="preserve"> 776-2015</w:t>
            </w:r>
          </w:p>
        </w:tc>
        <w:tc>
          <w:tcPr>
            <w:tcW w:w="1428" w:type="dxa"/>
            <w:vAlign w:val="top"/>
          </w:tcPr>
          <w:p>
            <w:pPr>
              <w:ind w:left="254"/>
              <w:spacing w:before="10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0.004</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4"/>
              </w:rPr>
              <w:t>/L</w:t>
            </w:r>
          </w:p>
        </w:tc>
      </w:tr>
      <w:tr>
        <w:trPr>
          <w:trHeight w:val="345" w:hRule="atLeast"/>
        </w:trPr>
        <w:tc>
          <w:tcPr>
            <w:tcW w:w="596" w:type="dxa"/>
            <w:vAlign w:val="top"/>
          </w:tcPr>
          <w:p>
            <w:pPr>
              <w:ind w:left="215"/>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14</w:t>
            </w:r>
          </w:p>
        </w:tc>
        <w:tc>
          <w:tcPr>
            <w:tcW w:w="1498" w:type="dxa"/>
            <w:vAlign w:val="top"/>
          </w:tcPr>
          <w:p>
            <w:pPr>
              <w:pStyle w:val="TableText"/>
              <w:ind w:left="653"/>
              <w:spacing w:before="69" w:line="233" w:lineRule="auto"/>
              <w:rPr/>
            </w:pPr>
            <w:r>
              <w:rPr/>
              <w:t>铝</w:t>
            </w:r>
          </w:p>
        </w:tc>
        <w:tc>
          <w:tcPr>
            <w:tcW w:w="6274" w:type="dxa"/>
            <w:vAlign w:val="top"/>
          </w:tcPr>
          <w:p>
            <w:pPr>
              <w:pStyle w:val="TableText"/>
              <w:ind w:left="135"/>
              <w:spacing w:before="70" w:line="229" w:lineRule="auto"/>
              <w:rPr>
                <w:rFonts w:ascii="Times New Roman" w:hAnsi="Times New Roman" w:eastAsia="Times New Roman" w:cs="Times New Roman"/>
              </w:rPr>
            </w:pPr>
            <w:r>
              <w:rPr>
                <w:spacing w:val="6"/>
              </w:rPr>
              <w:t>水质</w:t>
            </w:r>
            <w:r>
              <w:rPr>
                <w:spacing w:val="6"/>
              </w:rPr>
              <w:t xml:space="preserve"> </w:t>
            </w:r>
            <w:r>
              <w:rPr>
                <w:rFonts w:ascii="Times New Roman" w:hAnsi="Times New Roman" w:eastAsia="Times New Roman" w:cs="Times New Roman"/>
                <w:spacing w:val="6"/>
              </w:rPr>
              <w:t>32</w:t>
            </w:r>
            <w:r>
              <w:rPr>
                <w:rFonts w:ascii="Times New Roman" w:hAnsi="Times New Roman" w:eastAsia="Times New Roman" w:cs="Times New Roman"/>
                <w:spacing w:val="23"/>
              </w:rPr>
              <w:t xml:space="preserve"> </w:t>
            </w:r>
            <w:r>
              <w:rPr>
                <w:spacing w:val="6"/>
              </w:rPr>
              <w:t>种元素的测定</w:t>
            </w:r>
            <w:r>
              <w:rPr>
                <w:spacing w:val="42"/>
              </w:rPr>
              <w:t xml:space="preserve"> </w:t>
            </w:r>
            <w:r>
              <w:rPr>
                <w:spacing w:val="6"/>
              </w:rPr>
              <w:t>电感耦合等离子体发射光谱法</w:t>
            </w:r>
            <w:r>
              <w:rPr>
                <w:spacing w:val="-41"/>
              </w:rPr>
              <w:t xml:space="preserve"> </w:t>
            </w:r>
            <w:r>
              <w:rPr>
                <w:rFonts w:ascii="Times New Roman" w:hAnsi="Times New Roman" w:eastAsia="Times New Roman" w:cs="Times New Roman"/>
              </w:rPr>
              <w:t>HJ</w:t>
            </w:r>
            <w:r>
              <w:rPr>
                <w:rFonts w:ascii="Times New Roman" w:hAnsi="Times New Roman" w:eastAsia="Times New Roman" w:cs="Times New Roman"/>
                <w:spacing w:val="6"/>
              </w:rPr>
              <w:t xml:space="preserve"> 776-2015</w:t>
            </w:r>
          </w:p>
        </w:tc>
        <w:tc>
          <w:tcPr>
            <w:tcW w:w="1428" w:type="dxa"/>
            <w:vAlign w:val="top"/>
          </w:tcPr>
          <w:p>
            <w:pPr>
              <w:ind w:left="307"/>
              <w:spacing w:before="10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0.07</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/L</w:t>
            </w:r>
          </w:p>
        </w:tc>
      </w:tr>
      <w:tr>
        <w:trPr>
          <w:trHeight w:val="345" w:hRule="atLeast"/>
        </w:trPr>
        <w:tc>
          <w:tcPr>
            <w:tcW w:w="596" w:type="dxa"/>
            <w:vAlign w:val="top"/>
          </w:tcPr>
          <w:p>
            <w:pPr>
              <w:ind w:left="215"/>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1498" w:type="dxa"/>
            <w:vAlign w:val="top"/>
          </w:tcPr>
          <w:p>
            <w:pPr>
              <w:pStyle w:val="TableText"/>
              <w:ind w:left="445"/>
              <w:spacing w:before="69" w:line="231" w:lineRule="auto"/>
              <w:rPr/>
            </w:pPr>
            <w:r>
              <w:rPr>
                <w:spacing w:val="4"/>
              </w:rPr>
              <w:t>挥发酚</w:t>
            </w:r>
          </w:p>
        </w:tc>
        <w:tc>
          <w:tcPr>
            <w:tcW w:w="6274" w:type="dxa"/>
            <w:vAlign w:val="top"/>
          </w:tcPr>
          <w:p>
            <w:pPr>
              <w:pStyle w:val="TableText"/>
              <w:ind w:left="389"/>
              <w:spacing w:before="69" w:line="231" w:lineRule="auto"/>
              <w:rPr>
                <w:rFonts w:ascii="Times New Roman" w:hAnsi="Times New Roman" w:eastAsia="Times New Roman" w:cs="Times New Roman"/>
              </w:rPr>
            </w:pPr>
            <w:r>
              <w:rPr>
                <w:spacing w:val="7"/>
              </w:rPr>
              <w:t>水质</w:t>
            </w:r>
            <w:r>
              <w:rPr>
                <w:spacing w:val="7"/>
              </w:rPr>
              <w:t xml:space="preserve"> </w:t>
            </w:r>
            <w:r>
              <w:rPr>
                <w:spacing w:val="7"/>
              </w:rPr>
              <w:t>挥发酚的测定</w:t>
            </w:r>
            <w:r>
              <w:rPr>
                <w:spacing w:val="7"/>
              </w:rPr>
              <w:t xml:space="preserve"> </w:t>
            </w:r>
            <w:r>
              <w:rPr>
                <w:rFonts w:ascii="Times New Roman" w:hAnsi="Times New Roman" w:eastAsia="Times New Roman" w:cs="Times New Roman"/>
                <w:spacing w:val="7"/>
              </w:rPr>
              <w:t>4-</w:t>
            </w:r>
            <w:r>
              <w:rPr>
                <w:spacing w:val="7"/>
              </w:rPr>
              <w:t>氨基安替比林分光光度法</w:t>
            </w:r>
            <w:r>
              <w:rPr>
                <w:spacing w:val="-28"/>
              </w:rPr>
              <w:t xml:space="preserve"> </w:t>
            </w:r>
            <w:r>
              <w:rPr>
                <w:rFonts w:ascii="Times New Roman" w:hAnsi="Times New Roman" w:eastAsia="Times New Roman" w:cs="Times New Roman"/>
              </w:rPr>
              <w:t>HJ</w:t>
            </w:r>
            <w:r>
              <w:rPr>
                <w:rFonts w:ascii="Times New Roman" w:hAnsi="Times New Roman" w:eastAsia="Times New Roman" w:cs="Times New Roman"/>
                <w:spacing w:val="7"/>
              </w:rPr>
              <w:t xml:space="preserve"> 503-2009</w:t>
            </w:r>
          </w:p>
        </w:tc>
        <w:tc>
          <w:tcPr>
            <w:tcW w:w="1428" w:type="dxa"/>
            <w:vAlign w:val="top"/>
          </w:tcPr>
          <w:p>
            <w:pPr>
              <w:ind w:left="203"/>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0.0003</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4"/>
              </w:rPr>
              <w:t>/L</w:t>
            </w:r>
          </w:p>
        </w:tc>
      </w:tr>
      <w:tr>
        <w:trPr>
          <w:trHeight w:val="629" w:hRule="atLeast"/>
        </w:trPr>
        <w:tc>
          <w:tcPr>
            <w:tcW w:w="596" w:type="dxa"/>
            <w:vAlign w:val="top"/>
          </w:tcPr>
          <w:p>
            <w:pPr>
              <w:ind w:left="215"/>
              <w:spacing w:before="2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16</w:t>
            </w:r>
          </w:p>
        </w:tc>
        <w:tc>
          <w:tcPr>
            <w:tcW w:w="1498" w:type="dxa"/>
            <w:vAlign w:val="top"/>
          </w:tcPr>
          <w:p>
            <w:pPr>
              <w:pStyle w:val="TableText"/>
              <w:ind w:left="143"/>
              <w:spacing w:before="55" w:line="231" w:lineRule="auto"/>
              <w:rPr/>
            </w:pPr>
            <w:r>
              <w:rPr>
                <w:spacing w:val="4"/>
              </w:rPr>
              <w:t>阴离子表面活</w:t>
            </w:r>
          </w:p>
          <w:p>
            <w:pPr>
              <w:pStyle w:val="TableText"/>
              <w:ind w:left="552"/>
              <w:spacing w:before="61" w:line="229" w:lineRule="auto"/>
              <w:rPr/>
            </w:pPr>
            <w:r>
              <w:rPr/>
              <w:t>性剂</w:t>
            </w:r>
          </w:p>
        </w:tc>
        <w:tc>
          <w:tcPr>
            <w:tcW w:w="6274" w:type="dxa"/>
            <w:vAlign w:val="top"/>
          </w:tcPr>
          <w:p>
            <w:pPr>
              <w:pStyle w:val="TableText"/>
              <w:ind w:left="92"/>
              <w:spacing w:before="211" w:line="229" w:lineRule="auto"/>
              <w:rPr>
                <w:rFonts w:ascii="Times New Roman" w:hAnsi="Times New Roman" w:eastAsia="Times New Roman" w:cs="Times New Roman"/>
              </w:rPr>
            </w:pPr>
            <w:r>
              <w:rPr>
                <w:spacing w:val="6"/>
              </w:rPr>
              <w:t>水质</w:t>
            </w:r>
            <w:r>
              <w:rPr>
                <w:spacing w:val="52"/>
              </w:rPr>
              <w:t xml:space="preserve"> </w:t>
            </w:r>
            <w:r>
              <w:rPr>
                <w:spacing w:val="6"/>
              </w:rPr>
              <w:t>阴离子表面活性剂的测定</w:t>
            </w:r>
            <w:r>
              <w:rPr>
                <w:spacing w:val="6"/>
              </w:rPr>
              <w:t xml:space="preserve"> </w:t>
            </w:r>
            <w:r>
              <w:rPr>
                <w:spacing w:val="6"/>
              </w:rPr>
              <w:t>亚甲蓝分光光度法</w:t>
            </w:r>
            <w:r>
              <w:rPr>
                <w:spacing w:val="-40"/>
              </w:rPr>
              <w:t xml:space="preserve"> </w:t>
            </w:r>
            <w:r>
              <w:rPr>
                <w:rFonts w:ascii="Times New Roman" w:hAnsi="Times New Roman" w:eastAsia="Times New Roman" w:cs="Times New Roman"/>
              </w:rPr>
              <w:t>GB</w:t>
            </w:r>
            <w:r>
              <w:rPr>
                <w:rFonts w:ascii="Times New Roman" w:hAnsi="Times New Roman" w:eastAsia="Times New Roman" w:cs="Times New Roman"/>
                <w:spacing w:val="6"/>
              </w:rPr>
              <w:t>/T</w:t>
            </w:r>
            <w:r>
              <w:rPr>
                <w:rFonts w:ascii="Times New Roman" w:hAnsi="Times New Roman" w:eastAsia="Times New Roman" w:cs="Times New Roman"/>
                <w:spacing w:val="15"/>
              </w:rPr>
              <w:t xml:space="preserve"> </w:t>
            </w:r>
            <w:r>
              <w:rPr>
                <w:rFonts w:ascii="Times New Roman" w:hAnsi="Times New Roman" w:eastAsia="Times New Roman" w:cs="Times New Roman"/>
                <w:spacing w:val="6"/>
              </w:rPr>
              <w:t>7494-1987</w:t>
            </w:r>
          </w:p>
        </w:tc>
        <w:tc>
          <w:tcPr>
            <w:tcW w:w="1428" w:type="dxa"/>
            <w:vAlign w:val="top"/>
          </w:tcPr>
          <w:p>
            <w:pPr>
              <w:ind w:left="307"/>
              <w:spacing w:before="244"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0.05</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/L</w:t>
            </w:r>
          </w:p>
        </w:tc>
      </w:tr>
      <w:tr>
        <w:trPr>
          <w:trHeight w:val="347" w:hRule="atLeast"/>
        </w:trPr>
        <w:tc>
          <w:tcPr>
            <w:tcW w:w="596" w:type="dxa"/>
            <w:vAlign w:val="top"/>
          </w:tcPr>
          <w:p>
            <w:pPr>
              <w:ind w:left="215"/>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17</w:t>
            </w:r>
          </w:p>
        </w:tc>
        <w:tc>
          <w:tcPr>
            <w:tcW w:w="1498" w:type="dxa"/>
            <w:vAlign w:val="top"/>
          </w:tcPr>
          <w:p>
            <w:pPr>
              <w:pStyle w:val="TableText"/>
              <w:ind w:left="136"/>
              <w:spacing w:before="69" w:line="232" w:lineRule="auto"/>
              <w:rPr/>
            </w:pPr>
            <w:r>
              <w:rPr>
                <w:spacing w:val="6"/>
              </w:rPr>
              <w:t>高锰酸盐指数</w:t>
            </w:r>
          </w:p>
        </w:tc>
        <w:tc>
          <w:tcPr>
            <w:tcW w:w="6274" w:type="dxa"/>
            <w:vAlign w:val="top"/>
          </w:tcPr>
          <w:p>
            <w:pPr>
              <w:pStyle w:val="TableText"/>
              <w:ind w:left="1121"/>
              <w:spacing w:before="69" w:line="232" w:lineRule="auto"/>
              <w:rPr>
                <w:rFonts w:ascii="Times New Roman" w:hAnsi="Times New Roman" w:eastAsia="Times New Roman" w:cs="Times New Roman"/>
              </w:rPr>
            </w:pPr>
            <w:r>
              <w:rPr>
                <w:spacing w:val="5"/>
              </w:rPr>
              <w:t>水质</w:t>
            </w:r>
            <w:r>
              <w:rPr>
                <w:spacing w:val="5"/>
              </w:rPr>
              <w:t xml:space="preserve"> </w:t>
            </w:r>
            <w:r>
              <w:rPr>
                <w:spacing w:val="5"/>
              </w:rPr>
              <w:t>高锰酸盐指数的测定</w:t>
            </w:r>
            <w:r>
              <w:rPr>
                <w:spacing w:val="21"/>
              </w:rPr>
              <w:t xml:space="preserve"> </w:t>
            </w:r>
            <w:r>
              <w:rPr>
                <w:rFonts w:ascii="Times New Roman" w:hAnsi="Times New Roman" w:eastAsia="Times New Roman" w:cs="Times New Roman"/>
              </w:rPr>
              <w:t>GB</w:t>
            </w:r>
            <w:r>
              <w:rPr>
                <w:rFonts w:ascii="Times New Roman" w:hAnsi="Times New Roman" w:eastAsia="Times New Roman" w:cs="Times New Roman"/>
                <w:spacing w:val="5"/>
              </w:rPr>
              <w:t>/T</w:t>
            </w:r>
            <w:r>
              <w:rPr>
                <w:rFonts w:ascii="Times New Roman" w:hAnsi="Times New Roman" w:eastAsia="Times New Roman" w:cs="Times New Roman"/>
                <w:spacing w:val="25"/>
              </w:rPr>
              <w:t xml:space="preserve"> </w:t>
            </w:r>
            <w:r>
              <w:rPr>
                <w:rFonts w:ascii="Times New Roman" w:hAnsi="Times New Roman" w:eastAsia="Times New Roman" w:cs="Times New Roman"/>
                <w:spacing w:val="5"/>
              </w:rPr>
              <w:t>11892-1989</w:t>
            </w:r>
          </w:p>
        </w:tc>
        <w:tc>
          <w:tcPr>
            <w:tcW w:w="1428" w:type="dxa"/>
            <w:vAlign w:val="top"/>
          </w:tcPr>
          <w:p>
            <w:pPr>
              <w:ind w:left="359"/>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0.5</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4"/>
              </w:rPr>
              <w:t>/L</w:t>
            </w:r>
          </w:p>
        </w:tc>
      </w:tr>
    </w:tbl>
    <w:p>
      <w:pPr>
        <w:rPr>
          <w:rFonts w:ascii="Arial"/>
          <w:sz w:val="21"/>
        </w:rPr>
      </w:pPr>
      <w:r/>
    </w:p>
    <w:p>
      <w:pPr>
        <w:sectPr>
          <w:footerReference w:type="default" r:id="rId142"/>
          <w:pgSz w:w="11906" w:h="16839"/>
          <w:pgMar w:top="1139" w:right="968" w:bottom="1252" w:left="967" w:header="831" w:footer="1090" w:gutter="0"/>
        </w:sectPr>
        <w:rPr>
          <w:rFonts w:ascii="Arial" w:hAnsi="Arial" w:eastAsia="Arial" w:cs="Arial"/>
          <w:sz w:val="21"/>
          <w:szCs w:val="21"/>
        </w:rPr>
      </w:pPr>
    </w:p>
    <w:p>
      <w:pPr>
        <w:spacing w:before="58"/>
        <w:rPr/>
      </w:pPr>
      <w:r/>
    </w:p>
    <w:tbl>
      <w:tblPr>
        <w:tblStyle w:val="TableNormal"/>
        <w:tblW w:w="979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6"/>
        <w:gridCol w:w="1498"/>
        <w:gridCol w:w="6274"/>
        <w:gridCol w:w="1428"/>
      </w:tblGrid>
      <w:tr>
        <w:trPr>
          <w:trHeight w:val="349" w:hRule="atLeast"/>
        </w:trPr>
        <w:tc>
          <w:tcPr>
            <w:tcW w:w="596" w:type="dxa"/>
            <w:vAlign w:val="top"/>
          </w:tcPr>
          <w:p>
            <w:pPr>
              <w:pStyle w:val="TableText"/>
              <w:ind w:left="98"/>
              <w:spacing w:before="70" w:line="231" w:lineRule="auto"/>
              <w:rPr/>
            </w:pPr>
            <w:r>
              <w:rPr>
                <w:b/>
                <w:bCs/>
                <w:spacing w:val="1"/>
              </w:rPr>
              <w:t>序号</w:t>
            </w:r>
          </w:p>
        </w:tc>
        <w:tc>
          <w:tcPr>
            <w:tcW w:w="1498" w:type="dxa"/>
            <w:vAlign w:val="top"/>
          </w:tcPr>
          <w:p>
            <w:pPr>
              <w:pStyle w:val="TableText"/>
              <w:ind w:left="547"/>
              <w:spacing w:before="71" w:line="232" w:lineRule="auto"/>
              <w:rPr/>
            </w:pPr>
            <w:r>
              <w:rPr>
                <w:b/>
                <w:bCs/>
              </w:rPr>
              <w:t>项目</w:t>
            </w:r>
          </w:p>
        </w:tc>
        <w:tc>
          <w:tcPr>
            <w:tcW w:w="6274" w:type="dxa"/>
            <w:vAlign w:val="top"/>
          </w:tcPr>
          <w:p>
            <w:pPr>
              <w:pStyle w:val="TableText"/>
              <w:ind w:left="2096"/>
              <w:spacing w:before="70" w:line="229" w:lineRule="auto"/>
              <w:rPr/>
            </w:pPr>
            <w:r>
              <w:rPr>
                <w:b/>
                <w:bCs/>
                <w:spacing w:val="7"/>
              </w:rPr>
              <w:t>检测分析方法及标准号</w:t>
            </w:r>
          </w:p>
        </w:tc>
        <w:tc>
          <w:tcPr>
            <w:tcW w:w="1428" w:type="dxa"/>
            <w:vAlign w:val="top"/>
          </w:tcPr>
          <w:p>
            <w:pPr>
              <w:pStyle w:val="TableText"/>
              <w:ind w:left="411"/>
              <w:spacing w:before="70" w:line="229" w:lineRule="auto"/>
              <w:rPr/>
            </w:pPr>
            <w:r>
              <w:rPr>
                <w:b/>
                <w:bCs/>
                <w:spacing w:val="3"/>
              </w:rPr>
              <w:t>检出限</w:t>
            </w:r>
          </w:p>
        </w:tc>
      </w:tr>
      <w:tr>
        <w:trPr>
          <w:trHeight w:val="345" w:hRule="atLeast"/>
        </w:trPr>
        <w:tc>
          <w:tcPr>
            <w:tcW w:w="596" w:type="dxa"/>
            <w:vAlign w:val="top"/>
          </w:tcPr>
          <w:p>
            <w:pPr>
              <w:ind w:left="215"/>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18</w:t>
            </w:r>
          </w:p>
        </w:tc>
        <w:tc>
          <w:tcPr>
            <w:tcW w:w="1498" w:type="dxa"/>
            <w:vAlign w:val="top"/>
          </w:tcPr>
          <w:p>
            <w:pPr>
              <w:pStyle w:val="TableText"/>
              <w:ind w:left="556"/>
              <w:spacing w:before="67" w:line="232" w:lineRule="auto"/>
              <w:rPr/>
            </w:pPr>
            <w:r>
              <w:rPr>
                <w:spacing w:val="-2"/>
              </w:rPr>
              <w:t>氨氮</w:t>
            </w:r>
          </w:p>
        </w:tc>
        <w:tc>
          <w:tcPr>
            <w:tcW w:w="6274" w:type="dxa"/>
            <w:vAlign w:val="top"/>
          </w:tcPr>
          <w:p>
            <w:pPr>
              <w:pStyle w:val="TableText"/>
              <w:ind w:left="764"/>
              <w:spacing w:before="66" w:line="232" w:lineRule="auto"/>
              <w:rPr>
                <w:rFonts w:ascii="Times New Roman" w:hAnsi="Times New Roman" w:eastAsia="Times New Roman" w:cs="Times New Roman"/>
              </w:rPr>
            </w:pPr>
            <w:r>
              <w:rPr>
                <w:spacing w:val="7"/>
              </w:rPr>
              <w:t>水质</w:t>
            </w:r>
            <w:r>
              <w:rPr>
                <w:spacing w:val="7"/>
              </w:rPr>
              <w:t xml:space="preserve"> </w:t>
            </w:r>
            <w:r>
              <w:rPr>
                <w:spacing w:val="7"/>
              </w:rPr>
              <w:t>氨氮的测定</w:t>
            </w:r>
            <w:r>
              <w:rPr>
                <w:spacing w:val="22"/>
              </w:rPr>
              <w:t xml:space="preserve"> </w:t>
            </w:r>
            <w:r>
              <w:rPr>
                <w:spacing w:val="7"/>
              </w:rPr>
              <w:t>纳氏试剂分光光度法</w:t>
            </w:r>
            <w:r>
              <w:rPr>
                <w:spacing w:val="7"/>
              </w:rPr>
              <w:t xml:space="preserve"> </w:t>
            </w:r>
            <w:r>
              <w:rPr>
                <w:rFonts w:ascii="Times New Roman" w:hAnsi="Times New Roman" w:eastAsia="Times New Roman" w:cs="Times New Roman"/>
              </w:rPr>
              <w:t>HJ</w:t>
            </w:r>
            <w:r>
              <w:rPr>
                <w:rFonts w:ascii="Times New Roman" w:hAnsi="Times New Roman" w:eastAsia="Times New Roman" w:cs="Times New Roman"/>
                <w:spacing w:val="13"/>
              </w:rPr>
              <w:t xml:space="preserve"> </w:t>
            </w:r>
            <w:r>
              <w:rPr>
                <w:rFonts w:ascii="Times New Roman" w:hAnsi="Times New Roman" w:eastAsia="Times New Roman" w:cs="Times New Roman"/>
                <w:spacing w:val="7"/>
              </w:rPr>
              <w:t>535</w:t>
            </w:r>
            <w:r>
              <w:rPr>
                <w:rFonts w:ascii="Times New Roman" w:hAnsi="Times New Roman" w:eastAsia="Times New Roman" w:cs="Times New Roman"/>
                <w:spacing w:val="6"/>
              </w:rPr>
              <w:t>-2009</w:t>
            </w:r>
          </w:p>
        </w:tc>
        <w:tc>
          <w:tcPr>
            <w:tcW w:w="1428" w:type="dxa"/>
            <w:vAlign w:val="top"/>
          </w:tcPr>
          <w:p>
            <w:pPr>
              <w:ind w:left="254"/>
              <w:spacing w:before="99"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0.025</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4"/>
              </w:rPr>
              <w:t>/L</w:t>
            </w:r>
          </w:p>
        </w:tc>
      </w:tr>
      <w:tr>
        <w:trPr>
          <w:trHeight w:val="345" w:hRule="atLeast"/>
        </w:trPr>
        <w:tc>
          <w:tcPr>
            <w:tcW w:w="596" w:type="dxa"/>
            <w:vAlign w:val="top"/>
          </w:tcPr>
          <w:p>
            <w:pPr>
              <w:ind w:left="215"/>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19</w:t>
            </w:r>
          </w:p>
        </w:tc>
        <w:tc>
          <w:tcPr>
            <w:tcW w:w="1498" w:type="dxa"/>
            <w:vAlign w:val="top"/>
          </w:tcPr>
          <w:p>
            <w:pPr>
              <w:pStyle w:val="TableText"/>
              <w:ind w:left="443"/>
              <w:spacing w:before="65" w:line="229" w:lineRule="auto"/>
              <w:rPr/>
            </w:pPr>
            <w:r>
              <w:rPr>
                <w:spacing w:val="5"/>
              </w:rPr>
              <w:t>硫化物</w:t>
            </w:r>
          </w:p>
        </w:tc>
        <w:tc>
          <w:tcPr>
            <w:tcW w:w="6274" w:type="dxa"/>
            <w:vAlign w:val="top"/>
          </w:tcPr>
          <w:p>
            <w:pPr>
              <w:pStyle w:val="TableText"/>
              <w:ind w:left="634"/>
              <w:spacing w:before="65" w:line="229" w:lineRule="auto"/>
              <w:rPr>
                <w:rFonts w:ascii="Times New Roman" w:hAnsi="Times New Roman" w:eastAsia="Times New Roman" w:cs="Times New Roman"/>
              </w:rPr>
            </w:pPr>
            <w:r>
              <w:rPr>
                <w:spacing w:val="7"/>
              </w:rPr>
              <w:t>水质</w:t>
            </w:r>
            <w:r>
              <w:rPr>
                <w:spacing w:val="7"/>
              </w:rPr>
              <w:t xml:space="preserve"> </w:t>
            </w:r>
            <w:r>
              <w:rPr>
                <w:spacing w:val="7"/>
              </w:rPr>
              <w:t>硫化物的测定</w:t>
            </w:r>
            <w:r>
              <w:rPr>
                <w:spacing w:val="7"/>
              </w:rPr>
              <w:t xml:space="preserve"> </w:t>
            </w:r>
            <w:r>
              <w:rPr>
                <w:spacing w:val="7"/>
              </w:rPr>
              <w:t>亚甲基蓝分光光度法</w:t>
            </w:r>
            <w:r>
              <w:rPr>
                <w:spacing w:val="-44"/>
              </w:rPr>
              <w:t xml:space="preserve"> </w:t>
            </w:r>
            <w:r>
              <w:rPr>
                <w:rFonts w:ascii="Times New Roman" w:hAnsi="Times New Roman" w:eastAsia="Times New Roman" w:cs="Times New Roman"/>
              </w:rPr>
              <w:t>HJ</w:t>
            </w:r>
            <w:r>
              <w:rPr>
                <w:rFonts w:ascii="Times New Roman" w:hAnsi="Times New Roman" w:eastAsia="Times New Roman" w:cs="Times New Roman"/>
                <w:spacing w:val="27"/>
                <w:w w:val="101"/>
              </w:rPr>
              <w:t xml:space="preserve"> </w:t>
            </w:r>
            <w:r>
              <w:rPr>
                <w:rFonts w:ascii="Times New Roman" w:hAnsi="Times New Roman" w:eastAsia="Times New Roman" w:cs="Times New Roman"/>
                <w:spacing w:val="7"/>
              </w:rPr>
              <w:t>122</w:t>
            </w:r>
            <w:r>
              <w:rPr>
                <w:rFonts w:ascii="Times New Roman" w:hAnsi="Times New Roman" w:eastAsia="Times New Roman" w:cs="Times New Roman"/>
                <w:spacing w:val="6"/>
              </w:rPr>
              <w:t>6-2021</w:t>
            </w:r>
          </w:p>
        </w:tc>
        <w:tc>
          <w:tcPr>
            <w:tcW w:w="1428" w:type="dxa"/>
            <w:vAlign w:val="top"/>
          </w:tcPr>
          <w:p>
            <w:pPr>
              <w:ind w:left="254"/>
              <w:spacing w:before="97"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0.003</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/L</w:t>
            </w:r>
          </w:p>
        </w:tc>
      </w:tr>
      <w:tr>
        <w:trPr>
          <w:trHeight w:val="345" w:hRule="atLeast"/>
        </w:trPr>
        <w:tc>
          <w:tcPr>
            <w:tcW w:w="596" w:type="dxa"/>
            <w:vAlign w:val="top"/>
          </w:tcPr>
          <w:p>
            <w:pPr>
              <w:ind w:left="195"/>
              <w:spacing w:before="10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498" w:type="dxa"/>
            <w:vAlign w:val="top"/>
          </w:tcPr>
          <w:p>
            <w:pPr>
              <w:pStyle w:val="TableText"/>
              <w:ind w:left="652"/>
              <w:spacing w:before="65" w:line="233" w:lineRule="auto"/>
              <w:rPr/>
            </w:pPr>
            <w:r>
              <w:rPr/>
              <w:t>钠</w:t>
            </w:r>
          </w:p>
        </w:tc>
        <w:tc>
          <w:tcPr>
            <w:tcW w:w="6274" w:type="dxa"/>
            <w:vAlign w:val="top"/>
          </w:tcPr>
          <w:p>
            <w:pPr>
              <w:pStyle w:val="TableText"/>
              <w:ind w:left="161"/>
              <w:spacing w:before="66" w:line="229" w:lineRule="auto"/>
              <w:rPr>
                <w:rFonts w:ascii="Times New Roman" w:hAnsi="Times New Roman" w:eastAsia="Times New Roman" w:cs="Times New Roman"/>
              </w:rPr>
            </w:pPr>
            <w:r>
              <w:rPr>
                <w:spacing w:val="6"/>
              </w:rPr>
              <w:t>水质</w:t>
            </w:r>
            <w:r>
              <w:rPr>
                <w:spacing w:val="-36"/>
              </w:rPr>
              <w:t xml:space="preserve"> </w:t>
            </w:r>
            <w:r>
              <w:rPr>
                <w:rFonts w:ascii="Times New Roman" w:hAnsi="Times New Roman" w:eastAsia="Times New Roman" w:cs="Times New Roman"/>
                <w:spacing w:val="6"/>
              </w:rPr>
              <w:t>32</w:t>
            </w:r>
            <w:r>
              <w:rPr>
                <w:rFonts w:ascii="Times New Roman" w:hAnsi="Times New Roman" w:eastAsia="Times New Roman" w:cs="Times New Roman"/>
                <w:spacing w:val="17"/>
                <w:w w:val="101"/>
              </w:rPr>
              <w:t xml:space="preserve"> </w:t>
            </w:r>
            <w:r>
              <w:rPr>
                <w:spacing w:val="6"/>
              </w:rPr>
              <w:t>种元素的测定</w:t>
            </w:r>
            <w:r>
              <w:rPr>
                <w:spacing w:val="44"/>
              </w:rPr>
              <w:t xml:space="preserve"> </w:t>
            </w:r>
            <w:r>
              <w:rPr>
                <w:spacing w:val="6"/>
              </w:rPr>
              <w:t>电感耦合等离子体发射光谱法</w:t>
            </w:r>
            <w:r>
              <w:rPr>
                <w:spacing w:val="-44"/>
              </w:rPr>
              <w:t xml:space="preserve"> </w:t>
            </w:r>
            <w:r>
              <w:rPr>
                <w:rFonts w:ascii="Times New Roman" w:hAnsi="Times New Roman" w:eastAsia="Times New Roman" w:cs="Times New Roman"/>
              </w:rPr>
              <w:t>HJ</w:t>
            </w:r>
            <w:r>
              <w:rPr>
                <w:rFonts w:ascii="Times New Roman" w:hAnsi="Times New Roman" w:eastAsia="Times New Roman" w:cs="Times New Roman"/>
                <w:spacing w:val="6"/>
              </w:rPr>
              <w:t xml:space="preserve"> 776</w:t>
            </w:r>
            <w:r>
              <w:rPr>
                <w:rFonts w:ascii="Times New Roman" w:hAnsi="Times New Roman" w:eastAsia="Times New Roman" w:cs="Times New Roman"/>
                <w:spacing w:val="5"/>
              </w:rPr>
              <w:t>-2015</w:t>
            </w:r>
          </w:p>
        </w:tc>
        <w:tc>
          <w:tcPr>
            <w:tcW w:w="1428" w:type="dxa"/>
            <w:vAlign w:val="top"/>
          </w:tcPr>
          <w:p>
            <w:pPr>
              <w:ind w:left="307"/>
              <w:spacing w:before="97"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1"/>
              </w:rPr>
              <w:t xml:space="preserve"> </w:t>
            </w:r>
            <w:r>
              <w:rPr>
                <w:rFonts w:ascii="Times New Roman" w:hAnsi="Times New Roman" w:eastAsia="Times New Roman" w:cs="Times New Roman"/>
                <w:sz w:val="20"/>
                <w:szCs w:val="20"/>
              </w:rPr>
              <w:t>12mg/L</w:t>
            </w:r>
          </w:p>
        </w:tc>
      </w:tr>
      <w:tr>
        <w:trPr>
          <w:trHeight w:val="345" w:hRule="atLeast"/>
        </w:trPr>
        <w:tc>
          <w:tcPr>
            <w:tcW w:w="596" w:type="dxa"/>
            <w:vAlign w:val="top"/>
          </w:tcPr>
          <w:p>
            <w:pPr>
              <w:ind w:left="195"/>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21</w:t>
            </w:r>
          </w:p>
        </w:tc>
        <w:tc>
          <w:tcPr>
            <w:tcW w:w="1498" w:type="dxa"/>
            <w:vAlign w:val="top"/>
          </w:tcPr>
          <w:p>
            <w:pPr>
              <w:pStyle w:val="TableText"/>
              <w:ind w:left="338"/>
              <w:spacing w:before="66" w:line="228" w:lineRule="auto"/>
              <w:rPr/>
            </w:pPr>
            <w:r>
              <w:rPr>
                <w:spacing w:val="5"/>
              </w:rPr>
              <w:t>硝酸盐氮</w:t>
            </w:r>
          </w:p>
        </w:tc>
        <w:tc>
          <w:tcPr>
            <w:tcW w:w="6274" w:type="dxa"/>
            <w:vAlign w:val="top"/>
          </w:tcPr>
          <w:p>
            <w:pPr>
              <w:pStyle w:val="TableText"/>
              <w:ind w:left="488"/>
              <w:spacing w:before="66" w:line="228" w:lineRule="auto"/>
              <w:rPr>
                <w:rFonts w:ascii="Times New Roman" w:hAnsi="Times New Roman" w:eastAsia="Times New Roman" w:cs="Times New Roman"/>
              </w:rPr>
            </w:pPr>
            <w:r>
              <w:rPr>
                <w:spacing w:val="7"/>
              </w:rPr>
              <w:t>水质</w:t>
            </w:r>
            <w:r>
              <w:rPr>
                <w:spacing w:val="7"/>
              </w:rPr>
              <w:t xml:space="preserve"> </w:t>
            </w:r>
            <w:r>
              <w:rPr>
                <w:spacing w:val="7"/>
              </w:rPr>
              <w:t>硝酸盐氮的测定</w:t>
            </w:r>
            <w:r>
              <w:rPr>
                <w:spacing w:val="7"/>
              </w:rPr>
              <w:t xml:space="preserve"> </w:t>
            </w:r>
            <w:r>
              <w:rPr>
                <w:spacing w:val="7"/>
              </w:rPr>
              <w:t>气相分子吸收光谱法</w:t>
            </w:r>
            <w:r>
              <w:rPr>
                <w:spacing w:val="-44"/>
              </w:rPr>
              <w:t xml:space="preserve"> </w:t>
            </w:r>
            <w:r>
              <w:rPr>
                <w:rFonts w:ascii="Times New Roman" w:hAnsi="Times New Roman" w:eastAsia="Times New Roman" w:cs="Times New Roman"/>
              </w:rPr>
              <w:t>HJ</w:t>
            </w:r>
            <w:r>
              <w:rPr>
                <w:rFonts w:ascii="Times New Roman" w:hAnsi="Times New Roman" w:eastAsia="Times New Roman" w:cs="Times New Roman"/>
                <w:spacing w:val="7"/>
              </w:rPr>
              <w:t>/T</w:t>
            </w:r>
            <w:r>
              <w:rPr>
                <w:rFonts w:ascii="Times New Roman" w:hAnsi="Times New Roman" w:eastAsia="Times New Roman" w:cs="Times New Roman"/>
                <w:spacing w:val="29"/>
                <w:w w:val="101"/>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6"/>
              </w:rPr>
              <w:t>98-2005</w:t>
            </w:r>
          </w:p>
        </w:tc>
        <w:tc>
          <w:tcPr>
            <w:tcW w:w="1428" w:type="dxa"/>
            <w:vAlign w:val="top"/>
          </w:tcPr>
          <w:p>
            <w:pPr>
              <w:ind w:left="254"/>
              <w:spacing w:before="98"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0.006</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/L</w:t>
            </w:r>
          </w:p>
        </w:tc>
      </w:tr>
      <w:tr>
        <w:trPr>
          <w:trHeight w:val="345" w:hRule="atLeast"/>
        </w:trPr>
        <w:tc>
          <w:tcPr>
            <w:tcW w:w="596" w:type="dxa"/>
            <w:vAlign w:val="top"/>
          </w:tcPr>
          <w:p>
            <w:pPr>
              <w:ind w:left="195"/>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22</w:t>
            </w:r>
          </w:p>
        </w:tc>
        <w:tc>
          <w:tcPr>
            <w:tcW w:w="1498" w:type="dxa"/>
            <w:vAlign w:val="top"/>
          </w:tcPr>
          <w:p>
            <w:pPr>
              <w:pStyle w:val="TableText"/>
              <w:ind w:left="235"/>
              <w:spacing w:before="66" w:line="228" w:lineRule="auto"/>
              <w:rPr/>
            </w:pPr>
            <w:r>
              <w:rPr>
                <w:spacing w:val="6"/>
              </w:rPr>
              <w:t>亚硝酸盐氮</w:t>
            </w:r>
          </w:p>
        </w:tc>
        <w:tc>
          <w:tcPr>
            <w:tcW w:w="6274" w:type="dxa"/>
            <w:vAlign w:val="top"/>
          </w:tcPr>
          <w:p>
            <w:pPr>
              <w:pStyle w:val="TableText"/>
              <w:ind w:left="694"/>
              <w:spacing w:before="66" w:line="228" w:lineRule="auto"/>
              <w:rPr>
                <w:rFonts w:ascii="Times New Roman" w:hAnsi="Times New Roman" w:eastAsia="Times New Roman" w:cs="Times New Roman"/>
              </w:rPr>
            </w:pPr>
            <w:r>
              <w:rPr>
                <w:spacing w:val="6"/>
              </w:rPr>
              <w:t>水质</w:t>
            </w:r>
            <w:r>
              <w:rPr>
                <w:spacing w:val="6"/>
              </w:rPr>
              <w:t xml:space="preserve"> </w:t>
            </w:r>
            <w:r>
              <w:rPr>
                <w:spacing w:val="6"/>
              </w:rPr>
              <w:t>亚硝酸盐氮的测定</w:t>
            </w:r>
            <w:r>
              <w:rPr>
                <w:spacing w:val="37"/>
              </w:rPr>
              <w:t xml:space="preserve"> </w:t>
            </w:r>
            <w:r>
              <w:rPr>
                <w:spacing w:val="6"/>
              </w:rPr>
              <w:t>分光光度法</w:t>
            </w:r>
            <w:r>
              <w:rPr>
                <w:spacing w:val="6"/>
              </w:rPr>
              <w:t xml:space="preserve"> </w:t>
            </w:r>
            <w:r>
              <w:rPr>
                <w:rFonts w:ascii="Times New Roman" w:hAnsi="Times New Roman" w:eastAsia="Times New Roman" w:cs="Times New Roman"/>
              </w:rPr>
              <w:t>GB</w:t>
            </w:r>
            <w:r>
              <w:rPr>
                <w:rFonts w:ascii="Times New Roman" w:hAnsi="Times New Roman" w:eastAsia="Times New Roman" w:cs="Times New Roman"/>
                <w:spacing w:val="6"/>
              </w:rPr>
              <w:t>/T</w:t>
            </w:r>
            <w:r>
              <w:rPr>
                <w:rFonts w:ascii="Times New Roman" w:hAnsi="Times New Roman" w:eastAsia="Times New Roman" w:cs="Times New Roman"/>
                <w:spacing w:val="13"/>
              </w:rPr>
              <w:t xml:space="preserve"> </w:t>
            </w:r>
            <w:r>
              <w:rPr>
                <w:rFonts w:ascii="Times New Roman" w:hAnsi="Times New Roman" w:eastAsia="Times New Roman" w:cs="Times New Roman"/>
                <w:spacing w:val="6"/>
              </w:rPr>
              <w:t>7493-1987</w:t>
            </w:r>
          </w:p>
        </w:tc>
        <w:tc>
          <w:tcPr>
            <w:tcW w:w="1428" w:type="dxa"/>
            <w:vAlign w:val="top"/>
          </w:tcPr>
          <w:p>
            <w:pPr>
              <w:ind w:left="254"/>
              <w:spacing w:before="98"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0.003</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4"/>
              </w:rPr>
              <w:t>/L</w:t>
            </w:r>
          </w:p>
        </w:tc>
      </w:tr>
      <w:tr>
        <w:trPr>
          <w:trHeight w:val="628" w:hRule="atLeast"/>
        </w:trPr>
        <w:tc>
          <w:tcPr>
            <w:tcW w:w="596" w:type="dxa"/>
            <w:vAlign w:val="top"/>
          </w:tcPr>
          <w:p>
            <w:pPr>
              <w:ind w:left="195"/>
              <w:spacing w:before="2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23</w:t>
            </w:r>
          </w:p>
        </w:tc>
        <w:tc>
          <w:tcPr>
            <w:tcW w:w="1498" w:type="dxa"/>
            <w:vAlign w:val="top"/>
          </w:tcPr>
          <w:p>
            <w:pPr>
              <w:pStyle w:val="TableText"/>
              <w:ind w:left="453"/>
              <w:spacing w:before="208" w:line="229" w:lineRule="auto"/>
              <w:rPr/>
            </w:pPr>
            <w:r>
              <w:rPr>
                <w:spacing w:val="1"/>
              </w:rPr>
              <w:t>氰化物</w:t>
            </w:r>
          </w:p>
        </w:tc>
        <w:tc>
          <w:tcPr>
            <w:tcW w:w="6274" w:type="dxa"/>
            <w:vAlign w:val="top"/>
          </w:tcPr>
          <w:p>
            <w:pPr>
              <w:pStyle w:val="TableText"/>
              <w:ind w:left="38"/>
              <w:spacing w:before="52" w:line="229" w:lineRule="auto"/>
              <w:rPr/>
            </w:pPr>
            <w:r>
              <w:rPr>
                <w:spacing w:val="6"/>
              </w:rPr>
              <w:t>地下水质分析方法第</w:t>
            </w:r>
            <w:r>
              <w:rPr>
                <w:spacing w:val="6"/>
              </w:rPr>
              <w:t xml:space="preserve"> </w:t>
            </w:r>
            <w:r>
              <w:rPr>
                <w:rFonts w:ascii="Times New Roman" w:hAnsi="Times New Roman" w:eastAsia="Times New Roman" w:cs="Times New Roman"/>
                <w:spacing w:val="6"/>
              </w:rPr>
              <w:t>52  </w:t>
            </w:r>
            <w:r>
              <w:rPr>
                <w:spacing w:val="6"/>
              </w:rPr>
              <w:t>部分：氰化物的测定</w:t>
            </w:r>
            <w:r>
              <w:rPr>
                <w:spacing w:val="40"/>
              </w:rPr>
              <w:t xml:space="preserve"> </w:t>
            </w:r>
            <w:r>
              <w:rPr>
                <w:spacing w:val="6"/>
              </w:rPr>
              <w:t>吡啶</w:t>
            </w:r>
            <w:r>
              <w:rPr>
                <w:rFonts w:ascii="Times New Roman" w:hAnsi="Times New Roman" w:eastAsia="Times New Roman" w:cs="Times New Roman"/>
                <w:spacing w:val="6"/>
              </w:rPr>
              <w:t>-</w:t>
            </w:r>
            <w:r>
              <w:rPr>
                <w:spacing w:val="6"/>
              </w:rPr>
              <w:t>吡唑啉酮分光光</w:t>
            </w:r>
          </w:p>
          <w:p>
            <w:pPr>
              <w:pStyle w:val="TableText"/>
              <w:ind w:left="2068"/>
              <w:spacing w:before="63" w:line="232" w:lineRule="auto"/>
              <w:rPr>
                <w:rFonts w:ascii="Times New Roman" w:hAnsi="Times New Roman" w:eastAsia="Times New Roman" w:cs="Times New Roman"/>
              </w:rPr>
            </w:pPr>
            <w:r>
              <w:rPr>
                <w:spacing w:val="4"/>
              </w:rPr>
              <w:t>度法</w:t>
            </w:r>
            <w:r>
              <w:rPr>
                <w:spacing w:val="-35"/>
              </w:rPr>
              <w:t xml:space="preserve"> </w:t>
            </w:r>
            <w:r>
              <w:rPr>
                <w:rFonts w:ascii="Times New Roman" w:hAnsi="Times New Roman" w:eastAsia="Times New Roman" w:cs="Times New Roman"/>
              </w:rPr>
              <w:t>DZ</w:t>
            </w:r>
            <w:r>
              <w:rPr>
                <w:rFonts w:ascii="Times New Roman" w:hAnsi="Times New Roman" w:eastAsia="Times New Roman" w:cs="Times New Roman"/>
                <w:spacing w:val="4"/>
              </w:rPr>
              <w:t>/T 0064.52-2021</w:t>
            </w:r>
          </w:p>
        </w:tc>
        <w:tc>
          <w:tcPr>
            <w:tcW w:w="1428" w:type="dxa"/>
            <w:vAlign w:val="top"/>
          </w:tcPr>
          <w:p>
            <w:pPr>
              <w:ind w:left="254"/>
              <w:spacing w:before="24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0.002</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/L</w:t>
            </w:r>
          </w:p>
        </w:tc>
      </w:tr>
      <w:tr>
        <w:trPr>
          <w:trHeight w:val="345" w:hRule="atLeast"/>
        </w:trPr>
        <w:tc>
          <w:tcPr>
            <w:tcW w:w="596" w:type="dxa"/>
            <w:vAlign w:val="top"/>
          </w:tcPr>
          <w:p>
            <w:pPr>
              <w:ind w:left="195"/>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24</w:t>
            </w:r>
          </w:p>
        </w:tc>
        <w:tc>
          <w:tcPr>
            <w:tcW w:w="1498" w:type="dxa"/>
            <w:vAlign w:val="top"/>
          </w:tcPr>
          <w:p>
            <w:pPr>
              <w:pStyle w:val="TableText"/>
              <w:ind w:left="449"/>
              <w:spacing w:before="67" w:line="229" w:lineRule="auto"/>
              <w:rPr/>
            </w:pPr>
            <w:r>
              <w:rPr>
                <w:spacing w:val="3"/>
              </w:rPr>
              <w:t>氟化物</w:t>
            </w:r>
          </w:p>
        </w:tc>
        <w:tc>
          <w:tcPr>
            <w:tcW w:w="6274" w:type="dxa"/>
            <w:vAlign w:val="top"/>
          </w:tcPr>
          <w:p>
            <w:pPr>
              <w:pStyle w:val="TableText"/>
              <w:ind w:left="721"/>
              <w:spacing w:before="67" w:line="229" w:lineRule="auto"/>
              <w:rPr>
                <w:rFonts w:ascii="Times New Roman" w:hAnsi="Times New Roman" w:eastAsia="Times New Roman" w:cs="Times New Roman"/>
              </w:rPr>
            </w:pPr>
            <w:r>
              <w:rPr>
                <w:spacing w:val="6"/>
              </w:rPr>
              <w:t>水质</w:t>
            </w:r>
            <w:r>
              <w:rPr>
                <w:spacing w:val="6"/>
              </w:rPr>
              <w:t xml:space="preserve"> </w:t>
            </w:r>
            <w:r>
              <w:rPr>
                <w:spacing w:val="6"/>
              </w:rPr>
              <w:t>氟化物的测定</w:t>
            </w:r>
            <w:r>
              <w:rPr>
                <w:spacing w:val="39"/>
              </w:rPr>
              <w:t xml:space="preserve"> </w:t>
            </w:r>
            <w:r>
              <w:rPr>
                <w:spacing w:val="6"/>
              </w:rPr>
              <w:t>离子选择电极法</w:t>
            </w:r>
            <w:r>
              <w:rPr>
                <w:spacing w:val="-40"/>
              </w:rPr>
              <w:t xml:space="preserve"> </w:t>
            </w:r>
            <w:r>
              <w:rPr>
                <w:rFonts w:ascii="Times New Roman" w:hAnsi="Times New Roman" w:eastAsia="Times New Roman" w:cs="Times New Roman"/>
              </w:rPr>
              <w:t>GB</w:t>
            </w:r>
            <w:r>
              <w:rPr>
                <w:rFonts w:ascii="Times New Roman" w:hAnsi="Times New Roman" w:eastAsia="Times New Roman" w:cs="Times New Roman"/>
                <w:spacing w:val="6"/>
              </w:rPr>
              <w:t>/T 7484-1987</w:t>
            </w:r>
          </w:p>
        </w:tc>
        <w:tc>
          <w:tcPr>
            <w:tcW w:w="1428" w:type="dxa"/>
            <w:vAlign w:val="top"/>
          </w:tcPr>
          <w:p>
            <w:pPr>
              <w:ind w:left="307"/>
              <w:spacing w:before="99"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0.05</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/L</w:t>
            </w:r>
          </w:p>
        </w:tc>
      </w:tr>
      <w:tr>
        <w:trPr>
          <w:trHeight w:val="629" w:hRule="atLeast"/>
        </w:trPr>
        <w:tc>
          <w:tcPr>
            <w:tcW w:w="596" w:type="dxa"/>
            <w:vAlign w:val="top"/>
          </w:tcPr>
          <w:p>
            <w:pPr>
              <w:ind w:left="195"/>
              <w:spacing w:before="2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1498" w:type="dxa"/>
            <w:vAlign w:val="top"/>
          </w:tcPr>
          <w:p>
            <w:pPr>
              <w:pStyle w:val="TableText"/>
              <w:ind w:left="443"/>
              <w:spacing w:before="209" w:line="229" w:lineRule="auto"/>
              <w:rPr/>
            </w:pPr>
            <w:r>
              <w:rPr>
                <w:spacing w:val="5"/>
              </w:rPr>
              <w:t>碘化物</w:t>
            </w:r>
          </w:p>
        </w:tc>
        <w:tc>
          <w:tcPr>
            <w:tcW w:w="6274" w:type="dxa"/>
            <w:vAlign w:val="top"/>
          </w:tcPr>
          <w:p>
            <w:pPr>
              <w:pStyle w:val="TableText"/>
              <w:ind w:left="38"/>
              <w:spacing w:before="53" w:line="229" w:lineRule="auto"/>
              <w:rPr>
                <w:rFonts w:ascii="Times New Roman" w:hAnsi="Times New Roman" w:eastAsia="Times New Roman" w:cs="Times New Roman"/>
              </w:rPr>
            </w:pPr>
            <w:r>
              <w:rPr>
                <w:spacing w:val="6"/>
              </w:rPr>
              <w:t>地下水质分析方法</w:t>
            </w:r>
            <w:r>
              <w:rPr>
                <w:spacing w:val="47"/>
              </w:rPr>
              <w:t xml:space="preserve"> </w:t>
            </w:r>
            <w:r>
              <w:rPr>
                <w:spacing w:val="6"/>
              </w:rPr>
              <w:t>第</w:t>
            </w:r>
            <w:r>
              <w:rPr>
                <w:spacing w:val="-37"/>
              </w:rPr>
              <w:t xml:space="preserve"> </w:t>
            </w:r>
            <w:r>
              <w:rPr>
                <w:rFonts w:ascii="Times New Roman" w:hAnsi="Times New Roman" w:eastAsia="Times New Roman" w:cs="Times New Roman"/>
                <w:spacing w:val="6"/>
              </w:rPr>
              <w:t>56</w:t>
            </w:r>
            <w:r>
              <w:rPr>
                <w:rFonts w:ascii="Times New Roman" w:hAnsi="Times New Roman" w:eastAsia="Times New Roman" w:cs="Times New Roman"/>
                <w:spacing w:val="18"/>
                <w:w w:val="101"/>
              </w:rPr>
              <w:t xml:space="preserve"> </w:t>
            </w:r>
            <w:r>
              <w:rPr>
                <w:spacing w:val="6"/>
              </w:rPr>
              <w:t>部分：碘化物的测定淀粉分光光度法</w:t>
            </w:r>
            <w:r>
              <w:rPr>
                <w:spacing w:val="6"/>
              </w:rPr>
              <w:t xml:space="preserve"> </w:t>
            </w:r>
            <w:r>
              <w:rPr>
                <w:rFonts w:ascii="Times New Roman" w:hAnsi="Times New Roman" w:eastAsia="Times New Roman" w:cs="Times New Roman"/>
              </w:rPr>
              <w:t>DZ</w:t>
            </w:r>
            <w:r>
              <w:rPr>
                <w:rFonts w:ascii="Times New Roman" w:hAnsi="Times New Roman" w:eastAsia="Times New Roman" w:cs="Times New Roman"/>
                <w:spacing w:val="6"/>
              </w:rPr>
              <w:t>/T</w:t>
            </w:r>
          </w:p>
          <w:p>
            <w:pPr>
              <w:ind w:left="2556"/>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0064.56-2021</w:t>
            </w:r>
          </w:p>
        </w:tc>
        <w:tc>
          <w:tcPr>
            <w:tcW w:w="1428" w:type="dxa"/>
            <w:vAlign w:val="top"/>
          </w:tcPr>
          <w:p>
            <w:pPr>
              <w:ind w:left="254"/>
              <w:spacing w:before="24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0.025</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4"/>
              </w:rPr>
              <w:t>/L</w:t>
            </w:r>
          </w:p>
        </w:tc>
      </w:tr>
      <w:tr>
        <w:trPr>
          <w:trHeight w:val="345" w:hRule="atLeast"/>
        </w:trPr>
        <w:tc>
          <w:tcPr>
            <w:tcW w:w="596" w:type="dxa"/>
            <w:vAlign w:val="top"/>
          </w:tcPr>
          <w:p>
            <w:pPr>
              <w:ind w:left="195"/>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26</w:t>
            </w:r>
          </w:p>
        </w:tc>
        <w:tc>
          <w:tcPr>
            <w:tcW w:w="1498" w:type="dxa"/>
            <w:vAlign w:val="top"/>
          </w:tcPr>
          <w:p>
            <w:pPr>
              <w:pStyle w:val="TableText"/>
              <w:ind w:left="653"/>
              <w:spacing w:before="67" w:line="232" w:lineRule="auto"/>
              <w:rPr/>
            </w:pPr>
            <w:r>
              <w:rPr/>
              <w:t>汞</w:t>
            </w:r>
          </w:p>
        </w:tc>
        <w:tc>
          <w:tcPr>
            <w:tcW w:w="6274" w:type="dxa"/>
            <w:vAlign w:val="top"/>
          </w:tcPr>
          <w:p>
            <w:pPr>
              <w:pStyle w:val="TableText"/>
              <w:ind w:left="449"/>
              <w:spacing w:before="67" w:line="229" w:lineRule="auto"/>
              <w:rPr>
                <w:rFonts w:ascii="Times New Roman" w:hAnsi="Times New Roman" w:eastAsia="Times New Roman" w:cs="Times New Roman"/>
              </w:rPr>
            </w:pPr>
            <w:r>
              <w:rPr>
                <w:spacing w:val="7"/>
              </w:rPr>
              <w:t>水质</w:t>
            </w:r>
            <w:r>
              <w:rPr>
                <w:spacing w:val="7"/>
              </w:rPr>
              <w:t xml:space="preserve"> </w:t>
            </w:r>
            <w:r>
              <w:rPr>
                <w:spacing w:val="7"/>
              </w:rPr>
              <w:t>汞、砷、硒、铋和锑的测定</w:t>
            </w:r>
            <w:r>
              <w:rPr>
                <w:spacing w:val="7"/>
              </w:rPr>
              <w:t xml:space="preserve"> </w:t>
            </w:r>
            <w:r>
              <w:rPr>
                <w:spacing w:val="7"/>
              </w:rPr>
              <w:t>原子荧光法</w:t>
            </w:r>
            <w:r>
              <w:rPr>
                <w:spacing w:val="28"/>
              </w:rPr>
              <w:t xml:space="preserve"> </w:t>
            </w:r>
            <w:r>
              <w:rPr>
                <w:rFonts w:ascii="Times New Roman" w:hAnsi="Times New Roman" w:eastAsia="Times New Roman" w:cs="Times New Roman"/>
              </w:rPr>
              <w:t>HJ</w:t>
            </w:r>
            <w:r>
              <w:rPr>
                <w:rFonts w:ascii="Times New Roman" w:hAnsi="Times New Roman" w:eastAsia="Times New Roman" w:cs="Times New Roman"/>
                <w:spacing w:val="10"/>
              </w:rPr>
              <w:t xml:space="preserve"> </w:t>
            </w:r>
            <w:r>
              <w:rPr>
                <w:rFonts w:ascii="Times New Roman" w:hAnsi="Times New Roman" w:eastAsia="Times New Roman" w:cs="Times New Roman"/>
                <w:spacing w:val="7"/>
              </w:rPr>
              <w:t>694-2014</w:t>
            </w:r>
          </w:p>
        </w:tc>
        <w:tc>
          <w:tcPr>
            <w:tcW w:w="1428" w:type="dxa"/>
            <w:vAlign w:val="top"/>
          </w:tcPr>
          <w:p>
            <w:pPr>
              <w:ind w:left="151"/>
              <w:spacing w:before="99"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0.00004</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4"/>
              </w:rPr>
              <w:t>/L</w:t>
            </w:r>
          </w:p>
        </w:tc>
      </w:tr>
      <w:tr>
        <w:trPr>
          <w:trHeight w:val="345" w:hRule="atLeast"/>
        </w:trPr>
        <w:tc>
          <w:tcPr>
            <w:tcW w:w="596" w:type="dxa"/>
            <w:vAlign w:val="top"/>
          </w:tcPr>
          <w:p>
            <w:pPr>
              <w:ind w:left="195"/>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27</w:t>
            </w:r>
          </w:p>
        </w:tc>
        <w:tc>
          <w:tcPr>
            <w:tcW w:w="1498" w:type="dxa"/>
            <w:vAlign w:val="top"/>
          </w:tcPr>
          <w:p>
            <w:pPr>
              <w:pStyle w:val="TableText"/>
              <w:ind w:left="652"/>
              <w:spacing w:before="67" w:line="229" w:lineRule="auto"/>
              <w:rPr/>
            </w:pPr>
            <w:r>
              <w:rPr/>
              <w:t>砷</w:t>
            </w:r>
          </w:p>
        </w:tc>
        <w:tc>
          <w:tcPr>
            <w:tcW w:w="6274" w:type="dxa"/>
            <w:vAlign w:val="top"/>
          </w:tcPr>
          <w:p>
            <w:pPr>
              <w:pStyle w:val="TableText"/>
              <w:ind w:left="449"/>
              <w:spacing w:before="67" w:line="229" w:lineRule="auto"/>
              <w:rPr>
                <w:rFonts w:ascii="Times New Roman" w:hAnsi="Times New Roman" w:eastAsia="Times New Roman" w:cs="Times New Roman"/>
              </w:rPr>
            </w:pPr>
            <w:r>
              <w:rPr>
                <w:spacing w:val="7"/>
              </w:rPr>
              <w:t>水质</w:t>
            </w:r>
            <w:r>
              <w:rPr>
                <w:spacing w:val="7"/>
              </w:rPr>
              <w:t xml:space="preserve"> </w:t>
            </w:r>
            <w:r>
              <w:rPr>
                <w:spacing w:val="7"/>
              </w:rPr>
              <w:t>汞、砷、硒、铋和锑的测定</w:t>
            </w:r>
            <w:r>
              <w:rPr>
                <w:spacing w:val="7"/>
              </w:rPr>
              <w:t xml:space="preserve"> </w:t>
            </w:r>
            <w:r>
              <w:rPr>
                <w:spacing w:val="7"/>
              </w:rPr>
              <w:t>原子荧光法</w:t>
            </w:r>
            <w:r>
              <w:rPr>
                <w:spacing w:val="28"/>
              </w:rPr>
              <w:t xml:space="preserve"> </w:t>
            </w:r>
            <w:r>
              <w:rPr>
                <w:rFonts w:ascii="Times New Roman" w:hAnsi="Times New Roman" w:eastAsia="Times New Roman" w:cs="Times New Roman"/>
              </w:rPr>
              <w:t>HJ</w:t>
            </w:r>
            <w:r>
              <w:rPr>
                <w:rFonts w:ascii="Times New Roman" w:hAnsi="Times New Roman" w:eastAsia="Times New Roman" w:cs="Times New Roman"/>
                <w:spacing w:val="10"/>
              </w:rPr>
              <w:t xml:space="preserve"> </w:t>
            </w:r>
            <w:r>
              <w:rPr>
                <w:rFonts w:ascii="Times New Roman" w:hAnsi="Times New Roman" w:eastAsia="Times New Roman" w:cs="Times New Roman"/>
                <w:spacing w:val="7"/>
              </w:rPr>
              <w:t>694-2014</w:t>
            </w:r>
          </w:p>
        </w:tc>
        <w:tc>
          <w:tcPr>
            <w:tcW w:w="1428" w:type="dxa"/>
            <w:vAlign w:val="top"/>
          </w:tcPr>
          <w:p>
            <w:pPr>
              <w:ind w:left="203"/>
              <w:spacing w:before="99"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0.0003</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4"/>
              </w:rPr>
              <w:t>/L</w:t>
            </w:r>
          </w:p>
        </w:tc>
      </w:tr>
      <w:tr>
        <w:trPr>
          <w:trHeight w:val="345" w:hRule="atLeast"/>
        </w:trPr>
        <w:tc>
          <w:tcPr>
            <w:tcW w:w="596" w:type="dxa"/>
            <w:vAlign w:val="top"/>
          </w:tcPr>
          <w:p>
            <w:pPr>
              <w:ind w:left="195"/>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28</w:t>
            </w:r>
          </w:p>
        </w:tc>
        <w:tc>
          <w:tcPr>
            <w:tcW w:w="1498" w:type="dxa"/>
            <w:vAlign w:val="top"/>
          </w:tcPr>
          <w:p>
            <w:pPr>
              <w:pStyle w:val="TableText"/>
              <w:ind w:left="651"/>
              <w:spacing w:before="67" w:line="232" w:lineRule="auto"/>
              <w:rPr/>
            </w:pPr>
            <w:r>
              <w:rPr/>
              <w:t>硒</w:t>
            </w:r>
          </w:p>
        </w:tc>
        <w:tc>
          <w:tcPr>
            <w:tcW w:w="6274" w:type="dxa"/>
            <w:vAlign w:val="top"/>
          </w:tcPr>
          <w:p>
            <w:pPr>
              <w:pStyle w:val="TableText"/>
              <w:ind w:left="449"/>
              <w:spacing w:before="67" w:line="229" w:lineRule="auto"/>
              <w:rPr>
                <w:rFonts w:ascii="Times New Roman" w:hAnsi="Times New Roman" w:eastAsia="Times New Roman" w:cs="Times New Roman"/>
              </w:rPr>
            </w:pPr>
            <w:r>
              <w:rPr>
                <w:spacing w:val="7"/>
              </w:rPr>
              <w:t>水质</w:t>
            </w:r>
            <w:r>
              <w:rPr>
                <w:spacing w:val="7"/>
              </w:rPr>
              <w:t xml:space="preserve"> </w:t>
            </w:r>
            <w:r>
              <w:rPr>
                <w:spacing w:val="7"/>
              </w:rPr>
              <w:t>汞、砷、硒、铋和锑的测定</w:t>
            </w:r>
            <w:r>
              <w:rPr>
                <w:spacing w:val="7"/>
              </w:rPr>
              <w:t xml:space="preserve"> </w:t>
            </w:r>
            <w:r>
              <w:rPr>
                <w:spacing w:val="7"/>
              </w:rPr>
              <w:t>原子荧光法</w:t>
            </w:r>
            <w:r>
              <w:rPr>
                <w:spacing w:val="28"/>
              </w:rPr>
              <w:t xml:space="preserve"> </w:t>
            </w:r>
            <w:r>
              <w:rPr>
                <w:rFonts w:ascii="Times New Roman" w:hAnsi="Times New Roman" w:eastAsia="Times New Roman" w:cs="Times New Roman"/>
              </w:rPr>
              <w:t>HJ</w:t>
            </w:r>
            <w:r>
              <w:rPr>
                <w:rFonts w:ascii="Times New Roman" w:hAnsi="Times New Roman" w:eastAsia="Times New Roman" w:cs="Times New Roman"/>
                <w:spacing w:val="10"/>
              </w:rPr>
              <w:t xml:space="preserve"> </w:t>
            </w:r>
            <w:r>
              <w:rPr>
                <w:rFonts w:ascii="Times New Roman" w:hAnsi="Times New Roman" w:eastAsia="Times New Roman" w:cs="Times New Roman"/>
                <w:spacing w:val="7"/>
              </w:rPr>
              <w:t>694-2014</w:t>
            </w:r>
          </w:p>
        </w:tc>
        <w:tc>
          <w:tcPr>
            <w:tcW w:w="1428" w:type="dxa"/>
            <w:vAlign w:val="top"/>
          </w:tcPr>
          <w:p>
            <w:pPr>
              <w:ind w:left="203"/>
              <w:spacing w:before="10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0.0004</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4"/>
              </w:rPr>
              <w:t>/L</w:t>
            </w:r>
          </w:p>
        </w:tc>
      </w:tr>
      <w:tr>
        <w:trPr>
          <w:trHeight w:val="345" w:hRule="atLeast"/>
        </w:trPr>
        <w:tc>
          <w:tcPr>
            <w:tcW w:w="596" w:type="dxa"/>
            <w:vAlign w:val="top"/>
          </w:tcPr>
          <w:p>
            <w:pPr>
              <w:ind w:left="195"/>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29</w:t>
            </w:r>
          </w:p>
        </w:tc>
        <w:tc>
          <w:tcPr>
            <w:tcW w:w="1498" w:type="dxa"/>
            <w:vAlign w:val="top"/>
          </w:tcPr>
          <w:p>
            <w:pPr>
              <w:pStyle w:val="TableText"/>
              <w:ind w:left="653"/>
              <w:spacing w:before="66" w:line="232" w:lineRule="auto"/>
              <w:rPr/>
            </w:pPr>
            <w:r>
              <w:rPr/>
              <w:t>镉</w:t>
            </w:r>
          </w:p>
        </w:tc>
        <w:tc>
          <w:tcPr>
            <w:tcW w:w="6274" w:type="dxa"/>
            <w:vAlign w:val="top"/>
          </w:tcPr>
          <w:p>
            <w:pPr>
              <w:pStyle w:val="TableText"/>
              <w:ind w:left="370"/>
              <w:spacing w:before="66" w:line="229" w:lineRule="auto"/>
              <w:rPr>
                <w:rFonts w:ascii="Times New Roman" w:hAnsi="Times New Roman" w:eastAsia="Times New Roman" w:cs="Times New Roman"/>
              </w:rPr>
            </w:pPr>
            <w:r>
              <w:rPr>
                <w:spacing w:val="5"/>
              </w:rPr>
              <w:t>水质</w:t>
            </w:r>
            <w:r>
              <w:rPr>
                <w:spacing w:val="-19"/>
              </w:rPr>
              <w:t xml:space="preserve"> </w:t>
            </w:r>
            <w:r>
              <w:rPr>
                <w:rFonts w:ascii="Times New Roman" w:hAnsi="Times New Roman" w:eastAsia="Times New Roman" w:cs="Times New Roman"/>
                <w:spacing w:val="5"/>
              </w:rPr>
              <w:t>65</w:t>
            </w:r>
            <w:r>
              <w:rPr>
                <w:rFonts w:ascii="Times New Roman" w:hAnsi="Times New Roman" w:eastAsia="Times New Roman" w:cs="Times New Roman"/>
                <w:spacing w:val="19"/>
                <w:w w:val="101"/>
              </w:rPr>
              <w:t xml:space="preserve"> </w:t>
            </w:r>
            <w:r>
              <w:rPr>
                <w:spacing w:val="5"/>
              </w:rPr>
              <w:t>种元素的测定</w:t>
            </w:r>
            <w:r>
              <w:rPr>
                <w:spacing w:val="42"/>
              </w:rPr>
              <w:t xml:space="preserve"> </w:t>
            </w:r>
            <w:r>
              <w:rPr>
                <w:spacing w:val="5"/>
              </w:rPr>
              <w:t>电感耦合等离子体质谱法</w:t>
            </w:r>
            <w:r>
              <w:rPr>
                <w:spacing w:val="-41"/>
              </w:rPr>
              <w:t xml:space="preserve"> </w:t>
            </w:r>
            <w:r>
              <w:rPr>
                <w:rFonts w:ascii="Times New Roman" w:hAnsi="Times New Roman" w:eastAsia="Times New Roman" w:cs="Times New Roman"/>
              </w:rPr>
              <w:t>HJ</w:t>
            </w:r>
            <w:r>
              <w:rPr>
                <w:rFonts w:ascii="Times New Roman" w:hAnsi="Times New Roman" w:eastAsia="Times New Roman" w:cs="Times New Roman"/>
                <w:spacing w:val="5"/>
              </w:rPr>
              <w:t xml:space="preserve"> 700-2014</w:t>
            </w:r>
          </w:p>
        </w:tc>
        <w:tc>
          <w:tcPr>
            <w:tcW w:w="1428" w:type="dxa"/>
            <w:vAlign w:val="top"/>
          </w:tcPr>
          <w:p>
            <w:pPr>
              <w:ind w:left="151"/>
              <w:spacing w:before="10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0.00005</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4"/>
              </w:rPr>
              <w:t>/L</w:t>
            </w:r>
          </w:p>
        </w:tc>
      </w:tr>
      <w:tr>
        <w:trPr>
          <w:trHeight w:val="628" w:hRule="atLeast"/>
        </w:trPr>
        <w:tc>
          <w:tcPr>
            <w:tcW w:w="596" w:type="dxa"/>
            <w:vAlign w:val="top"/>
          </w:tcPr>
          <w:p>
            <w:pPr>
              <w:ind w:left="199"/>
              <w:spacing w:before="2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498" w:type="dxa"/>
            <w:vAlign w:val="top"/>
          </w:tcPr>
          <w:p>
            <w:pPr>
              <w:pStyle w:val="TableText"/>
              <w:ind w:left="445"/>
              <w:spacing w:before="208" w:line="230" w:lineRule="auto"/>
              <w:rPr/>
            </w:pPr>
            <w:r>
              <w:rPr>
                <w:spacing w:val="4"/>
              </w:rPr>
              <w:t>六价铬</w:t>
            </w:r>
          </w:p>
        </w:tc>
        <w:tc>
          <w:tcPr>
            <w:tcW w:w="6274" w:type="dxa"/>
            <w:vAlign w:val="top"/>
          </w:tcPr>
          <w:p>
            <w:pPr>
              <w:pStyle w:val="TableText"/>
              <w:ind w:left="38"/>
              <w:spacing w:before="52" w:line="226" w:lineRule="auto"/>
              <w:rPr/>
            </w:pPr>
            <w:r>
              <w:rPr>
                <w:spacing w:val="4"/>
              </w:rPr>
              <w:t>地下水质分析方法</w:t>
            </w:r>
            <w:r>
              <w:rPr>
                <w:spacing w:val="31"/>
              </w:rPr>
              <w:t xml:space="preserve"> </w:t>
            </w:r>
            <w:r>
              <w:rPr>
                <w:spacing w:val="4"/>
              </w:rPr>
              <w:t>第</w:t>
            </w:r>
            <w:r>
              <w:rPr>
                <w:spacing w:val="30"/>
              </w:rPr>
              <w:t xml:space="preserve"> </w:t>
            </w:r>
            <w:r>
              <w:rPr>
                <w:rFonts w:ascii="Times New Roman" w:hAnsi="Times New Roman" w:eastAsia="Times New Roman" w:cs="Times New Roman"/>
                <w:spacing w:val="4"/>
              </w:rPr>
              <w:t>17  </w:t>
            </w:r>
            <w:r>
              <w:rPr>
                <w:spacing w:val="4"/>
              </w:rPr>
              <w:t>部分：总铬和六价铬量</w:t>
            </w:r>
            <w:r>
              <w:rPr>
                <w:spacing w:val="3"/>
              </w:rPr>
              <w:t>的测定</w:t>
            </w:r>
            <w:r>
              <w:rPr>
                <w:spacing w:val="28"/>
              </w:rPr>
              <w:t xml:space="preserve"> </w:t>
            </w:r>
            <w:r>
              <w:rPr>
                <w:spacing w:val="3"/>
              </w:rPr>
              <w:t>二苯碳酰二</w:t>
            </w:r>
          </w:p>
          <w:p>
            <w:pPr>
              <w:pStyle w:val="TableText"/>
              <w:ind w:left="1621"/>
              <w:spacing w:before="66" w:line="232" w:lineRule="auto"/>
              <w:rPr>
                <w:rFonts w:ascii="Times New Roman" w:hAnsi="Times New Roman" w:eastAsia="Times New Roman" w:cs="Times New Roman"/>
              </w:rPr>
            </w:pPr>
            <w:r>
              <w:rPr>
                <w:spacing w:val="5"/>
              </w:rPr>
              <w:t>肼分光光度法</w:t>
            </w:r>
            <w:r>
              <w:rPr>
                <w:spacing w:val="5"/>
              </w:rPr>
              <w:t xml:space="preserve"> </w:t>
            </w:r>
            <w:r>
              <w:rPr>
                <w:rFonts w:ascii="Times New Roman" w:hAnsi="Times New Roman" w:eastAsia="Times New Roman" w:cs="Times New Roman"/>
              </w:rPr>
              <w:t>DZ</w:t>
            </w:r>
            <w:r>
              <w:rPr>
                <w:rFonts w:ascii="Times New Roman" w:hAnsi="Times New Roman" w:eastAsia="Times New Roman" w:cs="Times New Roman"/>
                <w:spacing w:val="5"/>
              </w:rPr>
              <w:t>/T 0064.17-2021</w:t>
            </w:r>
          </w:p>
        </w:tc>
        <w:tc>
          <w:tcPr>
            <w:tcW w:w="1428" w:type="dxa"/>
            <w:vAlign w:val="top"/>
          </w:tcPr>
          <w:p>
            <w:pPr>
              <w:ind w:left="254"/>
              <w:spacing w:before="24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0.004</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/L</w:t>
            </w:r>
          </w:p>
        </w:tc>
      </w:tr>
      <w:tr>
        <w:trPr>
          <w:trHeight w:val="345" w:hRule="atLeast"/>
        </w:trPr>
        <w:tc>
          <w:tcPr>
            <w:tcW w:w="596" w:type="dxa"/>
            <w:vAlign w:val="top"/>
          </w:tcPr>
          <w:p>
            <w:pPr>
              <w:ind w:left="199"/>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1498" w:type="dxa"/>
            <w:vAlign w:val="top"/>
          </w:tcPr>
          <w:p>
            <w:pPr>
              <w:pStyle w:val="TableText"/>
              <w:ind w:left="651"/>
              <w:spacing w:before="67" w:line="231" w:lineRule="auto"/>
              <w:rPr/>
            </w:pPr>
            <w:r>
              <w:rPr/>
              <w:t>铅</w:t>
            </w:r>
          </w:p>
        </w:tc>
        <w:tc>
          <w:tcPr>
            <w:tcW w:w="6274" w:type="dxa"/>
            <w:vAlign w:val="top"/>
          </w:tcPr>
          <w:p>
            <w:pPr>
              <w:pStyle w:val="TableText"/>
              <w:ind w:left="370"/>
              <w:spacing w:before="67" w:line="229" w:lineRule="auto"/>
              <w:rPr>
                <w:rFonts w:ascii="Times New Roman" w:hAnsi="Times New Roman" w:eastAsia="Times New Roman" w:cs="Times New Roman"/>
              </w:rPr>
            </w:pPr>
            <w:r>
              <w:rPr>
                <w:spacing w:val="5"/>
              </w:rPr>
              <w:t>水质</w:t>
            </w:r>
            <w:r>
              <w:rPr>
                <w:spacing w:val="-19"/>
              </w:rPr>
              <w:t xml:space="preserve"> </w:t>
            </w:r>
            <w:r>
              <w:rPr>
                <w:rFonts w:ascii="Times New Roman" w:hAnsi="Times New Roman" w:eastAsia="Times New Roman" w:cs="Times New Roman"/>
                <w:spacing w:val="5"/>
              </w:rPr>
              <w:t>65</w:t>
            </w:r>
            <w:r>
              <w:rPr>
                <w:rFonts w:ascii="Times New Roman" w:hAnsi="Times New Roman" w:eastAsia="Times New Roman" w:cs="Times New Roman"/>
                <w:spacing w:val="19"/>
                <w:w w:val="101"/>
              </w:rPr>
              <w:t xml:space="preserve"> </w:t>
            </w:r>
            <w:r>
              <w:rPr>
                <w:spacing w:val="5"/>
              </w:rPr>
              <w:t>种元素的测定</w:t>
            </w:r>
            <w:r>
              <w:rPr>
                <w:spacing w:val="42"/>
              </w:rPr>
              <w:t xml:space="preserve"> </w:t>
            </w:r>
            <w:r>
              <w:rPr>
                <w:spacing w:val="5"/>
              </w:rPr>
              <w:t>电感耦合等离子体质谱法</w:t>
            </w:r>
            <w:r>
              <w:rPr>
                <w:spacing w:val="-41"/>
              </w:rPr>
              <w:t xml:space="preserve"> </w:t>
            </w:r>
            <w:r>
              <w:rPr>
                <w:rFonts w:ascii="Times New Roman" w:hAnsi="Times New Roman" w:eastAsia="Times New Roman" w:cs="Times New Roman"/>
              </w:rPr>
              <w:t>HJ</w:t>
            </w:r>
            <w:r>
              <w:rPr>
                <w:rFonts w:ascii="Times New Roman" w:hAnsi="Times New Roman" w:eastAsia="Times New Roman" w:cs="Times New Roman"/>
                <w:spacing w:val="5"/>
              </w:rPr>
              <w:t xml:space="preserve"> 700-2014</w:t>
            </w:r>
          </w:p>
        </w:tc>
        <w:tc>
          <w:tcPr>
            <w:tcW w:w="1428" w:type="dxa"/>
            <w:vAlign w:val="top"/>
          </w:tcPr>
          <w:p>
            <w:pPr>
              <w:ind w:left="151"/>
              <w:spacing w:before="10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0.00009</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4"/>
              </w:rPr>
              <w:t>/L</w:t>
            </w:r>
          </w:p>
        </w:tc>
      </w:tr>
      <w:tr>
        <w:trPr>
          <w:trHeight w:val="345" w:hRule="atLeast"/>
        </w:trPr>
        <w:tc>
          <w:tcPr>
            <w:tcW w:w="596" w:type="dxa"/>
            <w:vAlign w:val="top"/>
          </w:tcPr>
          <w:p>
            <w:pPr>
              <w:ind w:left="199"/>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1498" w:type="dxa"/>
            <w:vAlign w:val="top"/>
          </w:tcPr>
          <w:p>
            <w:pPr>
              <w:pStyle w:val="TableText"/>
              <w:ind w:left="654"/>
              <w:spacing w:before="67" w:line="232" w:lineRule="auto"/>
              <w:rPr/>
            </w:pPr>
            <w:r>
              <w:rPr/>
              <w:t>铍</w:t>
            </w:r>
          </w:p>
        </w:tc>
        <w:tc>
          <w:tcPr>
            <w:tcW w:w="6274" w:type="dxa"/>
            <w:vAlign w:val="top"/>
          </w:tcPr>
          <w:p>
            <w:pPr>
              <w:pStyle w:val="TableText"/>
              <w:ind w:left="370"/>
              <w:spacing w:before="68" w:line="229" w:lineRule="auto"/>
              <w:rPr>
                <w:rFonts w:ascii="Times New Roman" w:hAnsi="Times New Roman" w:eastAsia="Times New Roman" w:cs="Times New Roman"/>
              </w:rPr>
            </w:pPr>
            <w:r>
              <w:rPr>
                <w:spacing w:val="5"/>
              </w:rPr>
              <w:t>水质</w:t>
            </w:r>
            <w:r>
              <w:rPr>
                <w:spacing w:val="-19"/>
              </w:rPr>
              <w:t xml:space="preserve"> </w:t>
            </w:r>
            <w:r>
              <w:rPr>
                <w:rFonts w:ascii="Times New Roman" w:hAnsi="Times New Roman" w:eastAsia="Times New Roman" w:cs="Times New Roman"/>
                <w:spacing w:val="5"/>
              </w:rPr>
              <w:t>65</w:t>
            </w:r>
            <w:r>
              <w:rPr>
                <w:rFonts w:ascii="Times New Roman" w:hAnsi="Times New Roman" w:eastAsia="Times New Roman" w:cs="Times New Roman"/>
                <w:spacing w:val="19"/>
                <w:w w:val="101"/>
              </w:rPr>
              <w:t xml:space="preserve"> </w:t>
            </w:r>
            <w:r>
              <w:rPr>
                <w:spacing w:val="5"/>
              </w:rPr>
              <w:t>种元素的测定</w:t>
            </w:r>
            <w:r>
              <w:rPr>
                <w:spacing w:val="42"/>
              </w:rPr>
              <w:t xml:space="preserve"> </w:t>
            </w:r>
            <w:r>
              <w:rPr>
                <w:spacing w:val="5"/>
              </w:rPr>
              <w:t>电感耦合等离子体质谱法</w:t>
            </w:r>
            <w:r>
              <w:rPr>
                <w:spacing w:val="-41"/>
              </w:rPr>
              <w:t xml:space="preserve"> </w:t>
            </w:r>
            <w:r>
              <w:rPr>
                <w:rFonts w:ascii="Times New Roman" w:hAnsi="Times New Roman" w:eastAsia="Times New Roman" w:cs="Times New Roman"/>
              </w:rPr>
              <w:t>HJ</w:t>
            </w:r>
            <w:r>
              <w:rPr>
                <w:rFonts w:ascii="Times New Roman" w:hAnsi="Times New Roman" w:eastAsia="Times New Roman" w:cs="Times New Roman"/>
                <w:spacing w:val="5"/>
              </w:rPr>
              <w:t xml:space="preserve"> 700-2014</w:t>
            </w:r>
          </w:p>
        </w:tc>
        <w:tc>
          <w:tcPr>
            <w:tcW w:w="1428" w:type="dxa"/>
            <w:vAlign w:val="top"/>
          </w:tcPr>
          <w:p>
            <w:pPr>
              <w:ind w:left="151"/>
              <w:spacing w:before="99"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0.00004</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4"/>
              </w:rPr>
              <w:t>/L</w:t>
            </w:r>
          </w:p>
        </w:tc>
      </w:tr>
      <w:tr>
        <w:trPr>
          <w:trHeight w:val="345" w:hRule="atLeast"/>
        </w:trPr>
        <w:tc>
          <w:tcPr>
            <w:tcW w:w="596" w:type="dxa"/>
            <w:vAlign w:val="top"/>
          </w:tcPr>
          <w:p>
            <w:pPr>
              <w:ind w:left="199"/>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1498" w:type="dxa"/>
            <w:vAlign w:val="top"/>
          </w:tcPr>
          <w:p>
            <w:pPr>
              <w:pStyle w:val="TableText"/>
              <w:ind w:left="653"/>
              <w:spacing w:before="68" w:line="232" w:lineRule="auto"/>
              <w:rPr/>
            </w:pPr>
            <w:r>
              <w:rPr/>
              <w:t>钡</w:t>
            </w:r>
          </w:p>
        </w:tc>
        <w:tc>
          <w:tcPr>
            <w:tcW w:w="6274" w:type="dxa"/>
            <w:vAlign w:val="top"/>
          </w:tcPr>
          <w:p>
            <w:pPr>
              <w:pStyle w:val="TableText"/>
              <w:ind w:left="161"/>
              <w:spacing w:before="68" w:line="229" w:lineRule="auto"/>
              <w:rPr>
                <w:rFonts w:ascii="Times New Roman" w:hAnsi="Times New Roman" w:eastAsia="Times New Roman" w:cs="Times New Roman"/>
              </w:rPr>
            </w:pPr>
            <w:r>
              <w:rPr>
                <w:spacing w:val="6"/>
              </w:rPr>
              <w:t>水质</w:t>
            </w:r>
            <w:r>
              <w:rPr>
                <w:spacing w:val="-36"/>
              </w:rPr>
              <w:t xml:space="preserve"> </w:t>
            </w:r>
            <w:r>
              <w:rPr>
                <w:rFonts w:ascii="Times New Roman" w:hAnsi="Times New Roman" w:eastAsia="Times New Roman" w:cs="Times New Roman"/>
                <w:spacing w:val="6"/>
              </w:rPr>
              <w:t>32</w:t>
            </w:r>
            <w:r>
              <w:rPr>
                <w:rFonts w:ascii="Times New Roman" w:hAnsi="Times New Roman" w:eastAsia="Times New Roman" w:cs="Times New Roman"/>
                <w:spacing w:val="17"/>
                <w:w w:val="101"/>
              </w:rPr>
              <w:t xml:space="preserve"> </w:t>
            </w:r>
            <w:r>
              <w:rPr>
                <w:spacing w:val="6"/>
              </w:rPr>
              <w:t>种元素的测定</w:t>
            </w:r>
            <w:r>
              <w:rPr>
                <w:spacing w:val="44"/>
              </w:rPr>
              <w:t xml:space="preserve"> </w:t>
            </w:r>
            <w:r>
              <w:rPr>
                <w:spacing w:val="6"/>
              </w:rPr>
              <w:t>电感耦合等离子体发射光谱法</w:t>
            </w:r>
            <w:r>
              <w:rPr>
                <w:spacing w:val="-44"/>
              </w:rPr>
              <w:t xml:space="preserve"> </w:t>
            </w:r>
            <w:r>
              <w:rPr>
                <w:rFonts w:ascii="Times New Roman" w:hAnsi="Times New Roman" w:eastAsia="Times New Roman" w:cs="Times New Roman"/>
              </w:rPr>
              <w:t>HJ</w:t>
            </w:r>
            <w:r>
              <w:rPr>
                <w:rFonts w:ascii="Times New Roman" w:hAnsi="Times New Roman" w:eastAsia="Times New Roman" w:cs="Times New Roman"/>
                <w:spacing w:val="6"/>
              </w:rPr>
              <w:t xml:space="preserve"> 776</w:t>
            </w:r>
            <w:r>
              <w:rPr>
                <w:rFonts w:ascii="Times New Roman" w:hAnsi="Times New Roman" w:eastAsia="Times New Roman" w:cs="Times New Roman"/>
                <w:spacing w:val="5"/>
              </w:rPr>
              <w:t>-2015</w:t>
            </w:r>
          </w:p>
        </w:tc>
        <w:tc>
          <w:tcPr>
            <w:tcW w:w="1428" w:type="dxa"/>
            <w:vAlign w:val="top"/>
          </w:tcPr>
          <w:p>
            <w:pPr>
              <w:ind w:left="254"/>
              <w:spacing w:before="10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0.002</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/L</w:t>
            </w:r>
          </w:p>
        </w:tc>
      </w:tr>
      <w:tr>
        <w:trPr>
          <w:trHeight w:val="345" w:hRule="atLeast"/>
        </w:trPr>
        <w:tc>
          <w:tcPr>
            <w:tcW w:w="596" w:type="dxa"/>
            <w:vAlign w:val="top"/>
          </w:tcPr>
          <w:p>
            <w:pPr>
              <w:ind w:left="199"/>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1498" w:type="dxa"/>
            <w:vAlign w:val="top"/>
          </w:tcPr>
          <w:p>
            <w:pPr>
              <w:pStyle w:val="TableText"/>
              <w:ind w:left="654"/>
              <w:spacing w:before="68" w:line="231" w:lineRule="auto"/>
              <w:rPr/>
            </w:pPr>
            <w:r>
              <w:rPr/>
              <w:t>镍</w:t>
            </w:r>
          </w:p>
        </w:tc>
        <w:tc>
          <w:tcPr>
            <w:tcW w:w="6274" w:type="dxa"/>
            <w:vAlign w:val="top"/>
          </w:tcPr>
          <w:p>
            <w:pPr>
              <w:pStyle w:val="TableText"/>
              <w:ind w:left="370"/>
              <w:spacing w:before="68" w:line="229" w:lineRule="auto"/>
              <w:rPr>
                <w:rFonts w:ascii="Times New Roman" w:hAnsi="Times New Roman" w:eastAsia="Times New Roman" w:cs="Times New Roman"/>
              </w:rPr>
            </w:pPr>
            <w:r>
              <w:rPr>
                <w:spacing w:val="5"/>
              </w:rPr>
              <w:t>水质</w:t>
            </w:r>
            <w:r>
              <w:rPr>
                <w:spacing w:val="-19"/>
              </w:rPr>
              <w:t xml:space="preserve"> </w:t>
            </w:r>
            <w:r>
              <w:rPr>
                <w:rFonts w:ascii="Times New Roman" w:hAnsi="Times New Roman" w:eastAsia="Times New Roman" w:cs="Times New Roman"/>
                <w:spacing w:val="5"/>
              </w:rPr>
              <w:t>65</w:t>
            </w:r>
            <w:r>
              <w:rPr>
                <w:rFonts w:ascii="Times New Roman" w:hAnsi="Times New Roman" w:eastAsia="Times New Roman" w:cs="Times New Roman"/>
                <w:spacing w:val="19"/>
                <w:w w:val="101"/>
              </w:rPr>
              <w:t xml:space="preserve"> </w:t>
            </w:r>
            <w:r>
              <w:rPr>
                <w:spacing w:val="5"/>
              </w:rPr>
              <w:t>种元素的测定</w:t>
            </w:r>
            <w:r>
              <w:rPr>
                <w:spacing w:val="42"/>
              </w:rPr>
              <w:t xml:space="preserve"> </w:t>
            </w:r>
            <w:r>
              <w:rPr>
                <w:spacing w:val="5"/>
              </w:rPr>
              <w:t>电感耦合等离子体质谱法</w:t>
            </w:r>
            <w:r>
              <w:rPr>
                <w:spacing w:val="-41"/>
              </w:rPr>
              <w:t xml:space="preserve"> </w:t>
            </w:r>
            <w:r>
              <w:rPr>
                <w:rFonts w:ascii="Times New Roman" w:hAnsi="Times New Roman" w:eastAsia="Times New Roman" w:cs="Times New Roman"/>
              </w:rPr>
              <w:t>HJ</w:t>
            </w:r>
            <w:r>
              <w:rPr>
                <w:rFonts w:ascii="Times New Roman" w:hAnsi="Times New Roman" w:eastAsia="Times New Roman" w:cs="Times New Roman"/>
                <w:spacing w:val="5"/>
              </w:rPr>
              <w:t xml:space="preserve"> 700-2014</w:t>
            </w:r>
          </w:p>
        </w:tc>
        <w:tc>
          <w:tcPr>
            <w:tcW w:w="1428" w:type="dxa"/>
            <w:vAlign w:val="top"/>
          </w:tcPr>
          <w:p>
            <w:pPr>
              <w:ind w:left="151"/>
              <w:spacing w:before="10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0.00006</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4"/>
              </w:rPr>
              <w:t>/L</w:t>
            </w:r>
          </w:p>
        </w:tc>
      </w:tr>
      <w:tr>
        <w:trPr>
          <w:trHeight w:val="345" w:hRule="atLeast"/>
        </w:trPr>
        <w:tc>
          <w:tcPr>
            <w:tcW w:w="596" w:type="dxa"/>
            <w:vAlign w:val="top"/>
          </w:tcPr>
          <w:p>
            <w:pPr>
              <w:ind w:left="199"/>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498" w:type="dxa"/>
            <w:vAlign w:val="top"/>
          </w:tcPr>
          <w:p>
            <w:pPr>
              <w:pStyle w:val="TableText"/>
              <w:ind w:left="653"/>
              <w:spacing w:before="68" w:line="230" w:lineRule="auto"/>
              <w:rPr/>
            </w:pPr>
            <w:r>
              <w:rPr/>
              <w:t>铬</w:t>
            </w:r>
          </w:p>
        </w:tc>
        <w:tc>
          <w:tcPr>
            <w:tcW w:w="6274" w:type="dxa"/>
            <w:vAlign w:val="top"/>
          </w:tcPr>
          <w:p>
            <w:pPr>
              <w:pStyle w:val="TableText"/>
              <w:ind w:left="161"/>
              <w:spacing w:before="69" w:line="229" w:lineRule="auto"/>
              <w:rPr>
                <w:rFonts w:ascii="Times New Roman" w:hAnsi="Times New Roman" w:eastAsia="Times New Roman" w:cs="Times New Roman"/>
              </w:rPr>
            </w:pPr>
            <w:r>
              <w:rPr>
                <w:spacing w:val="6"/>
              </w:rPr>
              <w:t>水质</w:t>
            </w:r>
            <w:r>
              <w:rPr>
                <w:spacing w:val="-36"/>
              </w:rPr>
              <w:t xml:space="preserve"> </w:t>
            </w:r>
            <w:r>
              <w:rPr>
                <w:rFonts w:ascii="Times New Roman" w:hAnsi="Times New Roman" w:eastAsia="Times New Roman" w:cs="Times New Roman"/>
                <w:spacing w:val="6"/>
              </w:rPr>
              <w:t>32</w:t>
            </w:r>
            <w:r>
              <w:rPr>
                <w:rFonts w:ascii="Times New Roman" w:hAnsi="Times New Roman" w:eastAsia="Times New Roman" w:cs="Times New Roman"/>
                <w:spacing w:val="17"/>
                <w:w w:val="101"/>
              </w:rPr>
              <w:t xml:space="preserve"> </w:t>
            </w:r>
            <w:r>
              <w:rPr>
                <w:spacing w:val="6"/>
              </w:rPr>
              <w:t>种元素的测定</w:t>
            </w:r>
            <w:r>
              <w:rPr>
                <w:spacing w:val="44"/>
              </w:rPr>
              <w:t xml:space="preserve"> </w:t>
            </w:r>
            <w:r>
              <w:rPr>
                <w:spacing w:val="6"/>
              </w:rPr>
              <w:t>电感耦合等离子体发射光谱法</w:t>
            </w:r>
            <w:r>
              <w:rPr>
                <w:spacing w:val="-44"/>
              </w:rPr>
              <w:t xml:space="preserve"> </w:t>
            </w:r>
            <w:r>
              <w:rPr>
                <w:rFonts w:ascii="Times New Roman" w:hAnsi="Times New Roman" w:eastAsia="Times New Roman" w:cs="Times New Roman"/>
              </w:rPr>
              <w:t>HJ</w:t>
            </w:r>
            <w:r>
              <w:rPr>
                <w:rFonts w:ascii="Times New Roman" w:hAnsi="Times New Roman" w:eastAsia="Times New Roman" w:cs="Times New Roman"/>
                <w:spacing w:val="6"/>
              </w:rPr>
              <w:t xml:space="preserve"> 776</w:t>
            </w:r>
            <w:r>
              <w:rPr>
                <w:rFonts w:ascii="Times New Roman" w:hAnsi="Times New Roman" w:eastAsia="Times New Roman" w:cs="Times New Roman"/>
                <w:spacing w:val="5"/>
              </w:rPr>
              <w:t>-2015</w:t>
            </w:r>
          </w:p>
        </w:tc>
        <w:tc>
          <w:tcPr>
            <w:tcW w:w="1428" w:type="dxa"/>
            <w:vAlign w:val="top"/>
          </w:tcPr>
          <w:p>
            <w:pPr>
              <w:ind w:left="307"/>
              <w:spacing w:before="100"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0.03</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/L</w:t>
            </w:r>
          </w:p>
        </w:tc>
      </w:tr>
      <w:tr>
        <w:trPr>
          <w:trHeight w:val="345" w:hRule="atLeast"/>
        </w:trPr>
        <w:tc>
          <w:tcPr>
            <w:tcW w:w="596" w:type="dxa"/>
            <w:vAlign w:val="top"/>
          </w:tcPr>
          <w:p>
            <w:pPr>
              <w:ind w:left="199"/>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1498" w:type="dxa"/>
            <w:vAlign w:val="top"/>
          </w:tcPr>
          <w:p>
            <w:pPr>
              <w:pStyle w:val="TableText"/>
              <w:ind w:left="558"/>
              <w:spacing w:before="69" w:line="229" w:lineRule="auto"/>
              <w:rPr/>
            </w:pPr>
            <w:r>
              <w:rPr>
                <w:spacing w:val="-3"/>
              </w:rPr>
              <w:t>总磷</w:t>
            </w:r>
          </w:p>
        </w:tc>
        <w:tc>
          <w:tcPr>
            <w:tcW w:w="6274" w:type="dxa"/>
            <w:vAlign w:val="top"/>
          </w:tcPr>
          <w:p>
            <w:pPr>
              <w:pStyle w:val="TableText"/>
              <w:ind w:left="161"/>
              <w:spacing w:before="69" w:line="229" w:lineRule="auto"/>
              <w:rPr>
                <w:rFonts w:ascii="Times New Roman" w:hAnsi="Times New Roman" w:eastAsia="Times New Roman" w:cs="Times New Roman"/>
              </w:rPr>
            </w:pPr>
            <w:r>
              <w:rPr>
                <w:spacing w:val="6"/>
              </w:rPr>
              <w:t>水质</w:t>
            </w:r>
            <w:r>
              <w:rPr>
                <w:spacing w:val="-36"/>
              </w:rPr>
              <w:t xml:space="preserve"> </w:t>
            </w:r>
            <w:r>
              <w:rPr>
                <w:rFonts w:ascii="Times New Roman" w:hAnsi="Times New Roman" w:eastAsia="Times New Roman" w:cs="Times New Roman"/>
                <w:spacing w:val="6"/>
              </w:rPr>
              <w:t>32</w:t>
            </w:r>
            <w:r>
              <w:rPr>
                <w:rFonts w:ascii="Times New Roman" w:hAnsi="Times New Roman" w:eastAsia="Times New Roman" w:cs="Times New Roman"/>
                <w:spacing w:val="17"/>
                <w:w w:val="101"/>
              </w:rPr>
              <w:t xml:space="preserve"> </w:t>
            </w:r>
            <w:r>
              <w:rPr>
                <w:spacing w:val="6"/>
              </w:rPr>
              <w:t>种元素的测定</w:t>
            </w:r>
            <w:r>
              <w:rPr>
                <w:spacing w:val="44"/>
              </w:rPr>
              <w:t xml:space="preserve"> </w:t>
            </w:r>
            <w:r>
              <w:rPr>
                <w:spacing w:val="6"/>
              </w:rPr>
              <w:t>电感耦合等离子体发射光谱法</w:t>
            </w:r>
            <w:r>
              <w:rPr>
                <w:spacing w:val="-44"/>
              </w:rPr>
              <w:t xml:space="preserve"> </w:t>
            </w:r>
            <w:r>
              <w:rPr>
                <w:rFonts w:ascii="Times New Roman" w:hAnsi="Times New Roman" w:eastAsia="Times New Roman" w:cs="Times New Roman"/>
              </w:rPr>
              <w:t>HJ</w:t>
            </w:r>
            <w:r>
              <w:rPr>
                <w:rFonts w:ascii="Times New Roman" w:hAnsi="Times New Roman" w:eastAsia="Times New Roman" w:cs="Times New Roman"/>
                <w:spacing w:val="6"/>
              </w:rPr>
              <w:t xml:space="preserve"> 776</w:t>
            </w:r>
            <w:r>
              <w:rPr>
                <w:rFonts w:ascii="Times New Roman" w:hAnsi="Times New Roman" w:eastAsia="Times New Roman" w:cs="Times New Roman"/>
                <w:spacing w:val="5"/>
              </w:rPr>
              <w:t>-2015</w:t>
            </w:r>
          </w:p>
        </w:tc>
        <w:tc>
          <w:tcPr>
            <w:tcW w:w="1428" w:type="dxa"/>
            <w:vAlign w:val="top"/>
          </w:tcPr>
          <w:p>
            <w:pPr>
              <w:ind w:left="307"/>
              <w:spacing w:before="10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0.06</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/L</w:t>
            </w:r>
          </w:p>
        </w:tc>
      </w:tr>
      <w:tr>
        <w:trPr>
          <w:trHeight w:val="628" w:hRule="atLeast"/>
        </w:trPr>
        <w:tc>
          <w:tcPr>
            <w:tcW w:w="596" w:type="dxa"/>
            <w:vAlign w:val="top"/>
          </w:tcPr>
          <w:p>
            <w:pPr>
              <w:ind w:left="199"/>
              <w:spacing w:before="2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1498" w:type="dxa"/>
            <w:vAlign w:val="top"/>
          </w:tcPr>
          <w:p>
            <w:pPr>
              <w:pStyle w:val="TableText"/>
              <w:ind w:left="248" w:right="119" w:hanging="116"/>
              <w:spacing w:before="54" w:line="260" w:lineRule="auto"/>
              <w:rPr>
                <w:rFonts w:ascii="Times New Roman" w:hAnsi="Times New Roman" w:eastAsia="Times New Roman" w:cs="Times New Roman"/>
              </w:rPr>
            </w:pPr>
            <w:r>
              <w:rPr>
                <w:spacing w:val="6"/>
              </w:rPr>
              <w:t>可萃取性石油</w:t>
            </w:r>
            <w:r>
              <w:rPr>
                <w:spacing w:val="3"/>
              </w:rPr>
              <w:t xml:space="preserve"> </w:t>
            </w:r>
            <w:r>
              <w:rPr>
                <w:spacing w:val="3"/>
              </w:rPr>
              <w:t>烃</w:t>
            </w:r>
            <w:r>
              <w:rPr>
                <w:rFonts w:ascii="Times New Roman" w:hAnsi="Times New Roman" w:eastAsia="Times New Roman" w:cs="Times New Roman"/>
                <w:spacing w:val="3"/>
              </w:rPr>
              <w:t>(C</w:t>
            </w:r>
            <w:r>
              <w:rPr>
                <w:rFonts w:ascii="Times New Roman" w:hAnsi="Times New Roman" w:eastAsia="Times New Roman" w:cs="Times New Roman"/>
                <w:sz w:val="13"/>
                <w:szCs w:val="13"/>
                <w:spacing w:val="3"/>
                <w:position w:val="-1"/>
              </w:rPr>
              <w:t>10</w:t>
            </w:r>
            <w:r>
              <w:rPr>
                <w:rFonts w:ascii="Times New Roman" w:hAnsi="Times New Roman" w:eastAsia="Times New Roman" w:cs="Times New Roman"/>
                <w:spacing w:val="3"/>
              </w:rPr>
              <w:t>~C</w:t>
            </w:r>
            <w:r>
              <w:rPr>
                <w:rFonts w:ascii="Times New Roman" w:hAnsi="Times New Roman" w:eastAsia="Times New Roman" w:cs="Times New Roman"/>
                <w:sz w:val="13"/>
                <w:szCs w:val="13"/>
                <w:spacing w:val="3"/>
                <w:position w:val="-1"/>
              </w:rPr>
              <w:t>40</w:t>
            </w:r>
            <w:r>
              <w:rPr>
                <w:rFonts w:ascii="Times New Roman" w:hAnsi="Times New Roman" w:eastAsia="Times New Roman" w:cs="Times New Roman"/>
                <w:spacing w:val="3"/>
              </w:rPr>
              <w:t>)</w:t>
            </w:r>
          </w:p>
        </w:tc>
        <w:tc>
          <w:tcPr>
            <w:tcW w:w="6274" w:type="dxa"/>
            <w:vAlign w:val="top"/>
          </w:tcPr>
          <w:p>
            <w:pPr>
              <w:pStyle w:val="TableText"/>
              <w:ind w:left="284"/>
              <w:spacing w:before="211" w:line="221" w:lineRule="auto"/>
              <w:rPr>
                <w:rFonts w:ascii="Times New Roman" w:hAnsi="Times New Roman" w:eastAsia="Times New Roman" w:cs="Times New Roman"/>
              </w:rPr>
            </w:pPr>
            <w:r>
              <w:rPr>
                <w:spacing w:val="6"/>
              </w:rPr>
              <w:t>水质</w:t>
            </w:r>
            <w:r>
              <w:rPr>
                <w:spacing w:val="6"/>
              </w:rPr>
              <w:t xml:space="preserve"> </w:t>
            </w:r>
            <w:r>
              <w:rPr>
                <w:spacing w:val="6"/>
              </w:rPr>
              <w:t>可萃取性石油烃</w:t>
            </w:r>
            <w:r>
              <w:rPr>
                <w:rFonts w:ascii="Times New Roman" w:hAnsi="Times New Roman" w:eastAsia="Times New Roman" w:cs="Times New Roman"/>
                <w:spacing w:val="6"/>
              </w:rPr>
              <w:t>(C</w:t>
            </w:r>
            <w:r>
              <w:rPr>
                <w:rFonts w:ascii="Times New Roman" w:hAnsi="Times New Roman" w:eastAsia="Times New Roman" w:cs="Times New Roman"/>
                <w:sz w:val="13"/>
                <w:szCs w:val="13"/>
                <w:spacing w:val="6"/>
                <w:position w:val="-1"/>
              </w:rPr>
              <w:t>10</w:t>
            </w:r>
            <w:r>
              <w:rPr>
                <w:rFonts w:ascii="Times New Roman" w:hAnsi="Times New Roman" w:eastAsia="Times New Roman" w:cs="Times New Roman"/>
                <w:spacing w:val="6"/>
              </w:rPr>
              <w:t>~C</w:t>
            </w:r>
            <w:r>
              <w:rPr>
                <w:rFonts w:ascii="Times New Roman" w:hAnsi="Times New Roman" w:eastAsia="Times New Roman" w:cs="Times New Roman"/>
                <w:sz w:val="13"/>
                <w:szCs w:val="13"/>
                <w:spacing w:val="6"/>
                <w:position w:val="-1"/>
              </w:rPr>
              <w:t>40</w:t>
            </w:r>
            <w:r>
              <w:rPr>
                <w:rFonts w:ascii="Times New Roman" w:hAnsi="Times New Roman" w:eastAsia="Times New Roman" w:cs="Times New Roman"/>
                <w:spacing w:val="6"/>
              </w:rPr>
              <w:t>)</w:t>
            </w:r>
            <w:r>
              <w:rPr>
                <w:spacing w:val="6"/>
              </w:rPr>
              <w:t>的测定</w:t>
            </w:r>
            <w:r>
              <w:rPr>
                <w:spacing w:val="6"/>
              </w:rPr>
              <w:t xml:space="preserve"> </w:t>
            </w:r>
            <w:r>
              <w:rPr>
                <w:spacing w:val="6"/>
              </w:rPr>
              <w:t>气相色谱法</w:t>
            </w:r>
            <w:r>
              <w:rPr>
                <w:spacing w:val="-26"/>
              </w:rPr>
              <w:t xml:space="preserve"> </w:t>
            </w:r>
            <w:r>
              <w:rPr>
                <w:rFonts w:ascii="Times New Roman" w:hAnsi="Times New Roman" w:eastAsia="Times New Roman" w:cs="Times New Roman"/>
              </w:rPr>
              <w:t>HJ</w:t>
            </w:r>
            <w:r>
              <w:rPr>
                <w:rFonts w:ascii="Times New Roman" w:hAnsi="Times New Roman" w:eastAsia="Times New Roman" w:cs="Times New Roman"/>
                <w:spacing w:val="16"/>
              </w:rPr>
              <w:t xml:space="preserve"> </w:t>
            </w:r>
            <w:r>
              <w:rPr>
                <w:rFonts w:ascii="Times New Roman" w:hAnsi="Times New Roman" w:eastAsia="Times New Roman" w:cs="Times New Roman"/>
                <w:spacing w:val="6"/>
              </w:rPr>
              <w:t>894-2017</w:t>
            </w:r>
          </w:p>
        </w:tc>
        <w:tc>
          <w:tcPr>
            <w:tcW w:w="1428" w:type="dxa"/>
            <w:vAlign w:val="top"/>
          </w:tcPr>
          <w:p>
            <w:pPr>
              <w:ind w:left="307"/>
              <w:spacing w:before="24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0.01</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/L</w:t>
            </w:r>
          </w:p>
        </w:tc>
      </w:tr>
      <w:tr>
        <w:trPr>
          <w:trHeight w:val="345" w:hRule="atLeast"/>
        </w:trPr>
        <w:tc>
          <w:tcPr>
            <w:tcW w:w="596" w:type="dxa"/>
            <w:vAlign w:val="top"/>
          </w:tcPr>
          <w:p>
            <w:pPr>
              <w:ind w:left="199"/>
              <w:spacing w:before="1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498" w:type="dxa"/>
            <w:vAlign w:val="top"/>
          </w:tcPr>
          <w:p>
            <w:pPr>
              <w:pStyle w:val="TableText"/>
              <w:ind w:left="362"/>
              <w:spacing w:before="70" w:line="231" w:lineRule="auto"/>
              <w:rPr/>
            </w:pPr>
            <w:r>
              <w:rPr>
                <w:spacing w:val="-1"/>
              </w:rPr>
              <w:t>四氯化碳</w:t>
            </w:r>
          </w:p>
        </w:tc>
        <w:tc>
          <w:tcPr>
            <w:tcW w:w="6274" w:type="dxa"/>
            <w:vAlign w:val="top"/>
          </w:tcPr>
          <w:p>
            <w:pPr>
              <w:pStyle w:val="TableText"/>
              <w:ind w:left="97"/>
              <w:spacing w:before="69" w:line="229" w:lineRule="auto"/>
              <w:rPr>
                <w:rFonts w:ascii="Times New Roman" w:hAnsi="Times New Roman" w:eastAsia="Times New Roman" w:cs="Times New Roman"/>
              </w:rPr>
            </w:pPr>
            <w:r>
              <w:rPr>
                <w:spacing w:val="7"/>
              </w:rPr>
              <w:t>水质</w:t>
            </w:r>
            <w:r>
              <w:rPr>
                <w:spacing w:val="7"/>
              </w:rPr>
              <w:t xml:space="preserve"> </w:t>
            </w:r>
            <w:r>
              <w:rPr>
                <w:spacing w:val="7"/>
              </w:rPr>
              <w:t>挥发性有机物的测定</w:t>
            </w:r>
            <w:r>
              <w:rPr>
                <w:spacing w:val="7"/>
              </w:rPr>
              <w:t xml:space="preserve"> </w:t>
            </w:r>
            <w:r>
              <w:rPr>
                <w:spacing w:val="7"/>
              </w:rPr>
              <w:t>吹扫捕集</w:t>
            </w:r>
            <w:r>
              <w:rPr>
                <w:rFonts w:ascii="Times New Roman" w:hAnsi="Times New Roman" w:eastAsia="Times New Roman" w:cs="Times New Roman"/>
                <w:spacing w:val="7"/>
              </w:rPr>
              <w:t>/</w:t>
            </w:r>
            <w:r>
              <w:rPr>
                <w:spacing w:val="7"/>
              </w:rPr>
              <w:t>气相色谱</w:t>
            </w:r>
            <w:r>
              <w:rPr>
                <w:rFonts w:ascii="Times New Roman" w:hAnsi="Times New Roman" w:eastAsia="Times New Roman" w:cs="Times New Roman"/>
                <w:spacing w:val="7"/>
              </w:rPr>
              <w:t>-</w:t>
            </w:r>
            <w:r>
              <w:rPr>
                <w:spacing w:val="7"/>
              </w:rPr>
              <w:t>质谱法</w:t>
            </w:r>
            <w:r>
              <w:rPr>
                <w:spacing w:val="-29"/>
              </w:rPr>
              <w:t xml:space="preserve"> </w:t>
            </w:r>
            <w:r>
              <w:rPr>
                <w:rFonts w:ascii="Times New Roman" w:hAnsi="Times New Roman" w:eastAsia="Times New Roman" w:cs="Times New Roman"/>
              </w:rPr>
              <w:t>HJ</w:t>
            </w:r>
            <w:r>
              <w:rPr>
                <w:rFonts w:ascii="Times New Roman" w:hAnsi="Times New Roman" w:eastAsia="Times New Roman" w:cs="Times New Roman"/>
                <w:spacing w:val="15"/>
              </w:rPr>
              <w:t xml:space="preserve"> </w:t>
            </w:r>
            <w:r>
              <w:rPr>
                <w:rFonts w:ascii="Times New Roman" w:hAnsi="Times New Roman" w:eastAsia="Times New Roman" w:cs="Times New Roman"/>
                <w:spacing w:val="7"/>
              </w:rPr>
              <w:t>639-2012</w:t>
            </w:r>
          </w:p>
        </w:tc>
        <w:tc>
          <w:tcPr>
            <w:tcW w:w="1428" w:type="dxa"/>
            <w:vAlign w:val="top"/>
          </w:tcPr>
          <w:p>
            <w:pPr>
              <w:ind w:left="403"/>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1.5μg/L</w:t>
            </w:r>
          </w:p>
        </w:tc>
      </w:tr>
      <w:tr>
        <w:trPr>
          <w:trHeight w:val="345" w:hRule="atLeast"/>
        </w:trPr>
        <w:tc>
          <w:tcPr>
            <w:tcW w:w="596" w:type="dxa"/>
            <w:vAlign w:val="top"/>
          </w:tcPr>
          <w:p>
            <w:pPr>
              <w:ind w:left="199"/>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1498" w:type="dxa"/>
            <w:vAlign w:val="top"/>
          </w:tcPr>
          <w:p>
            <w:pPr>
              <w:pStyle w:val="TableText"/>
              <w:ind w:left="553"/>
              <w:spacing w:before="68" w:line="231" w:lineRule="auto"/>
              <w:rPr/>
            </w:pPr>
            <w:r>
              <w:rPr>
                <w:spacing w:val="-1"/>
              </w:rPr>
              <w:t>氯仿</w:t>
            </w:r>
          </w:p>
        </w:tc>
        <w:tc>
          <w:tcPr>
            <w:tcW w:w="6274" w:type="dxa"/>
            <w:vAlign w:val="top"/>
          </w:tcPr>
          <w:p>
            <w:pPr>
              <w:pStyle w:val="TableText"/>
              <w:ind w:left="97"/>
              <w:spacing w:before="67" w:line="229" w:lineRule="auto"/>
              <w:rPr>
                <w:rFonts w:ascii="Times New Roman" w:hAnsi="Times New Roman" w:eastAsia="Times New Roman" w:cs="Times New Roman"/>
              </w:rPr>
            </w:pPr>
            <w:r>
              <w:rPr>
                <w:spacing w:val="7"/>
              </w:rPr>
              <w:t>水质</w:t>
            </w:r>
            <w:r>
              <w:rPr>
                <w:spacing w:val="7"/>
              </w:rPr>
              <w:t xml:space="preserve"> </w:t>
            </w:r>
            <w:r>
              <w:rPr>
                <w:spacing w:val="7"/>
              </w:rPr>
              <w:t>挥发性有机物的测定</w:t>
            </w:r>
            <w:r>
              <w:rPr>
                <w:spacing w:val="7"/>
              </w:rPr>
              <w:t xml:space="preserve"> </w:t>
            </w:r>
            <w:r>
              <w:rPr>
                <w:spacing w:val="7"/>
              </w:rPr>
              <w:t>吹扫捕集</w:t>
            </w:r>
            <w:r>
              <w:rPr>
                <w:rFonts w:ascii="Times New Roman" w:hAnsi="Times New Roman" w:eastAsia="Times New Roman" w:cs="Times New Roman"/>
                <w:spacing w:val="7"/>
              </w:rPr>
              <w:t>/</w:t>
            </w:r>
            <w:r>
              <w:rPr>
                <w:spacing w:val="7"/>
              </w:rPr>
              <w:t>气相色谱</w:t>
            </w:r>
            <w:r>
              <w:rPr>
                <w:rFonts w:ascii="Times New Roman" w:hAnsi="Times New Roman" w:eastAsia="Times New Roman" w:cs="Times New Roman"/>
                <w:spacing w:val="7"/>
              </w:rPr>
              <w:t>-</w:t>
            </w:r>
            <w:r>
              <w:rPr>
                <w:spacing w:val="7"/>
              </w:rPr>
              <w:t>质谱法</w:t>
            </w:r>
            <w:r>
              <w:rPr>
                <w:spacing w:val="-29"/>
              </w:rPr>
              <w:t xml:space="preserve"> </w:t>
            </w:r>
            <w:r>
              <w:rPr>
                <w:rFonts w:ascii="Times New Roman" w:hAnsi="Times New Roman" w:eastAsia="Times New Roman" w:cs="Times New Roman"/>
              </w:rPr>
              <w:t>HJ</w:t>
            </w:r>
            <w:r>
              <w:rPr>
                <w:rFonts w:ascii="Times New Roman" w:hAnsi="Times New Roman" w:eastAsia="Times New Roman" w:cs="Times New Roman"/>
                <w:spacing w:val="15"/>
              </w:rPr>
              <w:t xml:space="preserve"> </w:t>
            </w:r>
            <w:r>
              <w:rPr>
                <w:rFonts w:ascii="Times New Roman" w:hAnsi="Times New Roman" w:eastAsia="Times New Roman" w:cs="Times New Roman"/>
                <w:spacing w:val="7"/>
              </w:rPr>
              <w:t>639-2012</w:t>
            </w:r>
          </w:p>
        </w:tc>
        <w:tc>
          <w:tcPr>
            <w:tcW w:w="1428" w:type="dxa"/>
            <w:vAlign w:val="top"/>
          </w:tcPr>
          <w:p>
            <w:pPr>
              <w:ind w:left="403"/>
              <w:spacing w:before="10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1.4μg/L</w:t>
            </w:r>
          </w:p>
        </w:tc>
      </w:tr>
      <w:tr>
        <w:trPr>
          <w:trHeight w:val="345" w:hRule="atLeast"/>
        </w:trPr>
        <w:tc>
          <w:tcPr>
            <w:tcW w:w="596" w:type="dxa"/>
            <w:vAlign w:val="top"/>
          </w:tcPr>
          <w:p>
            <w:pPr>
              <w:ind w:left="194"/>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w:t>
            </w:r>
          </w:p>
        </w:tc>
        <w:tc>
          <w:tcPr>
            <w:tcW w:w="1498" w:type="dxa"/>
            <w:vAlign w:val="top"/>
          </w:tcPr>
          <w:p>
            <w:pPr>
              <w:pStyle w:val="TableText"/>
              <w:ind w:left="655"/>
              <w:spacing w:before="68" w:line="226" w:lineRule="auto"/>
              <w:rPr/>
            </w:pPr>
            <w:r>
              <w:rPr/>
              <w:t>苯</w:t>
            </w:r>
          </w:p>
        </w:tc>
        <w:tc>
          <w:tcPr>
            <w:tcW w:w="6274" w:type="dxa"/>
            <w:vAlign w:val="top"/>
          </w:tcPr>
          <w:p>
            <w:pPr>
              <w:pStyle w:val="TableText"/>
              <w:ind w:left="97"/>
              <w:spacing w:before="68" w:line="229" w:lineRule="auto"/>
              <w:rPr>
                <w:rFonts w:ascii="Times New Roman" w:hAnsi="Times New Roman" w:eastAsia="Times New Roman" w:cs="Times New Roman"/>
              </w:rPr>
            </w:pPr>
            <w:r>
              <w:rPr>
                <w:spacing w:val="7"/>
              </w:rPr>
              <w:t>水质</w:t>
            </w:r>
            <w:r>
              <w:rPr>
                <w:spacing w:val="7"/>
              </w:rPr>
              <w:t xml:space="preserve"> </w:t>
            </w:r>
            <w:r>
              <w:rPr>
                <w:spacing w:val="7"/>
              </w:rPr>
              <w:t>挥发性有机物的测定</w:t>
            </w:r>
            <w:r>
              <w:rPr>
                <w:spacing w:val="7"/>
              </w:rPr>
              <w:t xml:space="preserve"> </w:t>
            </w:r>
            <w:r>
              <w:rPr>
                <w:spacing w:val="7"/>
              </w:rPr>
              <w:t>吹扫捕集</w:t>
            </w:r>
            <w:r>
              <w:rPr>
                <w:rFonts w:ascii="Times New Roman" w:hAnsi="Times New Roman" w:eastAsia="Times New Roman" w:cs="Times New Roman"/>
                <w:spacing w:val="7"/>
              </w:rPr>
              <w:t>/</w:t>
            </w:r>
            <w:r>
              <w:rPr>
                <w:spacing w:val="7"/>
              </w:rPr>
              <w:t>气相色谱</w:t>
            </w:r>
            <w:r>
              <w:rPr>
                <w:rFonts w:ascii="Times New Roman" w:hAnsi="Times New Roman" w:eastAsia="Times New Roman" w:cs="Times New Roman"/>
                <w:spacing w:val="7"/>
              </w:rPr>
              <w:t>-</w:t>
            </w:r>
            <w:r>
              <w:rPr>
                <w:spacing w:val="7"/>
              </w:rPr>
              <w:t>质谱法</w:t>
            </w:r>
            <w:r>
              <w:rPr>
                <w:spacing w:val="-29"/>
              </w:rPr>
              <w:t xml:space="preserve"> </w:t>
            </w:r>
            <w:r>
              <w:rPr>
                <w:rFonts w:ascii="Times New Roman" w:hAnsi="Times New Roman" w:eastAsia="Times New Roman" w:cs="Times New Roman"/>
              </w:rPr>
              <w:t>HJ</w:t>
            </w:r>
            <w:r>
              <w:rPr>
                <w:rFonts w:ascii="Times New Roman" w:hAnsi="Times New Roman" w:eastAsia="Times New Roman" w:cs="Times New Roman"/>
                <w:spacing w:val="15"/>
              </w:rPr>
              <w:t xml:space="preserve"> </w:t>
            </w:r>
            <w:r>
              <w:rPr>
                <w:rFonts w:ascii="Times New Roman" w:hAnsi="Times New Roman" w:eastAsia="Times New Roman" w:cs="Times New Roman"/>
                <w:spacing w:val="7"/>
              </w:rPr>
              <w:t>639-2012</w:t>
            </w:r>
          </w:p>
        </w:tc>
        <w:tc>
          <w:tcPr>
            <w:tcW w:w="1428" w:type="dxa"/>
            <w:vAlign w:val="top"/>
          </w:tcPr>
          <w:p>
            <w:pPr>
              <w:ind w:left="403"/>
              <w:spacing w:before="10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1.4μg/L</w:t>
            </w:r>
          </w:p>
        </w:tc>
      </w:tr>
      <w:tr>
        <w:trPr>
          <w:trHeight w:val="345" w:hRule="atLeast"/>
        </w:trPr>
        <w:tc>
          <w:tcPr>
            <w:tcW w:w="596" w:type="dxa"/>
            <w:vAlign w:val="top"/>
          </w:tcPr>
          <w:p>
            <w:pPr>
              <w:ind w:left="194"/>
              <w:spacing w:before="1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w:t>
            </w:r>
          </w:p>
        </w:tc>
        <w:tc>
          <w:tcPr>
            <w:tcW w:w="1498" w:type="dxa"/>
            <w:vAlign w:val="top"/>
          </w:tcPr>
          <w:p>
            <w:pPr>
              <w:pStyle w:val="TableText"/>
              <w:ind w:left="577"/>
              <w:spacing w:before="68" w:line="226" w:lineRule="auto"/>
              <w:rPr/>
            </w:pPr>
            <w:r>
              <w:rPr>
                <w:spacing w:val="-12"/>
              </w:rPr>
              <w:t>甲苯</w:t>
            </w:r>
          </w:p>
        </w:tc>
        <w:tc>
          <w:tcPr>
            <w:tcW w:w="6274" w:type="dxa"/>
            <w:vAlign w:val="top"/>
          </w:tcPr>
          <w:p>
            <w:pPr>
              <w:pStyle w:val="TableText"/>
              <w:ind w:left="97"/>
              <w:spacing w:before="68" w:line="229" w:lineRule="auto"/>
              <w:rPr>
                <w:rFonts w:ascii="Times New Roman" w:hAnsi="Times New Roman" w:eastAsia="Times New Roman" w:cs="Times New Roman"/>
              </w:rPr>
            </w:pPr>
            <w:r>
              <w:rPr>
                <w:spacing w:val="7"/>
              </w:rPr>
              <w:t>水质</w:t>
            </w:r>
            <w:r>
              <w:rPr>
                <w:spacing w:val="7"/>
              </w:rPr>
              <w:t xml:space="preserve"> </w:t>
            </w:r>
            <w:r>
              <w:rPr>
                <w:spacing w:val="7"/>
              </w:rPr>
              <w:t>挥发性有机物的测定</w:t>
            </w:r>
            <w:r>
              <w:rPr>
                <w:spacing w:val="7"/>
              </w:rPr>
              <w:t xml:space="preserve"> </w:t>
            </w:r>
            <w:r>
              <w:rPr>
                <w:spacing w:val="7"/>
              </w:rPr>
              <w:t>吹扫捕集</w:t>
            </w:r>
            <w:r>
              <w:rPr>
                <w:rFonts w:ascii="Times New Roman" w:hAnsi="Times New Roman" w:eastAsia="Times New Roman" w:cs="Times New Roman"/>
                <w:spacing w:val="7"/>
              </w:rPr>
              <w:t>/</w:t>
            </w:r>
            <w:r>
              <w:rPr>
                <w:spacing w:val="7"/>
              </w:rPr>
              <w:t>气相色谱</w:t>
            </w:r>
            <w:r>
              <w:rPr>
                <w:rFonts w:ascii="Times New Roman" w:hAnsi="Times New Roman" w:eastAsia="Times New Roman" w:cs="Times New Roman"/>
                <w:spacing w:val="7"/>
              </w:rPr>
              <w:t>-</w:t>
            </w:r>
            <w:r>
              <w:rPr>
                <w:spacing w:val="7"/>
              </w:rPr>
              <w:t>质谱法</w:t>
            </w:r>
            <w:r>
              <w:rPr>
                <w:spacing w:val="-29"/>
              </w:rPr>
              <w:t xml:space="preserve"> </w:t>
            </w:r>
            <w:r>
              <w:rPr>
                <w:rFonts w:ascii="Times New Roman" w:hAnsi="Times New Roman" w:eastAsia="Times New Roman" w:cs="Times New Roman"/>
              </w:rPr>
              <w:t>HJ</w:t>
            </w:r>
            <w:r>
              <w:rPr>
                <w:rFonts w:ascii="Times New Roman" w:hAnsi="Times New Roman" w:eastAsia="Times New Roman" w:cs="Times New Roman"/>
                <w:spacing w:val="15"/>
              </w:rPr>
              <w:t xml:space="preserve"> </w:t>
            </w:r>
            <w:r>
              <w:rPr>
                <w:rFonts w:ascii="Times New Roman" w:hAnsi="Times New Roman" w:eastAsia="Times New Roman" w:cs="Times New Roman"/>
                <w:spacing w:val="7"/>
              </w:rPr>
              <w:t>639-2012</w:t>
            </w:r>
          </w:p>
        </w:tc>
        <w:tc>
          <w:tcPr>
            <w:tcW w:w="1428" w:type="dxa"/>
            <w:vAlign w:val="top"/>
          </w:tcPr>
          <w:p>
            <w:pPr>
              <w:ind w:left="403"/>
              <w:spacing w:before="10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1.4μg/L</w:t>
            </w:r>
          </w:p>
        </w:tc>
      </w:tr>
      <w:tr>
        <w:trPr>
          <w:trHeight w:val="628" w:hRule="atLeast"/>
        </w:trPr>
        <w:tc>
          <w:tcPr>
            <w:tcW w:w="596" w:type="dxa"/>
            <w:vAlign w:val="top"/>
          </w:tcPr>
          <w:p>
            <w:pPr>
              <w:ind w:left="194"/>
              <w:spacing w:before="2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w:t>
            </w:r>
          </w:p>
        </w:tc>
        <w:tc>
          <w:tcPr>
            <w:tcW w:w="1498" w:type="dxa"/>
            <w:vAlign w:val="top"/>
          </w:tcPr>
          <w:p>
            <w:pPr>
              <w:pStyle w:val="TableText"/>
              <w:ind w:left="331"/>
              <w:spacing w:before="210" w:line="221" w:lineRule="auto"/>
              <w:rPr/>
            </w:pPr>
            <w:r>
              <w:rPr>
                <w:spacing w:val="3"/>
              </w:rPr>
              <w:t>苯并</w:t>
            </w:r>
            <w:r>
              <w:rPr>
                <w:rFonts w:ascii="Times New Roman" w:hAnsi="Times New Roman" w:eastAsia="Times New Roman" w:cs="Times New Roman"/>
                <w:spacing w:val="3"/>
              </w:rPr>
              <w:t>[a]</w:t>
            </w:r>
            <w:r>
              <w:rPr>
                <w:spacing w:val="3"/>
              </w:rPr>
              <w:t>芘</w:t>
            </w:r>
          </w:p>
        </w:tc>
        <w:tc>
          <w:tcPr>
            <w:tcW w:w="6274" w:type="dxa"/>
            <w:vAlign w:val="top"/>
          </w:tcPr>
          <w:p>
            <w:pPr>
              <w:pStyle w:val="TableText"/>
              <w:ind w:left="365"/>
              <w:spacing w:before="55" w:line="228" w:lineRule="auto"/>
              <w:rPr/>
            </w:pPr>
            <w:r>
              <w:rPr>
                <w:spacing w:val="8"/>
              </w:rPr>
              <w:t>水质</w:t>
            </w:r>
            <w:r>
              <w:rPr>
                <w:spacing w:val="33"/>
              </w:rPr>
              <w:t xml:space="preserve"> </w:t>
            </w:r>
            <w:r>
              <w:rPr>
                <w:spacing w:val="8"/>
              </w:rPr>
              <w:t>多环芳烃的测定</w:t>
            </w:r>
            <w:r>
              <w:rPr>
                <w:spacing w:val="8"/>
              </w:rPr>
              <w:t xml:space="preserve"> </w:t>
            </w:r>
            <w:r>
              <w:rPr>
                <w:spacing w:val="8"/>
              </w:rPr>
              <w:t>液液萃取和固相萃取</w:t>
            </w:r>
            <w:r>
              <w:rPr>
                <w:spacing w:val="8"/>
              </w:rPr>
              <w:t xml:space="preserve"> </w:t>
            </w:r>
            <w:r>
              <w:rPr>
                <w:spacing w:val="8"/>
              </w:rPr>
              <w:t>高效液相色谱法</w:t>
            </w:r>
          </w:p>
          <w:p>
            <w:pPr>
              <w:ind w:left="2593"/>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5"/>
              </w:rPr>
              <w:t xml:space="preserve"> 478-2009</w:t>
            </w:r>
          </w:p>
        </w:tc>
        <w:tc>
          <w:tcPr>
            <w:tcW w:w="1428" w:type="dxa"/>
            <w:vAlign w:val="top"/>
          </w:tcPr>
          <w:p>
            <w:pPr>
              <w:ind w:left="280"/>
              <w:spacing w:before="24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0.004μg/L</w:t>
            </w:r>
          </w:p>
        </w:tc>
      </w:tr>
      <w:tr>
        <w:trPr>
          <w:trHeight w:val="629" w:hRule="atLeast"/>
        </w:trPr>
        <w:tc>
          <w:tcPr>
            <w:tcW w:w="596" w:type="dxa"/>
            <w:vAlign w:val="top"/>
          </w:tcPr>
          <w:p>
            <w:pPr>
              <w:ind w:left="194"/>
              <w:spacing w:before="2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43</w:t>
            </w:r>
          </w:p>
        </w:tc>
        <w:tc>
          <w:tcPr>
            <w:tcW w:w="1498" w:type="dxa"/>
            <w:vAlign w:val="top"/>
          </w:tcPr>
          <w:p>
            <w:pPr>
              <w:pStyle w:val="TableText"/>
              <w:ind w:left="471"/>
              <w:spacing w:before="211" w:line="231" w:lineRule="auto"/>
              <w:rPr/>
            </w:pPr>
            <w:r>
              <w:rPr>
                <w:spacing w:val="-5"/>
              </w:rPr>
              <w:t>甲基汞</w:t>
            </w:r>
          </w:p>
        </w:tc>
        <w:tc>
          <w:tcPr>
            <w:tcW w:w="6274" w:type="dxa"/>
            <w:vAlign w:val="top"/>
          </w:tcPr>
          <w:p>
            <w:pPr>
              <w:pStyle w:val="TableText"/>
              <w:ind w:left="459"/>
              <w:spacing w:before="55" w:line="230" w:lineRule="auto"/>
              <w:rPr/>
            </w:pPr>
            <w:r>
              <w:rPr>
                <w:spacing w:val="8"/>
              </w:rPr>
              <w:t>水质</w:t>
            </w:r>
            <w:r>
              <w:rPr>
                <w:spacing w:val="8"/>
              </w:rPr>
              <w:t xml:space="preserve"> </w:t>
            </w:r>
            <w:r>
              <w:rPr>
                <w:spacing w:val="8"/>
              </w:rPr>
              <w:t>烷基汞的测定</w:t>
            </w:r>
            <w:r>
              <w:rPr>
                <w:spacing w:val="31"/>
              </w:rPr>
              <w:t xml:space="preserve"> </w:t>
            </w:r>
            <w:r>
              <w:rPr>
                <w:spacing w:val="8"/>
              </w:rPr>
              <w:t>吹扫捕集</w:t>
            </w:r>
            <w:r>
              <w:rPr>
                <w:rFonts w:ascii="Times New Roman" w:hAnsi="Times New Roman" w:eastAsia="Times New Roman" w:cs="Times New Roman"/>
                <w:spacing w:val="8"/>
              </w:rPr>
              <w:t>/</w:t>
            </w:r>
            <w:r>
              <w:rPr>
                <w:spacing w:val="8"/>
              </w:rPr>
              <w:t>气相色谱</w:t>
            </w:r>
            <w:r>
              <w:rPr>
                <w:rFonts w:ascii="Times New Roman" w:hAnsi="Times New Roman" w:eastAsia="Times New Roman" w:cs="Times New Roman"/>
                <w:spacing w:val="8"/>
              </w:rPr>
              <w:t>-</w:t>
            </w:r>
            <w:r>
              <w:rPr>
                <w:spacing w:val="7"/>
              </w:rPr>
              <w:t>冷原子荧光光谱法</w:t>
            </w:r>
          </w:p>
          <w:p>
            <w:pPr>
              <w:ind w:left="2566"/>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spacing w:val="4"/>
              </w:rPr>
              <w:t>977- 2018</w:t>
            </w:r>
          </w:p>
        </w:tc>
        <w:tc>
          <w:tcPr>
            <w:tcW w:w="1428" w:type="dxa"/>
            <w:vAlign w:val="top"/>
          </w:tcPr>
          <w:p>
            <w:pPr>
              <w:ind w:left="388"/>
              <w:spacing w:before="246"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0.5</w:t>
            </w:r>
            <w:r>
              <w:rPr>
                <w:rFonts w:ascii="Times New Roman" w:hAnsi="Times New Roman" w:eastAsia="Times New Roman" w:cs="Times New Roman"/>
                <w:sz w:val="20"/>
                <w:szCs w:val="20"/>
              </w:rPr>
              <w:t>ng</w:t>
            </w:r>
            <w:r>
              <w:rPr>
                <w:rFonts w:ascii="Times New Roman" w:hAnsi="Times New Roman" w:eastAsia="Times New Roman" w:cs="Times New Roman"/>
                <w:sz w:val="20"/>
                <w:szCs w:val="20"/>
                <w:spacing w:val="4"/>
              </w:rPr>
              <w:t>/L</w:t>
            </w:r>
          </w:p>
        </w:tc>
      </w:tr>
      <w:tr>
        <w:trPr>
          <w:trHeight w:val="633" w:hRule="atLeast"/>
        </w:trPr>
        <w:tc>
          <w:tcPr>
            <w:tcW w:w="596" w:type="dxa"/>
            <w:vAlign w:val="top"/>
          </w:tcPr>
          <w:p>
            <w:pPr>
              <w:ind w:left="194"/>
              <w:spacing w:before="2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44</w:t>
            </w:r>
          </w:p>
        </w:tc>
        <w:tc>
          <w:tcPr>
            <w:tcW w:w="1498" w:type="dxa"/>
            <w:vAlign w:val="top"/>
          </w:tcPr>
          <w:p>
            <w:pPr>
              <w:pStyle w:val="TableText"/>
              <w:ind w:left="458"/>
              <w:spacing w:before="211" w:line="232" w:lineRule="auto"/>
              <w:rPr/>
            </w:pPr>
            <w:r>
              <w:rPr/>
              <w:t>乙基汞</w:t>
            </w:r>
          </w:p>
        </w:tc>
        <w:tc>
          <w:tcPr>
            <w:tcW w:w="6274" w:type="dxa"/>
            <w:vAlign w:val="top"/>
          </w:tcPr>
          <w:p>
            <w:pPr>
              <w:pStyle w:val="TableText"/>
              <w:ind w:left="459"/>
              <w:spacing w:before="55" w:line="230" w:lineRule="auto"/>
              <w:rPr/>
            </w:pPr>
            <w:r>
              <w:rPr>
                <w:spacing w:val="8"/>
              </w:rPr>
              <w:t>水质</w:t>
            </w:r>
            <w:r>
              <w:rPr>
                <w:spacing w:val="8"/>
              </w:rPr>
              <w:t xml:space="preserve"> </w:t>
            </w:r>
            <w:r>
              <w:rPr>
                <w:spacing w:val="8"/>
              </w:rPr>
              <w:t>烷基汞的测定</w:t>
            </w:r>
            <w:r>
              <w:rPr>
                <w:spacing w:val="31"/>
              </w:rPr>
              <w:t xml:space="preserve"> </w:t>
            </w:r>
            <w:r>
              <w:rPr>
                <w:spacing w:val="8"/>
              </w:rPr>
              <w:t>吹扫捕集</w:t>
            </w:r>
            <w:r>
              <w:rPr>
                <w:rFonts w:ascii="Times New Roman" w:hAnsi="Times New Roman" w:eastAsia="Times New Roman" w:cs="Times New Roman"/>
                <w:spacing w:val="8"/>
              </w:rPr>
              <w:t>/</w:t>
            </w:r>
            <w:r>
              <w:rPr>
                <w:spacing w:val="8"/>
              </w:rPr>
              <w:t>气相色谱</w:t>
            </w:r>
            <w:r>
              <w:rPr>
                <w:rFonts w:ascii="Times New Roman" w:hAnsi="Times New Roman" w:eastAsia="Times New Roman" w:cs="Times New Roman"/>
                <w:spacing w:val="8"/>
              </w:rPr>
              <w:t>-</w:t>
            </w:r>
            <w:r>
              <w:rPr>
                <w:spacing w:val="7"/>
              </w:rPr>
              <w:t>冷原子荧光光谱法</w:t>
            </w:r>
          </w:p>
          <w:p>
            <w:pPr>
              <w:ind w:left="2566"/>
              <w:spacing w:before="10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spacing w:val="4"/>
              </w:rPr>
              <w:t>977- 2018</w:t>
            </w:r>
          </w:p>
        </w:tc>
        <w:tc>
          <w:tcPr>
            <w:tcW w:w="1428" w:type="dxa"/>
            <w:vAlign w:val="top"/>
          </w:tcPr>
          <w:p>
            <w:pPr>
              <w:ind w:left="388"/>
              <w:spacing w:before="245"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0.5</w:t>
            </w:r>
            <w:r>
              <w:rPr>
                <w:rFonts w:ascii="Times New Roman" w:hAnsi="Times New Roman" w:eastAsia="Times New Roman" w:cs="Times New Roman"/>
                <w:sz w:val="20"/>
                <w:szCs w:val="20"/>
              </w:rPr>
              <w:t>ng</w:t>
            </w:r>
            <w:r>
              <w:rPr>
                <w:rFonts w:ascii="Times New Roman" w:hAnsi="Times New Roman" w:eastAsia="Times New Roman" w:cs="Times New Roman"/>
                <w:sz w:val="20"/>
                <w:szCs w:val="20"/>
                <w:spacing w:val="4"/>
              </w:rPr>
              <w:t>/L</w:t>
            </w:r>
          </w:p>
        </w:tc>
      </w:tr>
    </w:tbl>
    <w:p>
      <w:pPr>
        <w:rPr>
          <w:rFonts w:ascii="Arial"/>
          <w:sz w:val="21"/>
        </w:rPr>
      </w:pPr>
      <w:r/>
    </w:p>
    <w:p>
      <w:pPr>
        <w:sectPr>
          <w:headerReference w:type="default" r:id="rId143"/>
          <w:footerReference w:type="default" r:id="rId144"/>
          <w:pgSz w:w="11906" w:h="16839"/>
          <w:pgMar w:top="1139" w:right="1052" w:bottom="1252" w:left="1052" w:header="831" w:footer="1090" w:gutter="0"/>
        </w:sectPr>
        <w:rPr>
          <w:rFonts w:ascii="Arial" w:hAnsi="Arial" w:eastAsia="Arial" w:cs="Arial"/>
          <w:sz w:val="21"/>
          <w:szCs w:val="21"/>
        </w:rPr>
      </w:pPr>
    </w:p>
    <w:p>
      <w:pPr>
        <w:pStyle w:val="BodyText"/>
        <w:ind w:left="116"/>
        <w:spacing w:before="171" w:line="222" w:lineRule="auto"/>
        <w:outlineLvl w:val="2"/>
        <w:rPr>
          <w:rFonts w:ascii="FangSong" w:hAnsi="FangSong" w:eastAsia="FangSong" w:cs="FangSong"/>
          <w:sz w:val="24"/>
          <w:szCs w:val="24"/>
        </w:rPr>
      </w:pPr>
      <w:r>
        <w:rPr>
          <w:sz w:val="24"/>
          <w:szCs w:val="24"/>
          <w:b/>
          <w:bCs/>
          <w:spacing w:val="-2"/>
        </w:rPr>
        <w:t>8.2.2  </w:t>
      </w:r>
      <w:r>
        <w:rPr>
          <w:rFonts w:ascii="FangSong" w:hAnsi="FangSong" w:eastAsia="FangSong" w:cs="FangSong"/>
          <w:sz w:val="24"/>
          <w:szCs w:val="24"/>
          <w:b/>
          <w:bCs/>
          <w:spacing w:val="-2"/>
        </w:rPr>
        <w:t>各点位监测结果</w:t>
      </w:r>
    </w:p>
    <w:p>
      <w:pPr>
        <w:pStyle w:val="BodyText"/>
        <w:ind w:left="4656"/>
        <w:spacing w:before="100" w:line="213" w:lineRule="auto"/>
        <w:rPr>
          <w:rFonts w:ascii="FangSong" w:hAnsi="FangSong" w:eastAsia="FangSong" w:cs="FangSong"/>
          <w:sz w:val="24"/>
          <w:szCs w:val="24"/>
        </w:rPr>
      </w:pPr>
      <w:r>
        <w:rPr>
          <w:rFonts w:ascii="FangSong" w:hAnsi="FangSong" w:eastAsia="FangSong" w:cs="FangSong"/>
          <w:sz w:val="24"/>
          <w:szCs w:val="24"/>
          <w:b/>
          <w:bCs/>
          <w:spacing w:val="-2"/>
        </w:rPr>
        <w:t>表</w:t>
      </w:r>
      <w:r>
        <w:rPr>
          <w:sz w:val="24"/>
          <w:szCs w:val="24"/>
          <w:b/>
          <w:bCs/>
          <w:spacing w:val="-2"/>
        </w:rPr>
        <w:t>8.2-2 2025</w:t>
      </w:r>
      <w:r>
        <w:rPr>
          <w:rFonts w:ascii="FangSong" w:hAnsi="FangSong" w:eastAsia="FangSong" w:cs="FangSong"/>
          <w:sz w:val="24"/>
          <w:szCs w:val="24"/>
          <w:b/>
          <w:bCs/>
          <w:spacing w:val="-2"/>
        </w:rPr>
        <w:t>年地下水样品检测结果（有检出）</w:t>
      </w:r>
    </w:p>
    <w:tbl>
      <w:tblPr>
        <w:tblStyle w:val="TableNormal"/>
        <w:tblW w:w="1416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853"/>
        <w:gridCol w:w="1553"/>
        <w:gridCol w:w="1091"/>
        <w:gridCol w:w="1580"/>
        <w:gridCol w:w="1127"/>
        <w:gridCol w:w="1540"/>
        <w:gridCol w:w="1023"/>
        <w:gridCol w:w="1495"/>
        <w:gridCol w:w="935"/>
        <w:gridCol w:w="970"/>
      </w:tblGrid>
      <w:tr>
        <w:trPr>
          <w:trHeight w:val="292" w:hRule="atLeast"/>
        </w:trPr>
        <w:tc>
          <w:tcPr>
            <w:tcW w:w="2853" w:type="dxa"/>
            <w:vAlign w:val="top"/>
          </w:tcPr>
          <w:p>
            <w:pPr>
              <w:pStyle w:val="TableText"/>
              <w:ind w:left="1018"/>
              <w:spacing w:before="40" w:line="223" w:lineRule="auto"/>
              <w:rPr/>
            </w:pPr>
            <w:r>
              <w:rPr>
                <w:b/>
                <w:bCs/>
                <w:spacing w:val="4"/>
              </w:rPr>
              <w:t>采样日期</w:t>
            </w:r>
          </w:p>
        </w:tc>
        <w:tc>
          <w:tcPr>
            <w:tcW w:w="2644" w:type="dxa"/>
            <w:vAlign w:val="top"/>
            <w:gridSpan w:val="2"/>
          </w:tcPr>
          <w:p>
            <w:pPr>
              <w:ind w:left="849"/>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2025.05.08</w:t>
            </w:r>
          </w:p>
        </w:tc>
        <w:tc>
          <w:tcPr>
            <w:tcW w:w="7700" w:type="dxa"/>
            <w:vAlign w:val="top"/>
            <w:gridSpan w:val="6"/>
          </w:tcPr>
          <w:p>
            <w:pPr>
              <w:ind w:left="3380"/>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2025.08.18</w:t>
            </w:r>
          </w:p>
        </w:tc>
        <w:tc>
          <w:tcPr>
            <w:tcW w:w="970" w:type="dxa"/>
            <w:vAlign w:val="top"/>
            <w:vMerge w:val="restart"/>
            <w:tcBorders>
              <w:bottom w:val="nil"/>
            </w:tcBorders>
          </w:tcPr>
          <w:p>
            <w:pPr>
              <w:pStyle w:val="TableText"/>
              <w:ind w:left="289"/>
              <w:spacing w:before="187" w:line="229" w:lineRule="auto"/>
              <w:rPr/>
            </w:pPr>
            <w:r>
              <w:rPr>
                <w:b/>
                <w:bCs/>
                <w:spacing w:val="-1"/>
              </w:rPr>
              <w:t>单位</w:t>
            </w:r>
          </w:p>
        </w:tc>
      </w:tr>
      <w:tr>
        <w:trPr>
          <w:trHeight w:val="288" w:hRule="atLeast"/>
        </w:trPr>
        <w:tc>
          <w:tcPr>
            <w:tcW w:w="2853" w:type="dxa"/>
            <w:vAlign w:val="top"/>
          </w:tcPr>
          <w:p>
            <w:pPr>
              <w:pStyle w:val="TableText"/>
              <w:ind w:left="1016"/>
              <w:spacing w:before="36" w:line="223" w:lineRule="auto"/>
              <w:rPr/>
            </w:pPr>
            <w:r>
              <w:rPr>
                <w:b/>
                <w:bCs/>
                <w:spacing w:val="5"/>
              </w:rPr>
              <w:t>测点名称</w:t>
            </w:r>
          </w:p>
        </w:tc>
        <w:tc>
          <w:tcPr>
            <w:tcW w:w="2644" w:type="dxa"/>
            <w:vAlign w:val="top"/>
            <w:gridSpan w:val="2"/>
          </w:tcPr>
          <w:p>
            <w:pPr>
              <w:ind w:left="1063"/>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DZS</w:t>
            </w:r>
            <w:r>
              <w:rPr>
                <w:rFonts w:ascii="Times New Roman" w:hAnsi="Times New Roman" w:eastAsia="Times New Roman" w:cs="Times New Roman"/>
                <w:sz w:val="20"/>
                <w:szCs w:val="20"/>
                <w:b/>
                <w:bCs/>
                <w:spacing w:val="18"/>
              </w:rPr>
              <w:t>1</w:t>
            </w:r>
          </w:p>
        </w:tc>
        <w:tc>
          <w:tcPr>
            <w:tcW w:w="2707" w:type="dxa"/>
            <w:vAlign w:val="top"/>
            <w:gridSpan w:val="2"/>
          </w:tcPr>
          <w:p>
            <w:pPr>
              <w:ind w:left="1095"/>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DZS</w:t>
            </w:r>
            <w:r>
              <w:rPr>
                <w:rFonts w:ascii="Times New Roman" w:hAnsi="Times New Roman" w:eastAsia="Times New Roman" w:cs="Times New Roman"/>
                <w:sz w:val="20"/>
                <w:szCs w:val="20"/>
                <w:b/>
                <w:bCs/>
                <w:spacing w:val="18"/>
              </w:rPr>
              <w:t>1</w:t>
            </w:r>
          </w:p>
        </w:tc>
        <w:tc>
          <w:tcPr>
            <w:tcW w:w="2563" w:type="dxa"/>
            <w:vAlign w:val="top"/>
            <w:gridSpan w:val="2"/>
          </w:tcPr>
          <w:p>
            <w:pPr>
              <w:ind w:left="1094"/>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AS</w:t>
            </w:r>
            <w:r>
              <w:rPr>
                <w:rFonts w:ascii="Times New Roman" w:hAnsi="Times New Roman" w:eastAsia="Times New Roman" w:cs="Times New Roman"/>
                <w:sz w:val="20"/>
                <w:szCs w:val="20"/>
                <w:b/>
                <w:bCs/>
                <w:spacing w:val="13"/>
              </w:rPr>
              <w:t>1</w:t>
            </w:r>
          </w:p>
        </w:tc>
        <w:tc>
          <w:tcPr>
            <w:tcW w:w="2430" w:type="dxa"/>
            <w:vAlign w:val="top"/>
            <w:gridSpan w:val="2"/>
          </w:tcPr>
          <w:p>
            <w:pPr>
              <w:ind w:left="1037"/>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ES</w:t>
            </w:r>
            <w:r>
              <w:rPr>
                <w:rFonts w:ascii="Times New Roman" w:hAnsi="Times New Roman" w:eastAsia="Times New Roman" w:cs="Times New Roman"/>
                <w:sz w:val="20"/>
                <w:szCs w:val="20"/>
                <w:b/>
                <w:bCs/>
                <w:spacing w:val="10"/>
              </w:rPr>
              <w:t>1</w:t>
            </w:r>
          </w:p>
        </w:tc>
        <w:tc>
          <w:tcPr>
            <w:tcW w:w="970" w:type="dxa"/>
            <w:vAlign w:val="top"/>
            <w:vMerge w:val="continue"/>
            <w:tcBorders>
              <w:top w:val="nil"/>
            </w:tcBorders>
          </w:tcPr>
          <w:p>
            <w:pPr>
              <w:rPr>
                <w:rFonts w:ascii="Arial"/>
                <w:sz w:val="21"/>
              </w:rPr>
            </w:pPr>
            <w:r/>
          </w:p>
        </w:tc>
      </w:tr>
      <w:tr>
        <w:trPr>
          <w:trHeight w:val="287" w:hRule="atLeast"/>
        </w:trPr>
        <w:tc>
          <w:tcPr>
            <w:tcW w:w="2853" w:type="dxa"/>
            <w:vAlign w:val="top"/>
          </w:tcPr>
          <w:p>
            <w:pPr>
              <w:pStyle w:val="TableText"/>
              <w:ind w:left="1189"/>
              <w:spacing w:before="38" w:line="220" w:lineRule="auto"/>
              <w:rPr/>
            </w:pPr>
            <w:r>
              <w:rPr>
                <w:rFonts w:ascii="Times New Roman" w:hAnsi="Times New Roman" w:eastAsia="Times New Roman" w:cs="Times New Roman"/>
              </w:rPr>
              <w:t>pH</w:t>
            </w:r>
            <w:r>
              <w:rPr>
                <w:spacing w:val="21"/>
              </w:rPr>
              <w:t>值</w:t>
            </w:r>
          </w:p>
        </w:tc>
        <w:tc>
          <w:tcPr>
            <w:tcW w:w="1553" w:type="dxa"/>
            <w:vAlign w:val="top"/>
          </w:tcPr>
          <w:p>
            <w:pPr>
              <w:pStyle w:val="TableText"/>
              <w:ind w:left="147"/>
              <w:spacing w:before="38" w:line="220" w:lineRule="auto"/>
              <w:rPr/>
            </w:pPr>
            <w:r>
              <w:rPr>
                <w:rFonts w:ascii="Times New Roman" w:hAnsi="Times New Roman" w:eastAsia="Times New Roman" w:cs="Times New Roman"/>
                <w:spacing w:val="4"/>
              </w:rPr>
              <w:t>7.6</w:t>
            </w:r>
            <w:r>
              <w:rPr>
                <w:spacing w:val="4"/>
              </w:rPr>
              <w:t>（</w:t>
            </w:r>
            <w:r>
              <w:rPr>
                <w:rFonts w:ascii="Times New Roman" w:hAnsi="Times New Roman" w:eastAsia="Times New Roman" w:cs="Times New Roman"/>
                <w:spacing w:val="4"/>
              </w:rPr>
              <w:t>19.7℃</w:t>
            </w:r>
            <w:r>
              <w:rPr>
                <w:spacing w:val="4"/>
              </w:rPr>
              <w:t>)</w:t>
            </w:r>
          </w:p>
        </w:tc>
        <w:tc>
          <w:tcPr>
            <w:tcW w:w="1091" w:type="dxa"/>
            <w:vAlign w:val="top"/>
          </w:tcPr>
          <w:p>
            <w:pPr>
              <w:ind w:left="513"/>
              <w:spacing w:before="7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80" w:type="dxa"/>
            <w:vAlign w:val="top"/>
          </w:tcPr>
          <w:p>
            <w:pPr>
              <w:pStyle w:val="TableText"/>
              <w:ind w:left="167"/>
              <w:spacing w:before="38" w:line="220" w:lineRule="auto"/>
              <w:rPr/>
            </w:pPr>
            <w:r>
              <w:rPr>
                <w:rFonts w:ascii="Times New Roman" w:hAnsi="Times New Roman" w:eastAsia="Times New Roman" w:cs="Times New Roman"/>
                <w:spacing w:val="3"/>
              </w:rPr>
              <w:t>8.0</w:t>
            </w:r>
            <w:r>
              <w:rPr>
                <w:spacing w:val="3"/>
              </w:rPr>
              <w:t>（</w:t>
            </w:r>
            <w:r>
              <w:rPr>
                <w:rFonts w:ascii="Times New Roman" w:hAnsi="Times New Roman" w:eastAsia="Times New Roman" w:cs="Times New Roman"/>
                <w:spacing w:val="3"/>
              </w:rPr>
              <w:t>28.5℃</w:t>
            </w:r>
            <w:r>
              <w:rPr>
                <w:spacing w:val="3"/>
              </w:rPr>
              <w:t>)</w:t>
            </w:r>
          </w:p>
        </w:tc>
        <w:tc>
          <w:tcPr>
            <w:tcW w:w="1127" w:type="dxa"/>
            <w:vAlign w:val="top"/>
          </w:tcPr>
          <w:p>
            <w:pPr>
              <w:ind w:left="530"/>
              <w:spacing w:before="7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40" w:type="dxa"/>
            <w:vAlign w:val="top"/>
          </w:tcPr>
          <w:p>
            <w:pPr>
              <w:pStyle w:val="TableText"/>
              <w:ind w:left="143"/>
              <w:spacing w:before="38" w:line="220" w:lineRule="auto"/>
              <w:rPr/>
            </w:pPr>
            <w:r>
              <w:rPr>
                <w:rFonts w:ascii="Times New Roman" w:hAnsi="Times New Roman" w:eastAsia="Times New Roman" w:cs="Times New Roman"/>
                <w:spacing w:val="4"/>
              </w:rPr>
              <w:t>7.9</w:t>
            </w:r>
            <w:r>
              <w:rPr>
                <w:spacing w:val="4"/>
              </w:rPr>
              <w:t>（</w:t>
            </w:r>
            <w:r>
              <w:rPr>
                <w:rFonts w:ascii="Times New Roman" w:hAnsi="Times New Roman" w:eastAsia="Times New Roman" w:cs="Times New Roman"/>
                <w:spacing w:val="4"/>
              </w:rPr>
              <w:t>24.8℃</w:t>
            </w:r>
            <w:r>
              <w:rPr>
                <w:spacing w:val="4"/>
              </w:rPr>
              <w:t>)</w:t>
            </w:r>
          </w:p>
        </w:tc>
        <w:tc>
          <w:tcPr>
            <w:tcW w:w="1023" w:type="dxa"/>
            <w:vAlign w:val="top"/>
          </w:tcPr>
          <w:p>
            <w:pPr>
              <w:ind w:left="479"/>
              <w:spacing w:before="7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495" w:type="dxa"/>
            <w:vAlign w:val="top"/>
          </w:tcPr>
          <w:p>
            <w:pPr>
              <w:pStyle w:val="TableText"/>
              <w:ind w:left="126"/>
              <w:spacing w:before="38" w:line="220" w:lineRule="auto"/>
              <w:rPr/>
            </w:pPr>
            <w:r>
              <w:rPr>
                <w:rFonts w:ascii="Times New Roman" w:hAnsi="Times New Roman" w:eastAsia="Times New Roman" w:cs="Times New Roman"/>
                <w:spacing w:val="3"/>
              </w:rPr>
              <w:t>8.0</w:t>
            </w:r>
            <w:r>
              <w:rPr>
                <w:spacing w:val="3"/>
              </w:rPr>
              <w:t>（</w:t>
            </w:r>
            <w:r>
              <w:rPr>
                <w:rFonts w:ascii="Times New Roman" w:hAnsi="Times New Roman" w:eastAsia="Times New Roman" w:cs="Times New Roman"/>
                <w:spacing w:val="3"/>
              </w:rPr>
              <w:t>27.5℃</w:t>
            </w:r>
            <w:r>
              <w:rPr>
                <w:spacing w:val="3"/>
              </w:rPr>
              <w:t>)</w:t>
            </w:r>
          </w:p>
        </w:tc>
        <w:tc>
          <w:tcPr>
            <w:tcW w:w="935" w:type="dxa"/>
            <w:vAlign w:val="top"/>
          </w:tcPr>
          <w:p>
            <w:pPr>
              <w:ind w:left="438"/>
              <w:spacing w:before="7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970" w:type="dxa"/>
            <w:vAlign w:val="top"/>
          </w:tcPr>
          <w:p>
            <w:pPr>
              <w:pStyle w:val="TableText"/>
              <w:ind w:left="184"/>
              <w:spacing w:before="38" w:line="220" w:lineRule="auto"/>
              <w:rPr/>
            </w:pPr>
            <w:r>
              <w:rPr>
                <w:spacing w:val="4"/>
              </w:rPr>
              <w:t>无量纲</w:t>
            </w:r>
          </w:p>
        </w:tc>
      </w:tr>
      <w:tr>
        <w:trPr>
          <w:trHeight w:val="288" w:hRule="atLeast"/>
        </w:trPr>
        <w:tc>
          <w:tcPr>
            <w:tcW w:w="2853" w:type="dxa"/>
            <w:vAlign w:val="top"/>
          </w:tcPr>
          <w:p>
            <w:pPr>
              <w:pStyle w:val="TableText"/>
              <w:ind w:left="1125"/>
              <w:spacing w:before="39" w:line="220" w:lineRule="auto"/>
              <w:rPr/>
            </w:pPr>
            <w:r>
              <w:rPr>
                <w:spacing w:val="3"/>
              </w:rPr>
              <w:t>臭和味</w:t>
            </w:r>
          </w:p>
        </w:tc>
        <w:tc>
          <w:tcPr>
            <w:tcW w:w="1553" w:type="dxa"/>
            <w:vAlign w:val="top"/>
          </w:tcPr>
          <w:p>
            <w:pPr>
              <w:pStyle w:val="TableText"/>
              <w:ind w:left="683"/>
              <w:spacing w:before="39" w:line="220" w:lineRule="auto"/>
              <w:rPr/>
            </w:pPr>
            <w:r>
              <w:rPr/>
              <w:t>无</w:t>
            </w:r>
          </w:p>
        </w:tc>
        <w:tc>
          <w:tcPr>
            <w:tcW w:w="1091" w:type="dxa"/>
            <w:vAlign w:val="top"/>
          </w:tcPr>
          <w:p>
            <w:pPr>
              <w:pStyle w:val="TableText"/>
              <w:ind w:left="406"/>
              <w:spacing w:before="39" w:line="220" w:lineRule="auto"/>
              <w:rPr/>
            </w:pPr>
            <w:r>
              <w:rPr>
                <w:rFonts w:ascii="Times New Roman" w:hAnsi="Times New Roman" w:eastAsia="Times New Roman" w:cs="Times New Roman"/>
                <w:spacing w:val="3"/>
              </w:rPr>
              <w:t>Ⅰ</w:t>
            </w:r>
            <w:r>
              <w:rPr>
                <w:spacing w:val="3"/>
              </w:rPr>
              <w:t>类</w:t>
            </w:r>
          </w:p>
        </w:tc>
        <w:tc>
          <w:tcPr>
            <w:tcW w:w="1580" w:type="dxa"/>
            <w:vAlign w:val="top"/>
          </w:tcPr>
          <w:p>
            <w:pPr>
              <w:pStyle w:val="TableText"/>
              <w:ind w:left="698"/>
              <w:spacing w:before="39" w:line="220" w:lineRule="auto"/>
              <w:rPr/>
            </w:pPr>
            <w:r>
              <w:rPr/>
              <w:t>无</w:t>
            </w:r>
          </w:p>
        </w:tc>
        <w:tc>
          <w:tcPr>
            <w:tcW w:w="1127" w:type="dxa"/>
            <w:vAlign w:val="top"/>
          </w:tcPr>
          <w:p>
            <w:pPr>
              <w:pStyle w:val="TableText"/>
              <w:ind w:left="425"/>
              <w:spacing w:before="39" w:line="220" w:lineRule="auto"/>
              <w:rPr/>
            </w:pPr>
            <w:r>
              <w:rPr>
                <w:rFonts w:ascii="Times New Roman" w:hAnsi="Times New Roman" w:eastAsia="Times New Roman" w:cs="Times New Roman"/>
                <w:spacing w:val="3"/>
              </w:rPr>
              <w:t>Ⅰ</w:t>
            </w:r>
            <w:r>
              <w:rPr>
                <w:spacing w:val="3"/>
              </w:rPr>
              <w:t>类</w:t>
            </w:r>
          </w:p>
        </w:tc>
        <w:tc>
          <w:tcPr>
            <w:tcW w:w="1540" w:type="dxa"/>
            <w:vAlign w:val="top"/>
          </w:tcPr>
          <w:p>
            <w:pPr>
              <w:pStyle w:val="TableText"/>
              <w:ind w:left="679"/>
              <w:spacing w:before="39" w:line="220" w:lineRule="auto"/>
              <w:rPr/>
            </w:pPr>
            <w:r>
              <w:rPr/>
              <w:t>无</w:t>
            </w:r>
          </w:p>
        </w:tc>
        <w:tc>
          <w:tcPr>
            <w:tcW w:w="1023" w:type="dxa"/>
            <w:vAlign w:val="top"/>
          </w:tcPr>
          <w:p>
            <w:pPr>
              <w:pStyle w:val="TableText"/>
              <w:ind w:left="374"/>
              <w:spacing w:before="39" w:line="220" w:lineRule="auto"/>
              <w:rPr/>
            </w:pPr>
            <w:r>
              <w:rPr>
                <w:rFonts w:ascii="Times New Roman" w:hAnsi="Times New Roman" w:eastAsia="Times New Roman" w:cs="Times New Roman"/>
                <w:spacing w:val="3"/>
              </w:rPr>
              <w:t>Ⅰ</w:t>
            </w:r>
            <w:r>
              <w:rPr>
                <w:spacing w:val="3"/>
              </w:rPr>
              <w:t>类</w:t>
            </w:r>
          </w:p>
        </w:tc>
        <w:tc>
          <w:tcPr>
            <w:tcW w:w="1495" w:type="dxa"/>
            <w:vAlign w:val="top"/>
          </w:tcPr>
          <w:p>
            <w:pPr>
              <w:pStyle w:val="TableText"/>
              <w:ind w:left="658"/>
              <w:spacing w:before="39" w:line="220" w:lineRule="auto"/>
              <w:rPr/>
            </w:pPr>
            <w:r>
              <w:rPr/>
              <w:t>无</w:t>
            </w:r>
          </w:p>
        </w:tc>
        <w:tc>
          <w:tcPr>
            <w:tcW w:w="935" w:type="dxa"/>
            <w:vAlign w:val="top"/>
          </w:tcPr>
          <w:p>
            <w:pPr>
              <w:pStyle w:val="TableText"/>
              <w:ind w:left="330"/>
              <w:spacing w:before="39" w:line="220" w:lineRule="auto"/>
              <w:rPr/>
            </w:pPr>
            <w:r>
              <w:rPr>
                <w:rFonts w:ascii="Times New Roman" w:hAnsi="Times New Roman" w:eastAsia="Times New Roman" w:cs="Times New Roman"/>
                <w:spacing w:val="3"/>
              </w:rPr>
              <w:t>Ⅰ</w:t>
            </w:r>
            <w:r>
              <w:rPr>
                <w:spacing w:val="3"/>
              </w:rPr>
              <w:t>类</w:t>
            </w:r>
          </w:p>
        </w:tc>
        <w:tc>
          <w:tcPr>
            <w:tcW w:w="970" w:type="dxa"/>
            <w:vAlign w:val="top"/>
          </w:tcPr>
          <w:p>
            <w:pPr>
              <w:ind w:left="375"/>
              <w:spacing w:before="164" w:line="9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2"/>
                <w:position w:val="-2"/>
              </w:rPr>
              <w:t>—</w:t>
            </w:r>
          </w:p>
        </w:tc>
      </w:tr>
      <w:tr>
        <w:trPr>
          <w:trHeight w:val="287" w:hRule="atLeast"/>
        </w:trPr>
        <w:tc>
          <w:tcPr>
            <w:tcW w:w="2853" w:type="dxa"/>
            <w:vAlign w:val="top"/>
          </w:tcPr>
          <w:p>
            <w:pPr>
              <w:pStyle w:val="TableText"/>
              <w:ind w:left="1231"/>
              <w:spacing w:before="38" w:line="220" w:lineRule="auto"/>
              <w:rPr/>
            </w:pPr>
            <w:r>
              <w:rPr/>
              <w:t>浊度</w:t>
            </w:r>
          </w:p>
        </w:tc>
        <w:tc>
          <w:tcPr>
            <w:tcW w:w="1553" w:type="dxa"/>
            <w:vAlign w:val="top"/>
          </w:tcPr>
          <w:p>
            <w:pPr>
              <w:ind w:left="649"/>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6.5</w:t>
            </w:r>
          </w:p>
        </w:tc>
        <w:tc>
          <w:tcPr>
            <w:tcW w:w="1091" w:type="dxa"/>
            <w:vAlign w:val="top"/>
          </w:tcPr>
          <w:p>
            <w:pPr>
              <w:pStyle w:val="TableText"/>
              <w:ind w:left="331"/>
              <w:spacing w:before="38" w:line="220" w:lineRule="auto"/>
              <w:rPr/>
            </w:pPr>
            <w:r>
              <w:rPr>
                <w:rFonts w:ascii="Times New Roman" w:hAnsi="Times New Roman" w:eastAsia="Times New Roman" w:cs="Times New Roman"/>
                <w:spacing w:val="7"/>
              </w:rPr>
              <w:t>Ⅳ</w:t>
            </w:r>
            <w:r>
              <w:rPr>
                <w:spacing w:val="7"/>
              </w:rPr>
              <w:t>类</w:t>
            </w:r>
          </w:p>
        </w:tc>
        <w:tc>
          <w:tcPr>
            <w:tcW w:w="1580" w:type="dxa"/>
            <w:vAlign w:val="top"/>
          </w:tcPr>
          <w:p>
            <w:pPr>
              <w:ind w:left="659"/>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4.7</w:t>
            </w:r>
          </w:p>
        </w:tc>
        <w:tc>
          <w:tcPr>
            <w:tcW w:w="1127" w:type="dxa"/>
            <w:vAlign w:val="top"/>
          </w:tcPr>
          <w:p>
            <w:pPr>
              <w:pStyle w:val="TableText"/>
              <w:ind w:left="351"/>
              <w:spacing w:before="38" w:line="220" w:lineRule="auto"/>
              <w:rPr/>
            </w:pPr>
            <w:r>
              <w:rPr>
                <w:rFonts w:ascii="Times New Roman" w:hAnsi="Times New Roman" w:eastAsia="Times New Roman" w:cs="Times New Roman"/>
                <w:spacing w:val="7"/>
              </w:rPr>
              <w:t>Ⅳ</w:t>
            </w:r>
            <w:r>
              <w:rPr>
                <w:spacing w:val="7"/>
              </w:rPr>
              <w:t>类</w:t>
            </w:r>
          </w:p>
        </w:tc>
        <w:tc>
          <w:tcPr>
            <w:tcW w:w="1540" w:type="dxa"/>
            <w:vAlign w:val="top"/>
          </w:tcPr>
          <w:p>
            <w:pPr>
              <w:ind w:left="645"/>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9.</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w:t>
            </w:r>
          </w:p>
        </w:tc>
        <w:tc>
          <w:tcPr>
            <w:tcW w:w="1023" w:type="dxa"/>
            <w:vAlign w:val="top"/>
          </w:tcPr>
          <w:p>
            <w:pPr>
              <w:pStyle w:val="TableText"/>
              <w:ind w:left="300"/>
              <w:spacing w:before="38" w:line="220" w:lineRule="auto"/>
              <w:rPr/>
            </w:pPr>
            <w:r>
              <w:rPr>
                <w:rFonts w:ascii="Times New Roman" w:hAnsi="Times New Roman" w:eastAsia="Times New Roman" w:cs="Times New Roman"/>
                <w:spacing w:val="7"/>
              </w:rPr>
              <w:t>Ⅳ</w:t>
            </w:r>
            <w:r>
              <w:rPr>
                <w:spacing w:val="7"/>
              </w:rPr>
              <w:t>类</w:t>
            </w:r>
          </w:p>
        </w:tc>
        <w:tc>
          <w:tcPr>
            <w:tcW w:w="1495" w:type="dxa"/>
            <w:vAlign w:val="top"/>
          </w:tcPr>
          <w:p>
            <w:pPr>
              <w:ind w:left="628"/>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8.2</w:t>
            </w:r>
          </w:p>
        </w:tc>
        <w:tc>
          <w:tcPr>
            <w:tcW w:w="935" w:type="dxa"/>
            <w:vAlign w:val="top"/>
          </w:tcPr>
          <w:p>
            <w:pPr>
              <w:pStyle w:val="TableText"/>
              <w:ind w:left="256"/>
              <w:spacing w:before="38" w:line="220" w:lineRule="auto"/>
              <w:rPr/>
            </w:pPr>
            <w:r>
              <w:rPr>
                <w:rFonts w:ascii="Times New Roman" w:hAnsi="Times New Roman" w:eastAsia="Times New Roman" w:cs="Times New Roman"/>
                <w:spacing w:val="7"/>
              </w:rPr>
              <w:t>Ⅳ</w:t>
            </w:r>
            <w:r>
              <w:rPr>
                <w:spacing w:val="7"/>
              </w:rPr>
              <w:t>类</w:t>
            </w:r>
          </w:p>
        </w:tc>
        <w:tc>
          <w:tcPr>
            <w:tcW w:w="970" w:type="dxa"/>
            <w:vAlign w:val="top"/>
          </w:tcPr>
          <w:p>
            <w:pPr>
              <w:ind w:left="264"/>
              <w:spacing w:before="7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NTU</w:t>
            </w:r>
          </w:p>
        </w:tc>
      </w:tr>
      <w:tr>
        <w:trPr>
          <w:trHeight w:val="288" w:hRule="atLeast"/>
        </w:trPr>
        <w:tc>
          <w:tcPr>
            <w:tcW w:w="2853" w:type="dxa"/>
            <w:vAlign w:val="top"/>
          </w:tcPr>
          <w:p>
            <w:pPr>
              <w:pStyle w:val="TableText"/>
              <w:ind w:left="935"/>
              <w:spacing w:before="39" w:line="220" w:lineRule="auto"/>
              <w:rPr/>
            </w:pPr>
            <w:r>
              <w:rPr>
                <w:spacing w:val="2"/>
              </w:rPr>
              <w:t>肉眼可见物</w:t>
            </w:r>
          </w:p>
        </w:tc>
        <w:tc>
          <w:tcPr>
            <w:tcW w:w="1553" w:type="dxa"/>
            <w:vAlign w:val="top"/>
          </w:tcPr>
          <w:p>
            <w:pPr>
              <w:pStyle w:val="TableText"/>
              <w:ind w:left="683"/>
              <w:spacing w:before="39" w:line="220" w:lineRule="auto"/>
              <w:rPr/>
            </w:pPr>
            <w:r>
              <w:rPr/>
              <w:t>无</w:t>
            </w:r>
          </w:p>
        </w:tc>
        <w:tc>
          <w:tcPr>
            <w:tcW w:w="1091" w:type="dxa"/>
            <w:vAlign w:val="top"/>
          </w:tcPr>
          <w:p>
            <w:pPr>
              <w:pStyle w:val="TableText"/>
              <w:ind w:left="406"/>
              <w:spacing w:before="39" w:line="220" w:lineRule="auto"/>
              <w:rPr/>
            </w:pPr>
            <w:r>
              <w:rPr>
                <w:rFonts w:ascii="Times New Roman" w:hAnsi="Times New Roman" w:eastAsia="Times New Roman" w:cs="Times New Roman"/>
                <w:spacing w:val="3"/>
              </w:rPr>
              <w:t>Ⅰ</w:t>
            </w:r>
            <w:r>
              <w:rPr>
                <w:spacing w:val="3"/>
              </w:rPr>
              <w:t>类</w:t>
            </w:r>
          </w:p>
        </w:tc>
        <w:tc>
          <w:tcPr>
            <w:tcW w:w="1580" w:type="dxa"/>
            <w:vAlign w:val="top"/>
          </w:tcPr>
          <w:p>
            <w:pPr>
              <w:pStyle w:val="TableText"/>
              <w:ind w:left="698"/>
              <w:spacing w:before="39" w:line="220" w:lineRule="auto"/>
              <w:rPr/>
            </w:pPr>
            <w:r>
              <w:rPr/>
              <w:t>无</w:t>
            </w:r>
          </w:p>
        </w:tc>
        <w:tc>
          <w:tcPr>
            <w:tcW w:w="1127" w:type="dxa"/>
            <w:vAlign w:val="top"/>
          </w:tcPr>
          <w:p>
            <w:pPr>
              <w:pStyle w:val="TableText"/>
              <w:ind w:left="425"/>
              <w:spacing w:before="39" w:line="220" w:lineRule="auto"/>
              <w:rPr/>
            </w:pPr>
            <w:r>
              <w:rPr>
                <w:rFonts w:ascii="Times New Roman" w:hAnsi="Times New Roman" w:eastAsia="Times New Roman" w:cs="Times New Roman"/>
                <w:spacing w:val="3"/>
              </w:rPr>
              <w:t>Ⅰ</w:t>
            </w:r>
            <w:r>
              <w:rPr>
                <w:spacing w:val="3"/>
              </w:rPr>
              <w:t>类</w:t>
            </w:r>
          </w:p>
        </w:tc>
        <w:tc>
          <w:tcPr>
            <w:tcW w:w="1540" w:type="dxa"/>
            <w:vAlign w:val="top"/>
          </w:tcPr>
          <w:p>
            <w:pPr>
              <w:pStyle w:val="TableText"/>
              <w:ind w:left="679"/>
              <w:spacing w:before="39" w:line="220" w:lineRule="auto"/>
              <w:rPr/>
            </w:pPr>
            <w:r>
              <w:rPr/>
              <w:t>无</w:t>
            </w:r>
          </w:p>
        </w:tc>
        <w:tc>
          <w:tcPr>
            <w:tcW w:w="1023" w:type="dxa"/>
            <w:vAlign w:val="top"/>
          </w:tcPr>
          <w:p>
            <w:pPr>
              <w:pStyle w:val="TableText"/>
              <w:ind w:left="374"/>
              <w:spacing w:before="39" w:line="220" w:lineRule="auto"/>
              <w:rPr/>
            </w:pPr>
            <w:r>
              <w:rPr>
                <w:rFonts w:ascii="Times New Roman" w:hAnsi="Times New Roman" w:eastAsia="Times New Roman" w:cs="Times New Roman"/>
                <w:spacing w:val="3"/>
              </w:rPr>
              <w:t>Ⅰ</w:t>
            </w:r>
            <w:r>
              <w:rPr>
                <w:spacing w:val="3"/>
              </w:rPr>
              <w:t>类</w:t>
            </w:r>
          </w:p>
        </w:tc>
        <w:tc>
          <w:tcPr>
            <w:tcW w:w="1495" w:type="dxa"/>
            <w:vAlign w:val="top"/>
          </w:tcPr>
          <w:p>
            <w:pPr>
              <w:pStyle w:val="TableText"/>
              <w:ind w:left="658"/>
              <w:spacing w:before="39" w:line="220" w:lineRule="auto"/>
              <w:rPr/>
            </w:pPr>
            <w:r>
              <w:rPr/>
              <w:t>无</w:t>
            </w:r>
          </w:p>
        </w:tc>
        <w:tc>
          <w:tcPr>
            <w:tcW w:w="935" w:type="dxa"/>
            <w:vAlign w:val="top"/>
          </w:tcPr>
          <w:p>
            <w:pPr>
              <w:pStyle w:val="TableText"/>
              <w:ind w:left="330"/>
              <w:spacing w:before="39" w:line="220" w:lineRule="auto"/>
              <w:rPr/>
            </w:pPr>
            <w:r>
              <w:rPr>
                <w:rFonts w:ascii="Times New Roman" w:hAnsi="Times New Roman" w:eastAsia="Times New Roman" w:cs="Times New Roman"/>
                <w:spacing w:val="3"/>
              </w:rPr>
              <w:t>Ⅰ</w:t>
            </w:r>
            <w:r>
              <w:rPr>
                <w:spacing w:val="3"/>
              </w:rPr>
              <w:t>类</w:t>
            </w:r>
          </w:p>
        </w:tc>
        <w:tc>
          <w:tcPr>
            <w:tcW w:w="970" w:type="dxa"/>
            <w:vAlign w:val="top"/>
          </w:tcPr>
          <w:p>
            <w:pPr>
              <w:ind w:left="375"/>
              <w:spacing w:before="164" w:line="9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2"/>
                <w:position w:val="-2"/>
              </w:rPr>
              <w:t>—</w:t>
            </w:r>
          </w:p>
        </w:tc>
      </w:tr>
      <w:tr>
        <w:trPr>
          <w:trHeight w:val="288" w:hRule="atLeast"/>
        </w:trPr>
        <w:tc>
          <w:tcPr>
            <w:tcW w:w="2853" w:type="dxa"/>
            <w:vAlign w:val="top"/>
          </w:tcPr>
          <w:p>
            <w:pPr>
              <w:pStyle w:val="TableText"/>
              <w:ind w:left="1131"/>
              <w:spacing w:before="39" w:line="220" w:lineRule="auto"/>
              <w:rPr/>
            </w:pPr>
            <w:r>
              <w:rPr>
                <w:spacing w:val="2"/>
              </w:rPr>
              <w:t>总硬度</w:t>
            </w:r>
          </w:p>
        </w:tc>
        <w:tc>
          <w:tcPr>
            <w:tcW w:w="1553" w:type="dxa"/>
            <w:vAlign w:val="top"/>
          </w:tcPr>
          <w:p>
            <w:pPr>
              <w:ind w:left="639"/>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196</w:t>
            </w:r>
          </w:p>
        </w:tc>
        <w:tc>
          <w:tcPr>
            <w:tcW w:w="1091" w:type="dxa"/>
            <w:vAlign w:val="top"/>
          </w:tcPr>
          <w:p>
            <w:pPr>
              <w:pStyle w:val="TableText"/>
              <w:ind w:left="374"/>
              <w:spacing w:before="39" w:line="220" w:lineRule="auto"/>
              <w:rPr/>
            </w:pPr>
            <w:r>
              <w:rPr>
                <w:rFonts w:ascii="Times New Roman" w:hAnsi="Times New Roman" w:eastAsia="Times New Roman" w:cs="Times New Roman"/>
                <w:spacing w:val="4"/>
              </w:rPr>
              <w:t>Ⅱ</w:t>
            </w:r>
            <w:r>
              <w:rPr>
                <w:spacing w:val="4"/>
              </w:rPr>
              <w:t>类</w:t>
            </w:r>
          </w:p>
        </w:tc>
        <w:tc>
          <w:tcPr>
            <w:tcW w:w="1580" w:type="dxa"/>
            <w:vAlign w:val="top"/>
          </w:tcPr>
          <w:p>
            <w:pPr>
              <w:ind w:left="634"/>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206</w:t>
            </w:r>
          </w:p>
        </w:tc>
        <w:tc>
          <w:tcPr>
            <w:tcW w:w="1127" w:type="dxa"/>
            <w:vAlign w:val="top"/>
          </w:tcPr>
          <w:p>
            <w:pPr>
              <w:pStyle w:val="TableText"/>
              <w:ind w:left="391"/>
              <w:spacing w:before="39" w:line="220" w:lineRule="auto"/>
              <w:rPr/>
            </w:pPr>
            <w:r>
              <w:rPr>
                <w:rFonts w:ascii="Times New Roman" w:hAnsi="Times New Roman" w:eastAsia="Times New Roman" w:cs="Times New Roman"/>
                <w:spacing w:val="5"/>
              </w:rPr>
              <w:t>Ⅱ</w:t>
            </w:r>
            <w:r>
              <w:rPr>
                <w:spacing w:val="5"/>
              </w:rPr>
              <w:t>类</w:t>
            </w:r>
          </w:p>
        </w:tc>
        <w:tc>
          <w:tcPr>
            <w:tcW w:w="1540" w:type="dxa"/>
            <w:vAlign w:val="top"/>
          </w:tcPr>
          <w:p>
            <w:pPr>
              <w:ind w:left="615"/>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290</w:t>
            </w:r>
          </w:p>
        </w:tc>
        <w:tc>
          <w:tcPr>
            <w:tcW w:w="1023" w:type="dxa"/>
            <w:vAlign w:val="top"/>
          </w:tcPr>
          <w:p>
            <w:pPr>
              <w:pStyle w:val="TableText"/>
              <w:ind w:left="340"/>
              <w:spacing w:before="39" w:line="220" w:lineRule="auto"/>
              <w:rPr/>
            </w:pPr>
            <w:r>
              <w:rPr>
                <w:rFonts w:ascii="Times New Roman" w:hAnsi="Times New Roman" w:eastAsia="Times New Roman" w:cs="Times New Roman"/>
                <w:spacing w:val="5"/>
              </w:rPr>
              <w:t>Ⅱ</w:t>
            </w:r>
            <w:r>
              <w:rPr>
                <w:spacing w:val="5"/>
              </w:rPr>
              <w:t>类</w:t>
            </w:r>
          </w:p>
        </w:tc>
        <w:tc>
          <w:tcPr>
            <w:tcW w:w="1495" w:type="dxa"/>
            <w:vAlign w:val="top"/>
          </w:tcPr>
          <w:p>
            <w:pPr>
              <w:ind w:left="593"/>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272</w:t>
            </w:r>
          </w:p>
        </w:tc>
        <w:tc>
          <w:tcPr>
            <w:tcW w:w="935" w:type="dxa"/>
            <w:vAlign w:val="top"/>
          </w:tcPr>
          <w:p>
            <w:pPr>
              <w:pStyle w:val="TableText"/>
              <w:ind w:left="299"/>
              <w:spacing w:before="39" w:line="220" w:lineRule="auto"/>
              <w:rPr/>
            </w:pPr>
            <w:r>
              <w:rPr>
                <w:rFonts w:ascii="Times New Roman" w:hAnsi="Times New Roman" w:eastAsia="Times New Roman" w:cs="Times New Roman"/>
                <w:spacing w:val="4"/>
              </w:rPr>
              <w:t>Ⅱ</w:t>
            </w:r>
            <w:r>
              <w:rPr>
                <w:spacing w:val="4"/>
              </w:rPr>
              <w:t>类</w:t>
            </w:r>
          </w:p>
        </w:tc>
        <w:tc>
          <w:tcPr>
            <w:tcW w:w="970" w:type="dxa"/>
            <w:vAlign w:val="top"/>
          </w:tcPr>
          <w:p>
            <w:pPr>
              <w:ind w:left="256"/>
              <w:spacing w:before="7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853" w:type="dxa"/>
            <w:vAlign w:val="top"/>
          </w:tcPr>
          <w:p>
            <w:pPr>
              <w:pStyle w:val="TableText"/>
              <w:ind w:left="701"/>
              <w:spacing w:before="39" w:line="220" w:lineRule="auto"/>
              <w:rPr/>
            </w:pPr>
            <w:r>
              <w:rPr>
                <w:spacing w:val="7"/>
              </w:rPr>
              <w:t>溶解性固体总量</w:t>
            </w:r>
          </w:p>
        </w:tc>
        <w:tc>
          <w:tcPr>
            <w:tcW w:w="1553" w:type="dxa"/>
            <w:vAlign w:val="top"/>
          </w:tcPr>
          <w:p>
            <w:pPr>
              <w:ind w:left="618"/>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220</w:t>
            </w:r>
          </w:p>
        </w:tc>
        <w:tc>
          <w:tcPr>
            <w:tcW w:w="1091" w:type="dxa"/>
            <w:vAlign w:val="top"/>
          </w:tcPr>
          <w:p>
            <w:pPr>
              <w:pStyle w:val="TableText"/>
              <w:ind w:left="406"/>
              <w:spacing w:before="39" w:line="220" w:lineRule="auto"/>
              <w:rPr/>
            </w:pPr>
            <w:r>
              <w:rPr>
                <w:rFonts w:ascii="Times New Roman" w:hAnsi="Times New Roman" w:eastAsia="Times New Roman" w:cs="Times New Roman"/>
                <w:spacing w:val="3"/>
              </w:rPr>
              <w:t>Ⅰ</w:t>
            </w:r>
            <w:r>
              <w:rPr>
                <w:spacing w:val="3"/>
              </w:rPr>
              <w:t>类</w:t>
            </w:r>
          </w:p>
        </w:tc>
        <w:tc>
          <w:tcPr>
            <w:tcW w:w="1580" w:type="dxa"/>
            <w:vAlign w:val="top"/>
          </w:tcPr>
          <w:p>
            <w:pPr>
              <w:ind w:left="634"/>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225</w:t>
            </w:r>
          </w:p>
        </w:tc>
        <w:tc>
          <w:tcPr>
            <w:tcW w:w="1127" w:type="dxa"/>
            <w:vAlign w:val="top"/>
          </w:tcPr>
          <w:p>
            <w:pPr>
              <w:pStyle w:val="TableText"/>
              <w:ind w:left="425"/>
              <w:spacing w:before="39" w:line="220" w:lineRule="auto"/>
              <w:rPr/>
            </w:pPr>
            <w:r>
              <w:rPr>
                <w:rFonts w:ascii="Times New Roman" w:hAnsi="Times New Roman" w:eastAsia="Times New Roman" w:cs="Times New Roman"/>
                <w:spacing w:val="3"/>
              </w:rPr>
              <w:t>Ⅰ</w:t>
            </w:r>
            <w:r>
              <w:rPr>
                <w:spacing w:val="3"/>
              </w:rPr>
              <w:t>类</w:t>
            </w:r>
          </w:p>
        </w:tc>
        <w:tc>
          <w:tcPr>
            <w:tcW w:w="1540" w:type="dxa"/>
            <w:vAlign w:val="top"/>
          </w:tcPr>
          <w:p>
            <w:pPr>
              <w:ind w:left="619"/>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332</w:t>
            </w:r>
          </w:p>
        </w:tc>
        <w:tc>
          <w:tcPr>
            <w:tcW w:w="1023" w:type="dxa"/>
            <w:vAlign w:val="top"/>
          </w:tcPr>
          <w:p>
            <w:pPr>
              <w:pStyle w:val="TableText"/>
              <w:ind w:left="340"/>
              <w:spacing w:before="39" w:line="220" w:lineRule="auto"/>
              <w:rPr/>
            </w:pPr>
            <w:r>
              <w:rPr>
                <w:rFonts w:ascii="Times New Roman" w:hAnsi="Times New Roman" w:eastAsia="Times New Roman" w:cs="Times New Roman"/>
                <w:spacing w:val="5"/>
              </w:rPr>
              <w:t>Ⅱ</w:t>
            </w:r>
            <w:r>
              <w:rPr>
                <w:spacing w:val="5"/>
              </w:rPr>
              <w:t>类</w:t>
            </w:r>
          </w:p>
        </w:tc>
        <w:tc>
          <w:tcPr>
            <w:tcW w:w="1495" w:type="dxa"/>
            <w:vAlign w:val="top"/>
          </w:tcPr>
          <w:p>
            <w:pPr>
              <w:ind w:left="597"/>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316</w:t>
            </w:r>
          </w:p>
        </w:tc>
        <w:tc>
          <w:tcPr>
            <w:tcW w:w="935" w:type="dxa"/>
            <w:vAlign w:val="top"/>
          </w:tcPr>
          <w:p>
            <w:pPr>
              <w:pStyle w:val="TableText"/>
              <w:ind w:left="299"/>
              <w:spacing w:before="39" w:line="220" w:lineRule="auto"/>
              <w:rPr/>
            </w:pPr>
            <w:r>
              <w:rPr>
                <w:rFonts w:ascii="Times New Roman" w:hAnsi="Times New Roman" w:eastAsia="Times New Roman" w:cs="Times New Roman"/>
                <w:spacing w:val="4"/>
              </w:rPr>
              <w:t>Ⅱ</w:t>
            </w:r>
            <w:r>
              <w:rPr>
                <w:spacing w:val="4"/>
              </w:rPr>
              <w:t>类</w:t>
            </w:r>
          </w:p>
        </w:tc>
        <w:tc>
          <w:tcPr>
            <w:tcW w:w="970" w:type="dxa"/>
            <w:vAlign w:val="top"/>
          </w:tcPr>
          <w:p>
            <w:pPr>
              <w:ind w:left="256"/>
              <w:spacing w:before="7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853" w:type="dxa"/>
            <w:vAlign w:val="top"/>
          </w:tcPr>
          <w:p>
            <w:pPr>
              <w:pStyle w:val="TableText"/>
              <w:ind w:left="1121"/>
              <w:spacing w:before="39" w:line="220" w:lineRule="auto"/>
              <w:rPr/>
            </w:pPr>
            <w:r>
              <w:rPr>
                <w:spacing w:val="5"/>
              </w:rPr>
              <w:t>硫酸盐</w:t>
            </w:r>
          </w:p>
        </w:tc>
        <w:tc>
          <w:tcPr>
            <w:tcW w:w="1553" w:type="dxa"/>
            <w:vAlign w:val="top"/>
          </w:tcPr>
          <w:p>
            <w:pPr>
              <w:ind w:left="671"/>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21</w:t>
            </w:r>
          </w:p>
        </w:tc>
        <w:tc>
          <w:tcPr>
            <w:tcW w:w="1091" w:type="dxa"/>
            <w:vAlign w:val="top"/>
          </w:tcPr>
          <w:p>
            <w:pPr>
              <w:pStyle w:val="TableText"/>
              <w:ind w:left="406"/>
              <w:spacing w:before="39" w:line="220" w:lineRule="auto"/>
              <w:rPr/>
            </w:pPr>
            <w:r>
              <w:rPr>
                <w:rFonts w:ascii="Times New Roman" w:hAnsi="Times New Roman" w:eastAsia="Times New Roman" w:cs="Times New Roman"/>
                <w:spacing w:val="3"/>
              </w:rPr>
              <w:t>Ⅰ</w:t>
            </w:r>
            <w:r>
              <w:rPr>
                <w:spacing w:val="3"/>
              </w:rPr>
              <w:t>类</w:t>
            </w:r>
          </w:p>
        </w:tc>
        <w:tc>
          <w:tcPr>
            <w:tcW w:w="1580" w:type="dxa"/>
            <w:vAlign w:val="top"/>
          </w:tcPr>
          <w:p>
            <w:pPr>
              <w:ind w:left="707"/>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11</w:t>
            </w:r>
          </w:p>
        </w:tc>
        <w:tc>
          <w:tcPr>
            <w:tcW w:w="1127" w:type="dxa"/>
            <w:vAlign w:val="top"/>
          </w:tcPr>
          <w:p>
            <w:pPr>
              <w:pStyle w:val="TableText"/>
              <w:ind w:left="425"/>
              <w:spacing w:before="39" w:line="220" w:lineRule="auto"/>
              <w:rPr/>
            </w:pPr>
            <w:r>
              <w:rPr>
                <w:rFonts w:ascii="Times New Roman" w:hAnsi="Times New Roman" w:eastAsia="Times New Roman" w:cs="Times New Roman"/>
                <w:spacing w:val="3"/>
              </w:rPr>
              <w:t>Ⅰ</w:t>
            </w:r>
            <w:r>
              <w:rPr>
                <w:spacing w:val="3"/>
              </w:rPr>
              <w:t>类</w:t>
            </w:r>
          </w:p>
        </w:tc>
        <w:tc>
          <w:tcPr>
            <w:tcW w:w="1540" w:type="dxa"/>
            <w:vAlign w:val="top"/>
          </w:tcPr>
          <w:p>
            <w:pPr>
              <w:ind w:left="635"/>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103</w:t>
            </w:r>
          </w:p>
        </w:tc>
        <w:tc>
          <w:tcPr>
            <w:tcW w:w="1023" w:type="dxa"/>
            <w:vAlign w:val="top"/>
          </w:tcPr>
          <w:p>
            <w:pPr>
              <w:pStyle w:val="TableText"/>
              <w:ind w:left="340"/>
              <w:spacing w:before="39" w:line="220" w:lineRule="auto"/>
              <w:rPr/>
            </w:pPr>
            <w:r>
              <w:rPr>
                <w:rFonts w:ascii="Times New Roman" w:hAnsi="Times New Roman" w:eastAsia="Times New Roman" w:cs="Times New Roman"/>
                <w:spacing w:val="5"/>
              </w:rPr>
              <w:t>Ⅱ</w:t>
            </w:r>
            <w:r>
              <w:rPr>
                <w:spacing w:val="5"/>
              </w:rPr>
              <w:t>类</w:t>
            </w:r>
          </w:p>
        </w:tc>
        <w:tc>
          <w:tcPr>
            <w:tcW w:w="1495" w:type="dxa"/>
            <w:vAlign w:val="top"/>
          </w:tcPr>
          <w:p>
            <w:pPr>
              <w:ind w:left="652"/>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935" w:type="dxa"/>
            <w:vAlign w:val="top"/>
          </w:tcPr>
          <w:p>
            <w:pPr>
              <w:pStyle w:val="TableText"/>
              <w:ind w:left="299"/>
              <w:spacing w:before="39" w:line="220" w:lineRule="auto"/>
              <w:rPr/>
            </w:pPr>
            <w:r>
              <w:rPr>
                <w:rFonts w:ascii="Times New Roman" w:hAnsi="Times New Roman" w:eastAsia="Times New Roman" w:cs="Times New Roman"/>
                <w:spacing w:val="4"/>
              </w:rPr>
              <w:t>Ⅱ</w:t>
            </w:r>
            <w:r>
              <w:rPr>
                <w:spacing w:val="4"/>
              </w:rPr>
              <w:t>类</w:t>
            </w:r>
          </w:p>
        </w:tc>
        <w:tc>
          <w:tcPr>
            <w:tcW w:w="970" w:type="dxa"/>
            <w:vAlign w:val="top"/>
          </w:tcPr>
          <w:p>
            <w:pPr>
              <w:ind w:left="256"/>
              <w:spacing w:before="7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7" w:hRule="atLeast"/>
        </w:trPr>
        <w:tc>
          <w:tcPr>
            <w:tcW w:w="2853" w:type="dxa"/>
            <w:vAlign w:val="top"/>
          </w:tcPr>
          <w:p>
            <w:pPr>
              <w:pStyle w:val="TableText"/>
              <w:ind w:left="1126"/>
              <w:spacing w:before="38" w:line="220" w:lineRule="auto"/>
              <w:rPr/>
            </w:pPr>
            <w:r>
              <w:rPr>
                <w:spacing w:val="3"/>
              </w:rPr>
              <w:t>氯化物</w:t>
            </w:r>
          </w:p>
        </w:tc>
        <w:tc>
          <w:tcPr>
            <w:tcW w:w="1553" w:type="dxa"/>
            <w:vAlign w:val="top"/>
          </w:tcPr>
          <w:p>
            <w:pPr>
              <w:ind w:left="644"/>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w:t>
            </w:r>
          </w:p>
        </w:tc>
        <w:tc>
          <w:tcPr>
            <w:tcW w:w="1091" w:type="dxa"/>
            <w:vAlign w:val="top"/>
          </w:tcPr>
          <w:p>
            <w:pPr>
              <w:pStyle w:val="TableText"/>
              <w:ind w:left="406"/>
              <w:spacing w:before="38" w:line="220" w:lineRule="auto"/>
              <w:rPr/>
            </w:pPr>
            <w:r>
              <w:rPr>
                <w:rFonts w:ascii="Times New Roman" w:hAnsi="Times New Roman" w:eastAsia="Times New Roman" w:cs="Times New Roman"/>
                <w:spacing w:val="3"/>
              </w:rPr>
              <w:t>Ⅰ</w:t>
            </w:r>
            <w:r>
              <w:rPr>
                <w:spacing w:val="3"/>
              </w:rPr>
              <w:t>类</w:t>
            </w:r>
          </w:p>
        </w:tc>
        <w:tc>
          <w:tcPr>
            <w:tcW w:w="1580" w:type="dxa"/>
            <w:vAlign w:val="top"/>
          </w:tcPr>
          <w:p>
            <w:pPr>
              <w:ind w:left="599"/>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&lt;3.0</w:t>
            </w:r>
          </w:p>
        </w:tc>
        <w:tc>
          <w:tcPr>
            <w:tcW w:w="1127" w:type="dxa"/>
            <w:vAlign w:val="top"/>
          </w:tcPr>
          <w:p>
            <w:pPr>
              <w:pStyle w:val="TableText"/>
              <w:ind w:left="425"/>
              <w:spacing w:before="38" w:line="220" w:lineRule="auto"/>
              <w:rPr/>
            </w:pPr>
            <w:r>
              <w:rPr>
                <w:rFonts w:ascii="Times New Roman" w:hAnsi="Times New Roman" w:eastAsia="Times New Roman" w:cs="Times New Roman"/>
                <w:spacing w:val="3"/>
              </w:rPr>
              <w:t>Ⅰ</w:t>
            </w:r>
            <w:r>
              <w:rPr>
                <w:spacing w:val="3"/>
              </w:rPr>
              <w:t>类</w:t>
            </w:r>
          </w:p>
        </w:tc>
        <w:tc>
          <w:tcPr>
            <w:tcW w:w="1540" w:type="dxa"/>
            <w:vAlign w:val="top"/>
          </w:tcPr>
          <w:p>
            <w:pPr>
              <w:ind w:left="608"/>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14.4</w:t>
            </w:r>
          </w:p>
        </w:tc>
        <w:tc>
          <w:tcPr>
            <w:tcW w:w="1023" w:type="dxa"/>
            <w:vAlign w:val="top"/>
          </w:tcPr>
          <w:p>
            <w:pPr>
              <w:pStyle w:val="TableText"/>
              <w:ind w:left="374"/>
              <w:spacing w:before="38" w:line="220" w:lineRule="auto"/>
              <w:rPr/>
            </w:pPr>
            <w:r>
              <w:rPr>
                <w:rFonts w:ascii="Times New Roman" w:hAnsi="Times New Roman" w:eastAsia="Times New Roman" w:cs="Times New Roman"/>
                <w:spacing w:val="3"/>
              </w:rPr>
              <w:t>Ⅰ</w:t>
            </w:r>
            <w:r>
              <w:rPr>
                <w:spacing w:val="3"/>
              </w:rPr>
              <w:t>类</w:t>
            </w:r>
          </w:p>
        </w:tc>
        <w:tc>
          <w:tcPr>
            <w:tcW w:w="1495" w:type="dxa"/>
            <w:vAlign w:val="top"/>
          </w:tcPr>
          <w:p>
            <w:pPr>
              <w:ind w:left="624"/>
              <w:spacing w:before="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9.2</w:t>
            </w:r>
          </w:p>
        </w:tc>
        <w:tc>
          <w:tcPr>
            <w:tcW w:w="935" w:type="dxa"/>
            <w:vAlign w:val="top"/>
          </w:tcPr>
          <w:p>
            <w:pPr>
              <w:pStyle w:val="TableText"/>
              <w:ind w:left="330"/>
              <w:spacing w:before="38" w:line="220" w:lineRule="auto"/>
              <w:rPr/>
            </w:pPr>
            <w:r>
              <w:rPr>
                <w:rFonts w:ascii="Times New Roman" w:hAnsi="Times New Roman" w:eastAsia="Times New Roman" w:cs="Times New Roman"/>
                <w:spacing w:val="3"/>
              </w:rPr>
              <w:t>Ⅰ</w:t>
            </w:r>
            <w:r>
              <w:rPr>
                <w:spacing w:val="3"/>
              </w:rPr>
              <w:t>类</w:t>
            </w:r>
          </w:p>
        </w:tc>
        <w:tc>
          <w:tcPr>
            <w:tcW w:w="970" w:type="dxa"/>
            <w:vAlign w:val="top"/>
          </w:tcPr>
          <w:p>
            <w:pPr>
              <w:ind w:left="256"/>
              <w:spacing w:before="7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853" w:type="dxa"/>
            <w:vAlign w:val="top"/>
          </w:tcPr>
          <w:p>
            <w:pPr>
              <w:pStyle w:val="TableText"/>
              <w:ind w:left="1335"/>
              <w:spacing w:before="39" w:line="220" w:lineRule="auto"/>
              <w:rPr/>
            </w:pPr>
            <w:r>
              <w:rPr/>
              <w:t>铁</w:t>
            </w:r>
          </w:p>
        </w:tc>
        <w:tc>
          <w:tcPr>
            <w:tcW w:w="1553" w:type="dxa"/>
            <w:vAlign w:val="top"/>
          </w:tcPr>
          <w:p>
            <w:pPr>
              <w:ind w:left="595"/>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0.03</w:t>
            </w:r>
          </w:p>
        </w:tc>
        <w:tc>
          <w:tcPr>
            <w:tcW w:w="1091" w:type="dxa"/>
            <w:vAlign w:val="top"/>
          </w:tcPr>
          <w:p>
            <w:pPr>
              <w:pStyle w:val="TableText"/>
              <w:ind w:left="406"/>
              <w:spacing w:before="39" w:line="220" w:lineRule="auto"/>
              <w:rPr/>
            </w:pPr>
            <w:r>
              <w:rPr>
                <w:rFonts w:ascii="Times New Roman" w:hAnsi="Times New Roman" w:eastAsia="Times New Roman" w:cs="Times New Roman"/>
                <w:spacing w:val="3"/>
              </w:rPr>
              <w:t>Ⅰ</w:t>
            </w:r>
            <w:r>
              <w:rPr>
                <w:spacing w:val="3"/>
              </w:rPr>
              <w:t>类</w:t>
            </w:r>
          </w:p>
        </w:tc>
        <w:tc>
          <w:tcPr>
            <w:tcW w:w="1580" w:type="dxa"/>
            <w:vAlign w:val="top"/>
          </w:tcPr>
          <w:p>
            <w:pPr>
              <w:ind w:left="610"/>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0.02</w:t>
            </w:r>
          </w:p>
        </w:tc>
        <w:tc>
          <w:tcPr>
            <w:tcW w:w="1127" w:type="dxa"/>
            <w:vAlign w:val="top"/>
          </w:tcPr>
          <w:p>
            <w:pPr>
              <w:pStyle w:val="TableText"/>
              <w:ind w:left="425"/>
              <w:spacing w:before="39" w:line="220" w:lineRule="auto"/>
              <w:rPr/>
            </w:pPr>
            <w:r>
              <w:rPr>
                <w:rFonts w:ascii="Times New Roman" w:hAnsi="Times New Roman" w:eastAsia="Times New Roman" w:cs="Times New Roman"/>
                <w:spacing w:val="3"/>
              </w:rPr>
              <w:t>Ⅰ</w:t>
            </w:r>
            <w:r>
              <w:rPr>
                <w:spacing w:val="3"/>
              </w:rPr>
              <w:t>类</w:t>
            </w:r>
          </w:p>
        </w:tc>
        <w:tc>
          <w:tcPr>
            <w:tcW w:w="1540" w:type="dxa"/>
            <w:vAlign w:val="top"/>
          </w:tcPr>
          <w:p>
            <w:pPr>
              <w:ind w:left="528"/>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&lt;0.02</w:t>
            </w:r>
          </w:p>
        </w:tc>
        <w:tc>
          <w:tcPr>
            <w:tcW w:w="1023" w:type="dxa"/>
            <w:vAlign w:val="top"/>
          </w:tcPr>
          <w:p>
            <w:pPr>
              <w:pStyle w:val="TableText"/>
              <w:ind w:left="374"/>
              <w:spacing w:before="39" w:line="220" w:lineRule="auto"/>
              <w:rPr/>
            </w:pPr>
            <w:r>
              <w:rPr>
                <w:rFonts w:ascii="Times New Roman" w:hAnsi="Times New Roman" w:eastAsia="Times New Roman" w:cs="Times New Roman"/>
                <w:spacing w:val="3"/>
              </w:rPr>
              <w:t>Ⅰ</w:t>
            </w:r>
            <w:r>
              <w:rPr>
                <w:spacing w:val="3"/>
              </w:rPr>
              <w:t>类</w:t>
            </w:r>
          </w:p>
        </w:tc>
        <w:tc>
          <w:tcPr>
            <w:tcW w:w="1495" w:type="dxa"/>
            <w:vAlign w:val="top"/>
          </w:tcPr>
          <w:p>
            <w:pPr>
              <w:ind w:left="506"/>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&lt;0.02</w:t>
            </w:r>
          </w:p>
        </w:tc>
        <w:tc>
          <w:tcPr>
            <w:tcW w:w="935" w:type="dxa"/>
            <w:vAlign w:val="top"/>
          </w:tcPr>
          <w:p>
            <w:pPr>
              <w:pStyle w:val="TableText"/>
              <w:ind w:left="330"/>
              <w:spacing w:before="39" w:line="220" w:lineRule="auto"/>
              <w:rPr/>
            </w:pPr>
            <w:r>
              <w:rPr>
                <w:rFonts w:ascii="Times New Roman" w:hAnsi="Times New Roman" w:eastAsia="Times New Roman" w:cs="Times New Roman"/>
                <w:spacing w:val="3"/>
              </w:rPr>
              <w:t>Ⅰ</w:t>
            </w:r>
            <w:r>
              <w:rPr>
                <w:spacing w:val="3"/>
              </w:rPr>
              <w:t>类</w:t>
            </w:r>
          </w:p>
        </w:tc>
        <w:tc>
          <w:tcPr>
            <w:tcW w:w="970" w:type="dxa"/>
            <w:vAlign w:val="top"/>
          </w:tcPr>
          <w:p>
            <w:pPr>
              <w:ind w:left="256"/>
              <w:spacing w:before="7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853" w:type="dxa"/>
            <w:vAlign w:val="top"/>
          </w:tcPr>
          <w:p>
            <w:pPr>
              <w:pStyle w:val="TableText"/>
              <w:ind w:left="1333"/>
              <w:spacing w:before="39" w:line="220" w:lineRule="auto"/>
              <w:rPr/>
            </w:pPr>
            <w:r>
              <w:rPr/>
              <w:t>锰</w:t>
            </w:r>
          </w:p>
        </w:tc>
        <w:tc>
          <w:tcPr>
            <w:tcW w:w="1553" w:type="dxa"/>
            <w:vAlign w:val="top"/>
          </w:tcPr>
          <w:p>
            <w:pPr>
              <w:ind w:left="542"/>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0.006</w:t>
            </w:r>
          </w:p>
        </w:tc>
        <w:tc>
          <w:tcPr>
            <w:tcW w:w="1091" w:type="dxa"/>
            <w:vAlign w:val="top"/>
          </w:tcPr>
          <w:p>
            <w:pPr>
              <w:pStyle w:val="TableText"/>
              <w:ind w:left="406"/>
              <w:spacing w:before="39" w:line="220" w:lineRule="auto"/>
              <w:rPr/>
            </w:pPr>
            <w:r>
              <w:rPr>
                <w:rFonts w:ascii="Times New Roman" w:hAnsi="Times New Roman" w:eastAsia="Times New Roman" w:cs="Times New Roman"/>
                <w:spacing w:val="3"/>
              </w:rPr>
              <w:t>Ⅰ</w:t>
            </w:r>
            <w:r>
              <w:rPr>
                <w:spacing w:val="3"/>
              </w:rPr>
              <w:t>类</w:t>
            </w:r>
          </w:p>
        </w:tc>
        <w:tc>
          <w:tcPr>
            <w:tcW w:w="1580" w:type="dxa"/>
            <w:vAlign w:val="top"/>
          </w:tcPr>
          <w:p>
            <w:pPr>
              <w:ind w:left="558"/>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0.005</w:t>
            </w:r>
          </w:p>
        </w:tc>
        <w:tc>
          <w:tcPr>
            <w:tcW w:w="1127" w:type="dxa"/>
            <w:vAlign w:val="top"/>
          </w:tcPr>
          <w:p>
            <w:pPr>
              <w:pStyle w:val="TableText"/>
              <w:ind w:left="425"/>
              <w:spacing w:before="39" w:line="220" w:lineRule="auto"/>
              <w:rPr/>
            </w:pPr>
            <w:r>
              <w:rPr>
                <w:rFonts w:ascii="Times New Roman" w:hAnsi="Times New Roman" w:eastAsia="Times New Roman" w:cs="Times New Roman"/>
                <w:spacing w:val="3"/>
              </w:rPr>
              <w:t>Ⅰ</w:t>
            </w:r>
            <w:r>
              <w:rPr>
                <w:spacing w:val="3"/>
              </w:rPr>
              <w:t>类</w:t>
            </w:r>
          </w:p>
        </w:tc>
        <w:tc>
          <w:tcPr>
            <w:tcW w:w="1540" w:type="dxa"/>
            <w:vAlign w:val="top"/>
          </w:tcPr>
          <w:p>
            <w:pPr>
              <w:ind w:left="539"/>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0.033</w:t>
            </w:r>
          </w:p>
        </w:tc>
        <w:tc>
          <w:tcPr>
            <w:tcW w:w="1023" w:type="dxa"/>
            <w:vAlign w:val="top"/>
          </w:tcPr>
          <w:p>
            <w:pPr>
              <w:pStyle w:val="TableText"/>
              <w:ind w:left="374"/>
              <w:spacing w:before="39" w:line="220" w:lineRule="auto"/>
              <w:rPr/>
            </w:pPr>
            <w:r>
              <w:rPr>
                <w:rFonts w:ascii="Times New Roman" w:hAnsi="Times New Roman" w:eastAsia="Times New Roman" w:cs="Times New Roman"/>
                <w:spacing w:val="3"/>
              </w:rPr>
              <w:t>Ⅰ</w:t>
            </w:r>
            <w:r>
              <w:rPr>
                <w:spacing w:val="3"/>
              </w:rPr>
              <w:t>类</w:t>
            </w:r>
          </w:p>
        </w:tc>
        <w:tc>
          <w:tcPr>
            <w:tcW w:w="1495" w:type="dxa"/>
            <w:vAlign w:val="top"/>
          </w:tcPr>
          <w:p>
            <w:pPr>
              <w:ind w:left="517"/>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0.041</w:t>
            </w:r>
          </w:p>
        </w:tc>
        <w:tc>
          <w:tcPr>
            <w:tcW w:w="935" w:type="dxa"/>
            <w:vAlign w:val="top"/>
          </w:tcPr>
          <w:p>
            <w:pPr>
              <w:pStyle w:val="TableText"/>
              <w:ind w:left="330"/>
              <w:spacing w:before="39" w:line="220" w:lineRule="auto"/>
              <w:rPr/>
            </w:pPr>
            <w:r>
              <w:rPr>
                <w:rFonts w:ascii="Times New Roman" w:hAnsi="Times New Roman" w:eastAsia="Times New Roman" w:cs="Times New Roman"/>
                <w:spacing w:val="3"/>
              </w:rPr>
              <w:t>Ⅰ</w:t>
            </w:r>
            <w:r>
              <w:rPr>
                <w:spacing w:val="3"/>
              </w:rPr>
              <w:t>类</w:t>
            </w:r>
          </w:p>
        </w:tc>
        <w:tc>
          <w:tcPr>
            <w:tcW w:w="970" w:type="dxa"/>
            <w:vAlign w:val="top"/>
          </w:tcPr>
          <w:p>
            <w:pPr>
              <w:ind w:left="256"/>
              <w:spacing w:before="7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853" w:type="dxa"/>
            <w:vAlign w:val="top"/>
          </w:tcPr>
          <w:p>
            <w:pPr>
              <w:pStyle w:val="TableText"/>
              <w:ind w:left="1333"/>
              <w:spacing w:before="39" w:line="220" w:lineRule="auto"/>
              <w:rPr/>
            </w:pPr>
            <w:r>
              <w:rPr/>
              <w:t>锌</w:t>
            </w:r>
          </w:p>
        </w:tc>
        <w:tc>
          <w:tcPr>
            <w:tcW w:w="1553" w:type="dxa"/>
            <w:vAlign w:val="top"/>
          </w:tcPr>
          <w:p>
            <w:pPr>
              <w:ind w:left="542"/>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0.018</w:t>
            </w:r>
          </w:p>
        </w:tc>
        <w:tc>
          <w:tcPr>
            <w:tcW w:w="1091" w:type="dxa"/>
            <w:vAlign w:val="top"/>
          </w:tcPr>
          <w:p>
            <w:pPr>
              <w:pStyle w:val="TableText"/>
              <w:ind w:left="406"/>
              <w:spacing w:before="39" w:line="220" w:lineRule="auto"/>
              <w:rPr/>
            </w:pPr>
            <w:r>
              <w:rPr>
                <w:rFonts w:ascii="Times New Roman" w:hAnsi="Times New Roman" w:eastAsia="Times New Roman" w:cs="Times New Roman"/>
                <w:spacing w:val="3"/>
              </w:rPr>
              <w:t>Ⅰ</w:t>
            </w:r>
            <w:r>
              <w:rPr>
                <w:spacing w:val="3"/>
              </w:rPr>
              <w:t>类</w:t>
            </w:r>
          </w:p>
        </w:tc>
        <w:tc>
          <w:tcPr>
            <w:tcW w:w="1580" w:type="dxa"/>
            <w:vAlign w:val="top"/>
          </w:tcPr>
          <w:p>
            <w:pPr>
              <w:ind w:left="558"/>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0.018</w:t>
            </w:r>
          </w:p>
        </w:tc>
        <w:tc>
          <w:tcPr>
            <w:tcW w:w="1127" w:type="dxa"/>
            <w:vAlign w:val="top"/>
          </w:tcPr>
          <w:p>
            <w:pPr>
              <w:pStyle w:val="TableText"/>
              <w:ind w:left="425"/>
              <w:spacing w:before="39" w:line="220" w:lineRule="auto"/>
              <w:rPr/>
            </w:pPr>
            <w:r>
              <w:rPr>
                <w:rFonts w:ascii="Times New Roman" w:hAnsi="Times New Roman" w:eastAsia="Times New Roman" w:cs="Times New Roman"/>
                <w:spacing w:val="3"/>
              </w:rPr>
              <w:t>Ⅰ</w:t>
            </w:r>
            <w:r>
              <w:rPr>
                <w:spacing w:val="3"/>
              </w:rPr>
              <w:t>类</w:t>
            </w:r>
          </w:p>
        </w:tc>
        <w:tc>
          <w:tcPr>
            <w:tcW w:w="1540" w:type="dxa"/>
            <w:vAlign w:val="top"/>
          </w:tcPr>
          <w:p>
            <w:pPr>
              <w:ind w:left="591"/>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0.09</w:t>
            </w:r>
          </w:p>
        </w:tc>
        <w:tc>
          <w:tcPr>
            <w:tcW w:w="1023" w:type="dxa"/>
            <w:vAlign w:val="top"/>
          </w:tcPr>
          <w:p>
            <w:pPr>
              <w:pStyle w:val="TableText"/>
              <w:ind w:left="340"/>
              <w:spacing w:before="39" w:line="220" w:lineRule="auto"/>
              <w:rPr/>
            </w:pPr>
            <w:r>
              <w:rPr>
                <w:rFonts w:ascii="Times New Roman" w:hAnsi="Times New Roman" w:eastAsia="Times New Roman" w:cs="Times New Roman"/>
                <w:spacing w:val="5"/>
              </w:rPr>
              <w:t>Ⅱ</w:t>
            </w:r>
            <w:r>
              <w:rPr>
                <w:spacing w:val="5"/>
              </w:rPr>
              <w:t>类</w:t>
            </w:r>
          </w:p>
        </w:tc>
        <w:tc>
          <w:tcPr>
            <w:tcW w:w="1495" w:type="dxa"/>
            <w:vAlign w:val="top"/>
          </w:tcPr>
          <w:p>
            <w:pPr>
              <w:ind w:left="517"/>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0.012</w:t>
            </w:r>
          </w:p>
        </w:tc>
        <w:tc>
          <w:tcPr>
            <w:tcW w:w="935" w:type="dxa"/>
            <w:vAlign w:val="top"/>
          </w:tcPr>
          <w:p>
            <w:pPr>
              <w:pStyle w:val="TableText"/>
              <w:ind w:left="330"/>
              <w:spacing w:before="39" w:line="220" w:lineRule="auto"/>
              <w:rPr/>
            </w:pPr>
            <w:r>
              <w:rPr>
                <w:rFonts w:ascii="Times New Roman" w:hAnsi="Times New Roman" w:eastAsia="Times New Roman" w:cs="Times New Roman"/>
                <w:spacing w:val="3"/>
              </w:rPr>
              <w:t>Ⅰ</w:t>
            </w:r>
            <w:r>
              <w:rPr>
                <w:spacing w:val="3"/>
              </w:rPr>
              <w:t>类</w:t>
            </w:r>
          </w:p>
        </w:tc>
        <w:tc>
          <w:tcPr>
            <w:tcW w:w="970" w:type="dxa"/>
            <w:vAlign w:val="top"/>
          </w:tcPr>
          <w:p>
            <w:pPr>
              <w:ind w:left="256"/>
              <w:spacing w:before="7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853" w:type="dxa"/>
            <w:vAlign w:val="top"/>
          </w:tcPr>
          <w:p>
            <w:pPr>
              <w:pStyle w:val="TableText"/>
              <w:ind w:left="814"/>
              <w:spacing w:before="39" w:line="220" w:lineRule="auto"/>
              <w:rPr/>
            </w:pPr>
            <w:r>
              <w:rPr>
                <w:spacing w:val="6"/>
              </w:rPr>
              <w:t>高锰酸盐指数</w:t>
            </w:r>
          </w:p>
        </w:tc>
        <w:tc>
          <w:tcPr>
            <w:tcW w:w="1553" w:type="dxa"/>
            <w:vAlign w:val="top"/>
          </w:tcPr>
          <w:p>
            <w:pPr>
              <w:ind w:left="584"/>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&lt;0.5</w:t>
            </w:r>
          </w:p>
        </w:tc>
        <w:tc>
          <w:tcPr>
            <w:tcW w:w="1091" w:type="dxa"/>
            <w:vAlign w:val="top"/>
          </w:tcPr>
          <w:p>
            <w:pPr>
              <w:pStyle w:val="TableText"/>
              <w:ind w:left="406"/>
              <w:spacing w:before="39" w:line="220" w:lineRule="auto"/>
              <w:rPr/>
            </w:pPr>
            <w:r>
              <w:rPr>
                <w:rFonts w:ascii="Times New Roman" w:hAnsi="Times New Roman" w:eastAsia="Times New Roman" w:cs="Times New Roman"/>
                <w:spacing w:val="3"/>
              </w:rPr>
              <w:t>Ⅰ</w:t>
            </w:r>
            <w:r>
              <w:rPr>
                <w:spacing w:val="3"/>
              </w:rPr>
              <w:t>类</w:t>
            </w:r>
          </w:p>
        </w:tc>
        <w:tc>
          <w:tcPr>
            <w:tcW w:w="1580" w:type="dxa"/>
            <w:vAlign w:val="top"/>
          </w:tcPr>
          <w:p>
            <w:pPr>
              <w:ind w:left="663"/>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c>
          <w:tcPr>
            <w:tcW w:w="1127" w:type="dxa"/>
            <w:vAlign w:val="top"/>
          </w:tcPr>
          <w:p>
            <w:pPr>
              <w:pStyle w:val="TableText"/>
              <w:ind w:left="425"/>
              <w:spacing w:before="39" w:line="220" w:lineRule="auto"/>
              <w:rPr/>
            </w:pPr>
            <w:r>
              <w:rPr>
                <w:rFonts w:ascii="Times New Roman" w:hAnsi="Times New Roman" w:eastAsia="Times New Roman" w:cs="Times New Roman"/>
                <w:spacing w:val="3"/>
              </w:rPr>
              <w:t>Ⅰ</w:t>
            </w:r>
            <w:r>
              <w:rPr>
                <w:spacing w:val="3"/>
              </w:rPr>
              <w:t>类</w:t>
            </w:r>
          </w:p>
        </w:tc>
        <w:tc>
          <w:tcPr>
            <w:tcW w:w="1540" w:type="dxa"/>
            <w:vAlign w:val="top"/>
          </w:tcPr>
          <w:p>
            <w:pPr>
              <w:ind w:left="661"/>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1.6</w:t>
            </w:r>
          </w:p>
        </w:tc>
        <w:tc>
          <w:tcPr>
            <w:tcW w:w="1023" w:type="dxa"/>
            <w:vAlign w:val="top"/>
          </w:tcPr>
          <w:p>
            <w:pPr>
              <w:pStyle w:val="TableText"/>
              <w:ind w:left="340"/>
              <w:spacing w:before="39" w:line="220" w:lineRule="auto"/>
              <w:rPr/>
            </w:pPr>
            <w:r>
              <w:rPr>
                <w:rFonts w:ascii="Times New Roman" w:hAnsi="Times New Roman" w:eastAsia="Times New Roman" w:cs="Times New Roman"/>
                <w:spacing w:val="5"/>
              </w:rPr>
              <w:t>Ⅱ</w:t>
            </w:r>
            <w:r>
              <w:rPr>
                <w:spacing w:val="5"/>
              </w:rPr>
              <w:t>类</w:t>
            </w:r>
          </w:p>
        </w:tc>
        <w:tc>
          <w:tcPr>
            <w:tcW w:w="1495" w:type="dxa"/>
            <w:vAlign w:val="top"/>
          </w:tcPr>
          <w:p>
            <w:pPr>
              <w:ind w:left="623"/>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w:t>
            </w:r>
          </w:p>
        </w:tc>
        <w:tc>
          <w:tcPr>
            <w:tcW w:w="935" w:type="dxa"/>
            <w:vAlign w:val="top"/>
          </w:tcPr>
          <w:p>
            <w:pPr>
              <w:pStyle w:val="TableText"/>
              <w:ind w:left="330"/>
              <w:spacing w:before="39" w:line="220" w:lineRule="auto"/>
              <w:rPr/>
            </w:pPr>
            <w:r>
              <w:rPr>
                <w:rFonts w:ascii="Times New Roman" w:hAnsi="Times New Roman" w:eastAsia="Times New Roman" w:cs="Times New Roman"/>
                <w:spacing w:val="3"/>
              </w:rPr>
              <w:t>Ⅰ</w:t>
            </w:r>
            <w:r>
              <w:rPr>
                <w:spacing w:val="3"/>
              </w:rPr>
              <w:t>类</w:t>
            </w:r>
          </w:p>
        </w:tc>
        <w:tc>
          <w:tcPr>
            <w:tcW w:w="970" w:type="dxa"/>
            <w:vAlign w:val="top"/>
          </w:tcPr>
          <w:p>
            <w:pPr>
              <w:ind w:left="256"/>
              <w:spacing w:before="7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853" w:type="dxa"/>
            <w:vAlign w:val="top"/>
          </w:tcPr>
          <w:p>
            <w:pPr>
              <w:pStyle w:val="TableText"/>
              <w:ind w:left="1235"/>
              <w:spacing w:before="41" w:line="218" w:lineRule="auto"/>
              <w:rPr/>
            </w:pPr>
            <w:r>
              <w:rPr>
                <w:spacing w:val="-2"/>
              </w:rPr>
              <w:t>氨氮</w:t>
            </w:r>
          </w:p>
        </w:tc>
        <w:tc>
          <w:tcPr>
            <w:tcW w:w="1553" w:type="dxa"/>
            <w:vAlign w:val="top"/>
          </w:tcPr>
          <w:p>
            <w:pPr>
              <w:ind w:left="481"/>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&lt;0.025</w:t>
            </w:r>
          </w:p>
        </w:tc>
        <w:tc>
          <w:tcPr>
            <w:tcW w:w="1091" w:type="dxa"/>
            <w:vAlign w:val="top"/>
          </w:tcPr>
          <w:p>
            <w:pPr>
              <w:pStyle w:val="TableText"/>
              <w:ind w:left="374"/>
              <w:spacing w:before="41" w:line="218" w:lineRule="auto"/>
              <w:rPr/>
            </w:pPr>
            <w:r>
              <w:rPr>
                <w:rFonts w:ascii="Times New Roman" w:hAnsi="Times New Roman" w:eastAsia="Times New Roman" w:cs="Times New Roman"/>
                <w:spacing w:val="4"/>
              </w:rPr>
              <w:t>Ⅱ</w:t>
            </w:r>
            <w:r>
              <w:rPr>
                <w:spacing w:val="4"/>
              </w:rPr>
              <w:t>类</w:t>
            </w:r>
          </w:p>
        </w:tc>
        <w:tc>
          <w:tcPr>
            <w:tcW w:w="1580" w:type="dxa"/>
            <w:vAlign w:val="top"/>
          </w:tcPr>
          <w:p>
            <w:pPr>
              <w:ind w:left="494"/>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&lt;0.025</w:t>
            </w:r>
          </w:p>
        </w:tc>
        <w:tc>
          <w:tcPr>
            <w:tcW w:w="1127" w:type="dxa"/>
            <w:vAlign w:val="top"/>
          </w:tcPr>
          <w:p>
            <w:pPr>
              <w:pStyle w:val="TableText"/>
              <w:ind w:left="391"/>
              <w:spacing w:before="41" w:line="218" w:lineRule="auto"/>
              <w:rPr/>
            </w:pPr>
            <w:r>
              <w:rPr>
                <w:rFonts w:ascii="Times New Roman" w:hAnsi="Times New Roman" w:eastAsia="Times New Roman" w:cs="Times New Roman"/>
                <w:spacing w:val="5"/>
              </w:rPr>
              <w:t>Ⅱ</w:t>
            </w:r>
            <w:r>
              <w:rPr>
                <w:spacing w:val="5"/>
              </w:rPr>
              <w:t>类</w:t>
            </w:r>
          </w:p>
        </w:tc>
        <w:tc>
          <w:tcPr>
            <w:tcW w:w="1540" w:type="dxa"/>
            <w:vAlign w:val="top"/>
          </w:tcPr>
          <w:p>
            <w:pPr>
              <w:ind w:left="539"/>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0.063</w:t>
            </w:r>
          </w:p>
        </w:tc>
        <w:tc>
          <w:tcPr>
            <w:tcW w:w="1023" w:type="dxa"/>
            <w:vAlign w:val="top"/>
          </w:tcPr>
          <w:p>
            <w:pPr>
              <w:pStyle w:val="TableText"/>
              <w:ind w:left="340"/>
              <w:spacing w:before="41" w:line="218" w:lineRule="auto"/>
              <w:rPr/>
            </w:pPr>
            <w:r>
              <w:rPr>
                <w:rFonts w:ascii="Times New Roman" w:hAnsi="Times New Roman" w:eastAsia="Times New Roman" w:cs="Times New Roman"/>
                <w:spacing w:val="5"/>
              </w:rPr>
              <w:t>Ⅱ</w:t>
            </w:r>
            <w:r>
              <w:rPr>
                <w:spacing w:val="5"/>
              </w:rPr>
              <w:t>类</w:t>
            </w:r>
          </w:p>
        </w:tc>
        <w:tc>
          <w:tcPr>
            <w:tcW w:w="1495" w:type="dxa"/>
            <w:vAlign w:val="top"/>
          </w:tcPr>
          <w:p>
            <w:pPr>
              <w:ind w:left="453"/>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&lt;0.025</w:t>
            </w:r>
          </w:p>
        </w:tc>
        <w:tc>
          <w:tcPr>
            <w:tcW w:w="935" w:type="dxa"/>
            <w:vAlign w:val="top"/>
          </w:tcPr>
          <w:p>
            <w:pPr>
              <w:pStyle w:val="TableText"/>
              <w:ind w:left="299"/>
              <w:spacing w:before="41" w:line="218" w:lineRule="auto"/>
              <w:rPr/>
            </w:pPr>
            <w:r>
              <w:rPr>
                <w:rFonts w:ascii="Times New Roman" w:hAnsi="Times New Roman" w:eastAsia="Times New Roman" w:cs="Times New Roman"/>
                <w:spacing w:val="4"/>
              </w:rPr>
              <w:t>Ⅱ</w:t>
            </w:r>
            <w:r>
              <w:rPr>
                <w:spacing w:val="4"/>
              </w:rPr>
              <w:t>类</w:t>
            </w:r>
          </w:p>
        </w:tc>
        <w:tc>
          <w:tcPr>
            <w:tcW w:w="970" w:type="dxa"/>
            <w:vAlign w:val="top"/>
          </w:tcPr>
          <w:p>
            <w:pPr>
              <w:ind w:left="256"/>
              <w:spacing w:before="7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853" w:type="dxa"/>
            <w:vAlign w:val="top"/>
          </w:tcPr>
          <w:p>
            <w:pPr>
              <w:pStyle w:val="TableText"/>
              <w:ind w:left="1121"/>
              <w:spacing w:before="40" w:line="219" w:lineRule="auto"/>
              <w:rPr/>
            </w:pPr>
            <w:r>
              <w:rPr>
                <w:spacing w:val="5"/>
              </w:rPr>
              <w:t>硫化物</w:t>
            </w:r>
          </w:p>
        </w:tc>
        <w:tc>
          <w:tcPr>
            <w:tcW w:w="1553" w:type="dxa"/>
            <w:vAlign w:val="top"/>
          </w:tcPr>
          <w:p>
            <w:pPr>
              <w:ind w:left="481"/>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&lt;0.003</w:t>
            </w:r>
          </w:p>
        </w:tc>
        <w:tc>
          <w:tcPr>
            <w:tcW w:w="1091" w:type="dxa"/>
            <w:vAlign w:val="top"/>
          </w:tcPr>
          <w:p>
            <w:pPr>
              <w:pStyle w:val="TableText"/>
              <w:ind w:left="406"/>
              <w:spacing w:before="40" w:line="219" w:lineRule="auto"/>
              <w:rPr/>
            </w:pPr>
            <w:r>
              <w:rPr>
                <w:rFonts w:ascii="Times New Roman" w:hAnsi="Times New Roman" w:eastAsia="Times New Roman" w:cs="Times New Roman"/>
                <w:spacing w:val="3"/>
              </w:rPr>
              <w:t>Ⅰ</w:t>
            </w:r>
            <w:r>
              <w:rPr>
                <w:spacing w:val="3"/>
              </w:rPr>
              <w:t>类</w:t>
            </w:r>
          </w:p>
        </w:tc>
        <w:tc>
          <w:tcPr>
            <w:tcW w:w="1580" w:type="dxa"/>
            <w:vAlign w:val="top"/>
          </w:tcPr>
          <w:p>
            <w:pPr>
              <w:ind w:left="558"/>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0.004</w:t>
            </w:r>
          </w:p>
        </w:tc>
        <w:tc>
          <w:tcPr>
            <w:tcW w:w="1127" w:type="dxa"/>
            <w:vAlign w:val="top"/>
          </w:tcPr>
          <w:p>
            <w:pPr>
              <w:pStyle w:val="TableText"/>
              <w:ind w:left="425"/>
              <w:spacing w:before="40" w:line="219" w:lineRule="auto"/>
              <w:rPr/>
            </w:pPr>
            <w:r>
              <w:rPr>
                <w:rFonts w:ascii="Times New Roman" w:hAnsi="Times New Roman" w:eastAsia="Times New Roman" w:cs="Times New Roman"/>
                <w:spacing w:val="3"/>
              </w:rPr>
              <w:t>Ⅰ</w:t>
            </w:r>
            <w:r>
              <w:rPr>
                <w:spacing w:val="3"/>
              </w:rPr>
              <w:t>类</w:t>
            </w:r>
          </w:p>
        </w:tc>
        <w:tc>
          <w:tcPr>
            <w:tcW w:w="1540" w:type="dxa"/>
            <w:vAlign w:val="top"/>
          </w:tcPr>
          <w:p>
            <w:pPr>
              <w:ind w:left="475"/>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&lt;0.003</w:t>
            </w:r>
          </w:p>
        </w:tc>
        <w:tc>
          <w:tcPr>
            <w:tcW w:w="1023" w:type="dxa"/>
            <w:vAlign w:val="top"/>
          </w:tcPr>
          <w:p>
            <w:pPr>
              <w:pStyle w:val="TableText"/>
              <w:ind w:left="374"/>
              <w:spacing w:before="40" w:line="219" w:lineRule="auto"/>
              <w:rPr/>
            </w:pPr>
            <w:r>
              <w:rPr>
                <w:rFonts w:ascii="Times New Roman" w:hAnsi="Times New Roman" w:eastAsia="Times New Roman" w:cs="Times New Roman"/>
                <w:spacing w:val="3"/>
              </w:rPr>
              <w:t>Ⅰ</w:t>
            </w:r>
            <w:r>
              <w:rPr>
                <w:spacing w:val="3"/>
              </w:rPr>
              <w:t>类</w:t>
            </w:r>
          </w:p>
        </w:tc>
        <w:tc>
          <w:tcPr>
            <w:tcW w:w="1495" w:type="dxa"/>
            <w:vAlign w:val="top"/>
          </w:tcPr>
          <w:p>
            <w:pPr>
              <w:ind w:left="517"/>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0.004</w:t>
            </w:r>
          </w:p>
        </w:tc>
        <w:tc>
          <w:tcPr>
            <w:tcW w:w="935" w:type="dxa"/>
            <w:vAlign w:val="top"/>
          </w:tcPr>
          <w:p>
            <w:pPr>
              <w:pStyle w:val="TableText"/>
              <w:ind w:left="330"/>
              <w:spacing w:before="40" w:line="219" w:lineRule="auto"/>
              <w:rPr/>
            </w:pPr>
            <w:r>
              <w:rPr>
                <w:rFonts w:ascii="Times New Roman" w:hAnsi="Times New Roman" w:eastAsia="Times New Roman" w:cs="Times New Roman"/>
                <w:spacing w:val="3"/>
              </w:rPr>
              <w:t>Ⅰ</w:t>
            </w:r>
            <w:r>
              <w:rPr>
                <w:spacing w:val="3"/>
              </w:rPr>
              <w:t>类</w:t>
            </w:r>
          </w:p>
        </w:tc>
        <w:tc>
          <w:tcPr>
            <w:tcW w:w="970" w:type="dxa"/>
            <w:vAlign w:val="top"/>
          </w:tcPr>
          <w:p>
            <w:pPr>
              <w:ind w:left="256"/>
              <w:spacing w:before="7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853" w:type="dxa"/>
            <w:vAlign w:val="top"/>
          </w:tcPr>
          <w:p>
            <w:pPr>
              <w:pStyle w:val="TableText"/>
              <w:ind w:left="1333"/>
              <w:spacing w:before="40" w:line="219" w:lineRule="auto"/>
              <w:rPr/>
            </w:pPr>
            <w:r>
              <w:rPr/>
              <w:t>钠</w:t>
            </w:r>
          </w:p>
        </w:tc>
        <w:tc>
          <w:tcPr>
            <w:tcW w:w="1553" w:type="dxa"/>
            <w:vAlign w:val="top"/>
          </w:tcPr>
          <w:p>
            <w:pPr>
              <w:ind w:left="612"/>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12.6</w:t>
            </w:r>
          </w:p>
        </w:tc>
        <w:tc>
          <w:tcPr>
            <w:tcW w:w="1091" w:type="dxa"/>
            <w:vAlign w:val="top"/>
          </w:tcPr>
          <w:p>
            <w:pPr>
              <w:pStyle w:val="TableText"/>
              <w:ind w:left="406"/>
              <w:spacing w:before="40" w:line="219" w:lineRule="auto"/>
              <w:rPr/>
            </w:pPr>
            <w:r>
              <w:rPr>
                <w:rFonts w:ascii="Times New Roman" w:hAnsi="Times New Roman" w:eastAsia="Times New Roman" w:cs="Times New Roman"/>
                <w:spacing w:val="3"/>
              </w:rPr>
              <w:t>Ⅰ</w:t>
            </w:r>
            <w:r>
              <w:rPr>
                <w:spacing w:val="3"/>
              </w:rPr>
              <w:t>类</w:t>
            </w:r>
          </w:p>
        </w:tc>
        <w:tc>
          <w:tcPr>
            <w:tcW w:w="1580" w:type="dxa"/>
            <w:vAlign w:val="top"/>
          </w:tcPr>
          <w:p>
            <w:pPr>
              <w:ind w:left="627"/>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13.7</w:t>
            </w:r>
          </w:p>
        </w:tc>
        <w:tc>
          <w:tcPr>
            <w:tcW w:w="1127" w:type="dxa"/>
            <w:vAlign w:val="top"/>
          </w:tcPr>
          <w:p>
            <w:pPr>
              <w:pStyle w:val="TableText"/>
              <w:ind w:left="425"/>
              <w:spacing w:before="40" w:line="219" w:lineRule="auto"/>
              <w:rPr/>
            </w:pPr>
            <w:r>
              <w:rPr>
                <w:rFonts w:ascii="Times New Roman" w:hAnsi="Times New Roman" w:eastAsia="Times New Roman" w:cs="Times New Roman"/>
                <w:spacing w:val="3"/>
              </w:rPr>
              <w:t>Ⅰ</w:t>
            </w:r>
            <w:r>
              <w:rPr>
                <w:spacing w:val="3"/>
              </w:rPr>
              <w:t>类</w:t>
            </w:r>
          </w:p>
        </w:tc>
        <w:tc>
          <w:tcPr>
            <w:tcW w:w="1540" w:type="dxa"/>
            <w:vAlign w:val="top"/>
          </w:tcPr>
          <w:p>
            <w:pPr>
              <w:ind w:left="588"/>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23.8</w:t>
            </w:r>
          </w:p>
        </w:tc>
        <w:tc>
          <w:tcPr>
            <w:tcW w:w="1023" w:type="dxa"/>
            <w:vAlign w:val="top"/>
          </w:tcPr>
          <w:p>
            <w:pPr>
              <w:pStyle w:val="TableText"/>
              <w:ind w:left="374"/>
              <w:spacing w:before="40" w:line="219" w:lineRule="auto"/>
              <w:rPr/>
            </w:pPr>
            <w:r>
              <w:rPr>
                <w:rFonts w:ascii="Times New Roman" w:hAnsi="Times New Roman" w:eastAsia="Times New Roman" w:cs="Times New Roman"/>
                <w:spacing w:val="3"/>
              </w:rPr>
              <w:t>Ⅰ</w:t>
            </w:r>
            <w:r>
              <w:rPr>
                <w:spacing w:val="3"/>
              </w:rPr>
              <w:t>类</w:t>
            </w:r>
          </w:p>
        </w:tc>
        <w:tc>
          <w:tcPr>
            <w:tcW w:w="1495" w:type="dxa"/>
            <w:vAlign w:val="top"/>
          </w:tcPr>
          <w:p>
            <w:pPr>
              <w:ind w:left="567"/>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24.8</w:t>
            </w:r>
          </w:p>
        </w:tc>
        <w:tc>
          <w:tcPr>
            <w:tcW w:w="935" w:type="dxa"/>
            <w:vAlign w:val="top"/>
          </w:tcPr>
          <w:p>
            <w:pPr>
              <w:pStyle w:val="TableText"/>
              <w:ind w:left="330"/>
              <w:spacing w:before="40" w:line="219" w:lineRule="auto"/>
              <w:rPr/>
            </w:pPr>
            <w:r>
              <w:rPr>
                <w:rFonts w:ascii="Times New Roman" w:hAnsi="Times New Roman" w:eastAsia="Times New Roman" w:cs="Times New Roman"/>
                <w:spacing w:val="3"/>
              </w:rPr>
              <w:t>Ⅰ</w:t>
            </w:r>
            <w:r>
              <w:rPr>
                <w:spacing w:val="3"/>
              </w:rPr>
              <w:t>类</w:t>
            </w:r>
          </w:p>
        </w:tc>
        <w:tc>
          <w:tcPr>
            <w:tcW w:w="970" w:type="dxa"/>
            <w:vAlign w:val="top"/>
          </w:tcPr>
          <w:p>
            <w:pPr>
              <w:ind w:left="256"/>
              <w:spacing w:before="7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853" w:type="dxa"/>
            <w:vAlign w:val="top"/>
          </w:tcPr>
          <w:p>
            <w:pPr>
              <w:pStyle w:val="TableText"/>
              <w:ind w:left="1016"/>
              <w:spacing w:before="40" w:line="219" w:lineRule="auto"/>
              <w:rPr/>
            </w:pPr>
            <w:r>
              <w:rPr>
                <w:spacing w:val="5"/>
              </w:rPr>
              <w:t>硝酸盐氮</w:t>
            </w:r>
          </w:p>
        </w:tc>
        <w:tc>
          <w:tcPr>
            <w:tcW w:w="1553" w:type="dxa"/>
            <w:vAlign w:val="top"/>
          </w:tcPr>
          <w:p>
            <w:pPr>
              <w:ind w:left="542"/>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0.788</w:t>
            </w:r>
          </w:p>
        </w:tc>
        <w:tc>
          <w:tcPr>
            <w:tcW w:w="1091" w:type="dxa"/>
            <w:vAlign w:val="top"/>
          </w:tcPr>
          <w:p>
            <w:pPr>
              <w:pStyle w:val="TableText"/>
              <w:ind w:left="406"/>
              <w:spacing w:before="40" w:line="219" w:lineRule="auto"/>
              <w:rPr/>
            </w:pPr>
            <w:r>
              <w:rPr>
                <w:rFonts w:ascii="Times New Roman" w:hAnsi="Times New Roman" w:eastAsia="Times New Roman" w:cs="Times New Roman"/>
                <w:spacing w:val="3"/>
              </w:rPr>
              <w:t>Ⅰ</w:t>
            </w:r>
            <w:r>
              <w:rPr>
                <w:spacing w:val="3"/>
              </w:rPr>
              <w:t>类</w:t>
            </w:r>
          </w:p>
        </w:tc>
        <w:tc>
          <w:tcPr>
            <w:tcW w:w="1580" w:type="dxa"/>
            <w:vAlign w:val="top"/>
          </w:tcPr>
          <w:p>
            <w:pPr>
              <w:ind w:left="558"/>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0.489</w:t>
            </w:r>
          </w:p>
        </w:tc>
        <w:tc>
          <w:tcPr>
            <w:tcW w:w="1127" w:type="dxa"/>
            <w:vAlign w:val="top"/>
          </w:tcPr>
          <w:p>
            <w:pPr>
              <w:pStyle w:val="TableText"/>
              <w:ind w:left="425"/>
              <w:spacing w:before="40" w:line="219" w:lineRule="auto"/>
              <w:rPr/>
            </w:pPr>
            <w:r>
              <w:rPr>
                <w:rFonts w:ascii="Times New Roman" w:hAnsi="Times New Roman" w:eastAsia="Times New Roman" w:cs="Times New Roman"/>
                <w:spacing w:val="3"/>
              </w:rPr>
              <w:t>Ⅰ</w:t>
            </w:r>
            <w:r>
              <w:rPr>
                <w:spacing w:val="3"/>
              </w:rPr>
              <w:t>类</w:t>
            </w:r>
          </w:p>
        </w:tc>
        <w:tc>
          <w:tcPr>
            <w:tcW w:w="1540" w:type="dxa"/>
            <w:vAlign w:val="top"/>
          </w:tcPr>
          <w:p>
            <w:pPr>
              <w:ind w:left="591"/>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0.64</w:t>
            </w:r>
          </w:p>
        </w:tc>
        <w:tc>
          <w:tcPr>
            <w:tcW w:w="1023" w:type="dxa"/>
            <w:vAlign w:val="top"/>
          </w:tcPr>
          <w:p>
            <w:pPr>
              <w:pStyle w:val="TableText"/>
              <w:ind w:left="374"/>
              <w:spacing w:before="40" w:line="219" w:lineRule="auto"/>
              <w:rPr/>
            </w:pPr>
            <w:r>
              <w:rPr>
                <w:rFonts w:ascii="Times New Roman" w:hAnsi="Times New Roman" w:eastAsia="Times New Roman" w:cs="Times New Roman"/>
                <w:spacing w:val="3"/>
              </w:rPr>
              <w:t>Ⅰ</w:t>
            </w:r>
            <w:r>
              <w:rPr>
                <w:spacing w:val="3"/>
              </w:rPr>
              <w:t>类</w:t>
            </w:r>
          </w:p>
        </w:tc>
        <w:tc>
          <w:tcPr>
            <w:tcW w:w="1495" w:type="dxa"/>
            <w:vAlign w:val="top"/>
          </w:tcPr>
          <w:p>
            <w:pPr>
              <w:ind w:left="567"/>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2.44</w:t>
            </w:r>
          </w:p>
        </w:tc>
        <w:tc>
          <w:tcPr>
            <w:tcW w:w="935" w:type="dxa"/>
            <w:vAlign w:val="top"/>
          </w:tcPr>
          <w:p>
            <w:pPr>
              <w:pStyle w:val="TableText"/>
              <w:ind w:left="299"/>
              <w:spacing w:before="40" w:line="219" w:lineRule="auto"/>
              <w:rPr/>
            </w:pPr>
            <w:r>
              <w:rPr>
                <w:rFonts w:ascii="Times New Roman" w:hAnsi="Times New Roman" w:eastAsia="Times New Roman" w:cs="Times New Roman"/>
                <w:spacing w:val="4"/>
              </w:rPr>
              <w:t>Ⅱ</w:t>
            </w:r>
            <w:r>
              <w:rPr>
                <w:spacing w:val="4"/>
              </w:rPr>
              <w:t>类</w:t>
            </w:r>
          </w:p>
        </w:tc>
        <w:tc>
          <w:tcPr>
            <w:tcW w:w="970" w:type="dxa"/>
            <w:vAlign w:val="top"/>
          </w:tcPr>
          <w:p>
            <w:pPr>
              <w:ind w:left="256"/>
              <w:spacing w:before="7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7" w:hRule="atLeast"/>
        </w:trPr>
        <w:tc>
          <w:tcPr>
            <w:tcW w:w="2853" w:type="dxa"/>
            <w:vAlign w:val="top"/>
          </w:tcPr>
          <w:p>
            <w:pPr>
              <w:pStyle w:val="TableText"/>
              <w:ind w:left="916"/>
              <w:spacing w:before="40" w:line="218" w:lineRule="auto"/>
              <w:rPr/>
            </w:pPr>
            <w:r>
              <w:rPr>
                <w:spacing w:val="6"/>
              </w:rPr>
              <w:t>亚硝酸盐氮</w:t>
            </w:r>
          </w:p>
        </w:tc>
        <w:tc>
          <w:tcPr>
            <w:tcW w:w="1553" w:type="dxa"/>
            <w:vAlign w:val="top"/>
          </w:tcPr>
          <w:p>
            <w:pPr>
              <w:ind w:left="481"/>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&lt;0.003</w:t>
            </w:r>
          </w:p>
        </w:tc>
        <w:tc>
          <w:tcPr>
            <w:tcW w:w="1091" w:type="dxa"/>
            <w:vAlign w:val="top"/>
          </w:tcPr>
          <w:p>
            <w:pPr>
              <w:pStyle w:val="TableText"/>
              <w:ind w:left="406"/>
              <w:spacing w:before="40" w:line="218" w:lineRule="auto"/>
              <w:rPr/>
            </w:pPr>
            <w:r>
              <w:rPr>
                <w:rFonts w:ascii="Times New Roman" w:hAnsi="Times New Roman" w:eastAsia="Times New Roman" w:cs="Times New Roman"/>
                <w:spacing w:val="3"/>
              </w:rPr>
              <w:t>Ⅰ</w:t>
            </w:r>
            <w:r>
              <w:rPr>
                <w:spacing w:val="3"/>
              </w:rPr>
              <w:t>类</w:t>
            </w:r>
          </w:p>
        </w:tc>
        <w:tc>
          <w:tcPr>
            <w:tcW w:w="1580" w:type="dxa"/>
            <w:vAlign w:val="top"/>
          </w:tcPr>
          <w:p>
            <w:pPr>
              <w:ind w:left="494"/>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&lt;0.003</w:t>
            </w:r>
          </w:p>
        </w:tc>
        <w:tc>
          <w:tcPr>
            <w:tcW w:w="1127" w:type="dxa"/>
            <w:vAlign w:val="top"/>
          </w:tcPr>
          <w:p>
            <w:pPr>
              <w:pStyle w:val="TableText"/>
              <w:ind w:left="425"/>
              <w:spacing w:before="40" w:line="218" w:lineRule="auto"/>
              <w:rPr/>
            </w:pPr>
            <w:r>
              <w:rPr>
                <w:rFonts w:ascii="Times New Roman" w:hAnsi="Times New Roman" w:eastAsia="Times New Roman" w:cs="Times New Roman"/>
                <w:spacing w:val="3"/>
              </w:rPr>
              <w:t>Ⅰ</w:t>
            </w:r>
            <w:r>
              <w:rPr>
                <w:spacing w:val="3"/>
              </w:rPr>
              <w:t>类</w:t>
            </w:r>
          </w:p>
        </w:tc>
        <w:tc>
          <w:tcPr>
            <w:tcW w:w="1540" w:type="dxa"/>
            <w:vAlign w:val="top"/>
          </w:tcPr>
          <w:p>
            <w:pPr>
              <w:ind w:left="539"/>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0.004</w:t>
            </w:r>
          </w:p>
        </w:tc>
        <w:tc>
          <w:tcPr>
            <w:tcW w:w="1023" w:type="dxa"/>
            <w:vAlign w:val="top"/>
          </w:tcPr>
          <w:p>
            <w:pPr>
              <w:pStyle w:val="TableText"/>
              <w:ind w:left="374"/>
              <w:spacing w:before="40" w:line="218" w:lineRule="auto"/>
              <w:rPr/>
            </w:pPr>
            <w:r>
              <w:rPr>
                <w:rFonts w:ascii="Times New Roman" w:hAnsi="Times New Roman" w:eastAsia="Times New Roman" w:cs="Times New Roman"/>
                <w:spacing w:val="3"/>
              </w:rPr>
              <w:t>Ⅰ</w:t>
            </w:r>
            <w:r>
              <w:rPr>
                <w:spacing w:val="3"/>
              </w:rPr>
              <w:t>类</w:t>
            </w:r>
          </w:p>
        </w:tc>
        <w:tc>
          <w:tcPr>
            <w:tcW w:w="1495" w:type="dxa"/>
            <w:vAlign w:val="top"/>
          </w:tcPr>
          <w:p>
            <w:pPr>
              <w:ind w:left="517"/>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0.024</w:t>
            </w:r>
          </w:p>
        </w:tc>
        <w:tc>
          <w:tcPr>
            <w:tcW w:w="935" w:type="dxa"/>
            <w:vAlign w:val="top"/>
          </w:tcPr>
          <w:p>
            <w:pPr>
              <w:pStyle w:val="TableText"/>
              <w:ind w:left="299"/>
              <w:spacing w:before="40" w:line="218" w:lineRule="auto"/>
              <w:rPr/>
            </w:pPr>
            <w:r>
              <w:rPr>
                <w:rFonts w:ascii="Times New Roman" w:hAnsi="Times New Roman" w:eastAsia="Times New Roman" w:cs="Times New Roman"/>
                <w:spacing w:val="4"/>
              </w:rPr>
              <w:t>Ⅱ</w:t>
            </w:r>
            <w:r>
              <w:rPr>
                <w:spacing w:val="4"/>
              </w:rPr>
              <w:t>类</w:t>
            </w:r>
          </w:p>
        </w:tc>
        <w:tc>
          <w:tcPr>
            <w:tcW w:w="970" w:type="dxa"/>
            <w:vAlign w:val="top"/>
          </w:tcPr>
          <w:p>
            <w:pPr>
              <w:ind w:left="256"/>
              <w:spacing w:before="7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853" w:type="dxa"/>
            <w:vAlign w:val="top"/>
          </w:tcPr>
          <w:p>
            <w:pPr>
              <w:pStyle w:val="TableText"/>
              <w:ind w:left="1128"/>
              <w:spacing w:before="41" w:line="218" w:lineRule="auto"/>
              <w:rPr/>
            </w:pPr>
            <w:r>
              <w:rPr>
                <w:spacing w:val="3"/>
              </w:rPr>
              <w:t>氟化物</w:t>
            </w:r>
          </w:p>
        </w:tc>
        <w:tc>
          <w:tcPr>
            <w:tcW w:w="1553" w:type="dxa"/>
            <w:vAlign w:val="top"/>
          </w:tcPr>
          <w:p>
            <w:pPr>
              <w:ind w:left="595"/>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0.28</w:t>
            </w:r>
          </w:p>
        </w:tc>
        <w:tc>
          <w:tcPr>
            <w:tcW w:w="1091" w:type="dxa"/>
            <w:vAlign w:val="top"/>
          </w:tcPr>
          <w:p>
            <w:pPr>
              <w:pStyle w:val="TableText"/>
              <w:ind w:left="406"/>
              <w:spacing w:before="41" w:line="218" w:lineRule="auto"/>
              <w:rPr/>
            </w:pPr>
            <w:r>
              <w:rPr>
                <w:rFonts w:ascii="Times New Roman" w:hAnsi="Times New Roman" w:eastAsia="Times New Roman" w:cs="Times New Roman"/>
                <w:spacing w:val="3"/>
              </w:rPr>
              <w:t>Ⅰ</w:t>
            </w:r>
            <w:r>
              <w:rPr>
                <w:spacing w:val="3"/>
              </w:rPr>
              <w:t>类</w:t>
            </w:r>
          </w:p>
        </w:tc>
        <w:tc>
          <w:tcPr>
            <w:tcW w:w="1580" w:type="dxa"/>
            <w:vAlign w:val="top"/>
          </w:tcPr>
          <w:p>
            <w:pPr>
              <w:ind w:left="610"/>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0.48</w:t>
            </w:r>
          </w:p>
        </w:tc>
        <w:tc>
          <w:tcPr>
            <w:tcW w:w="1127" w:type="dxa"/>
            <w:vAlign w:val="top"/>
          </w:tcPr>
          <w:p>
            <w:pPr>
              <w:pStyle w:val="TableText"/>
              <w:ind w:left="425"/>
              <w:spacing w:before="41" w:line="218" w:lineRule="auto"/>
              <w:rPr/>
            </w:pPr>
            <w:r>
              <w:rPr>
                <w:rFonts w:ascii="Times New Roman" w:hAnsi="Times New Roman" w:eastAsia="Times New Roman" w:cs="Times New Roman"/>
                <w:spacing w:val="3"/>
              </w:rPr>
              <w:t>Ⅰ</w:t>
            </w:r>
            <w:r>
              <w:rPr>
                <w:spacing w:val="3"/>
              </w:rPr>
              <w:t>类</w:t>
            </w:r>
          </w:p>
        </w:tc>
        <w:tc>
          <w:tcPr>
            <w:tcW w:w="1540" w:type="dxa"/>
            <w:vAlign w:val="top"/>
          </w:tcPr>
          <w:p>
            <w:pPr>
              <w:ind w:left="591"/>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0.49</w:t>
            </w:r>
          </w:p>
        </w:tc>
        <w:tc>
          <w:tcPr>
            <w:tcW w:w="1023" w:type="dxa"/>
            <w:vAlign w:val="top"/>
          </w:tcPr>
          <w:p>
            <w:pPr>
              <w:pStyle w:val="TableText"/>
              <w:ind w:left="374"/>
              <w:spacing w:before="41" w:line="218" w:lineRule="auto"/>
              <w:rPr/>
            </w:pPr>
            <w:r>
              <w:rPr>
                <w:rFonts w:ascii="Times New Roman" w:hAnsi="Times New Roman" w:eastAsia="Times New Roman" w:cs="Times New Roman"/>
                <w:spacing w:val="3"/>
              </w:rPr>
              <w:t>Ⅰ</w:t>
            </w:r>
            <w:r>
              <w:rPr>
                <w:spacing w:val="3"/>
              </w:rPr>
              <w:t>类</w:t>
            </w:r>
          </w:p>
        </w:tc>
        <w:tc>
          <w:tcPr>
            <w:tcW w:w="1495" w:type="dxa"/>
            <w:vAlign w:val="top"/>
          </w:tcPr>
          <w:p>
            <w:pPr>
              <w:ind w:left="570"/>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0.39</w:t>
            </w:r>
          </w:p>
        </w:tc>
        <w:tc>
          <w:tcPr>
            <w:tcW w:w="935" w:type="dxa"/>
            <w:vAlign w:val="top"/>
          </w:tcPr>
          <w:p>
            <w:pPr>
              <w:pStyle w:val="TableText"/>
              <w:ind w:left="330"/>
              <w:spacing w:before="41" w:line="218" w:lineRule="auto"/>
              <w:rPr/>
            </w:pPr>
            <w:r>
              <w:rPr>
                <w:rFonts w:ascii="Times New Roman" w:hAnsi="Times New Roman" w:eastAsia="Times New Roman" w:cs="Times New Roman"/>
                <w:spacing w:val="3"/>
              </w:rPr>
              <w:t>Ⅰ</w:t>
            </w:r>
            <w:r>
              <w:rPr>
                <w:spacing w:val="3"/>
              </w:rPr>
              <w:t>类</w:t>
            </w:r>
          </w:p>
        </w:tc>
        <w:tc>
          <w:tcPr>
            <w:tcW w:w="970" w:type="dxa"/>
            <w:vAlign w:val="top"/>
          </w:tcPr>
          <w:p>
            <w:pPr>
              <w:ind w:left="256"/>
              <w:spacing w:before="7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853" w:type="dxa"/>
            <w:vAlign w:val="top"/>
          </w:tcPr>
          <w:p>
            <w:pPr>
              <w:pStyle w:val="TableText"/>
              <w:ind w:left="1122"/>
              <w:spacing w:before="40" w:line="219" w:lineRule="auto"/>
              <w:rPr/>
            </w:pPr>
            <w:r>
              <w:rPr>
                <w:spacing w:val="5"/>
              </w:rPr>
              <w:t>碘化物</w:t>
            </w:r>
          </w:p>
        </w:tc>
        <w:tc>
          <w:tcPr>
            <w:tcW w:w="1553" w:type="dxa"/>
            <w:vAlign w:val="top"/>
          </w:tcPr>
          <w:p>
            <w:pPr>
              <w:ind w:left="481"/>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&lt;0.025</w:t>
            </w:r>
          </w:p>
        </w:tc>
        <w:tc>
          <w:tcPr>
            <w:tcW w:w="1091" w:type="dxa"/>
            <w:vAlign w:val="top"/>
          </w:tcPr>
          <w:p>
            <w:pPr>
              <w:pStyle w:val="TableText"/>
              <w:ind w:left="406"/>
              <w:spacing w:before="40" w:line="219" w:lineRule="auto"/>
              <w:rPr/>
            </w:pPr>
            <w:r>
              <w:rPr>
                <w:rFonts w:ascii="Times New Roman" w:hAnsi="Times New Roman" w:eastAsia="Times New Roman" w:cs="Times New Roman"/>
                <w:spacing w:val="3"/>
              </w:rPr>
              <w:t>Ⅰ</w:t>
            </w:r>
            <w:r>
              <w:rPr>
                <w:spacing w:val="3"/>
              </w:rPr>
              <w:t>类</w:t>
            </w:r>
          </w:p>
        </w:tc>
        <w:tc>
          <w:tcPr>
            <w:tcW w:w="1580" w:type="dxa"/>
            <w:vAlign w:val="top"/>
          </w:tcPr>
          <w:p>
            <w:pPr>
              <w:ind w:left="558"/>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0.029</w:t>
            </w:r>
          </w:p>
        </w:tc>
        <w:tc>
          <w:tcPr>
            <w:tcW w:w="1127" w:type="dxa"/>
            <w:vAlign w:val="top"/>
          </w:tcPr>
          <w:p>
            <w:pPr>
              <w:pStyle w:val="TableText"/>
              <w:ind w:left="425"/>
              <w:spacing w:before="40" w:line="219" w:lineRule="auto"/>
              <w:rPr/>
            </w:pPr>
            <w:r>
              <w:rPr>
                <w:rFonts w:ascii="Times New Roman" w:hAnsi="Times New Roman" w:eastAsia="Times New Roman" w:cs="Times New Roman"/>
                <w:spacing w:val="3"/>
              </w:rPr>
              <w:t>Ⅰ</w:t>
            </w:r>
            <w:r>
              <w:rPr>
                <w:spacing w:val="3"/>
              </w:rPr>
              <w:t>类</w:t>
            </w:r>
          </w:p>
        </w:tc>
        <w:tc>
          <w:tcPr>
            <w:tcW w:w="1540" w:type="dxa"/>
            <w:vAlign w:val="top"/>
          </w:tcPr>
          <w:p>
            <w:pPr>
              <w:ind w:left="539"/>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0.026</w:t>
            </w:r>
          </w:p>
        </w:tc>
        <w:tc>
          <w:tcPr>
            <w:tcW w:w="1023" w:type="dxa"/>
            <w:vAlign w:val="top"/>
          </w:tcPr>
          <w:p>
            <w:pPr>
              <w:pStyle w:val="TableText"/>
              <w:ind w:left="374"/>
              <w:spacing w:before="40" w:line="219" w:lineRule="auto"/>
              <w:rPr/>
            </w:pPr>
            <w:r>
              <w:rPr>
                <w:rFonts w:ascii="Times New Roman" w:hAnsi="Times New Roman" w:eastAsia="Times New Roman" w:cs="Times New Roman"/>
                <w:spacing w:val="3"/>
              </w:rPr>
              <w:t>Ⅰ</w:t>
            </w:r>
            <w:r>
              <w:rPr>
                <w:spacing w:val="3"/>
              </w:rPr>
              <w:t>类</w:t>
            </w:r>
          </w:p>
        </w:tc>
        <w:tc>
          <w:tcPr>
            <w:tcW w:w="1495" w:type="dxa"/>
            <w:vAlign w:val="top"/>
          </w:tcPr>
          <w:p>
            <w:pPr>
              <w:ind w:left="453"/>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&lt;0.025</w:t>
            </w:r>
          </w:p>
        </w:tc>
        <w:tc>
          <w:tcPr>
            <w:tcW w:w="935" w:type="dxa"/>
            <w:vAlign w:val="top"/>
          </w:tcPr>
          <w:p>
            <w:pPr>
              <w:pStyle w:val="TableText"/>
              <w:ind w:left="330"/>
              <w:spacing w:before="40" w:line="219" w:lineRule="auto"/>
              <w:rPr/>
            </w:pPr>
            <w:r>
              <w:rPr>
                <w:rFonts w:ascii="Times New Roman" w:hAnsi="Times New Roman" w:eastAsia="Times New Roman" w:cs="Times New Roman"/>
                <w:spacing w:val="3"/>
              </w:rPr>
              <w:t>Ⅰ</w:t>
            </w:r>
            <w:r>
              <w:rPr>
                <w:spacing w:val="3"/>
              </w:rPr>
              <w:t>类</w:t>
            </w:r>
          </w:p>
        </w:tc>
        <w:tc>
          <w:tcPr>
            <w:tcW w:w="970" w:type="dxa"/>
            <w:vAlign w:val="top"/>
          </w:tcPr>
          <w:p>
            <w:pPr>
              <w:ind w:left="256"/>
              <w:spacing w:before="7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853" w:type="dxa"/>
            <w:vAlign w:val="top"/>
          </w:tcPr>
          <w:p>
            <w:pPr>
              <w:pStyle w:val="TableText"/>
              <w:ind w:left="1236"/>
              <w:spacing w:before="40" w:line="219" w:lineRule="auto"/>
              <w:rPr/>
            </w:pPr>
            <w:r>
              <w:rPr>
                <w:spacing w:val="-3"/>
              </w:rPr>
              <w:t>总砷</w:t>
            </w:r>
          </w:p>
        </w:tc>
        <w:tc>
          <w:tcPr>
            <w:tcW w:w="1553" w:type="dxa"/>
            <w:vAlign w:val="top"/>
          </w:tcPr>
          <w:p>
            <w:pPr>
              <w:ind w:left="490"/>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0.0036</w:t>
            </w:r>
          </w:p>
        </w:tc>
        <w:tc>
          <w:tcPr>
            <w:tcW w:w="1091" w:type="dxa"/>
            <w:vAlign w:val="top"/>
          </w:tcPr>
          <w:p>
            <w:pPr>
              <w:pStyle w:val="TableText"/>
              <w:ind w:left="341"/>
              <w:spacing w:before="40" w:line="219" w:lineRule="auto"/>
              <w:rPr/>
            </w:pPr>
            <w:r>
              <w:rPr>
                <w:rFonts w:ascii="Times New Roman" w:hAnsi="Times New Roman" w:eastAsia="Times New Roman" w:cs="Times New Roman"/>
                <w:spacing w:val="6"/>
              </w:rPr>
              <w:t>Ⅲ</w:t>
            </w:r>
            <w:r>
              <w:rPr>
                <w:spacing w:val="6"/>
              </w:rPr>
              <w:t>类</w:t>
            </w:r>
          </w:p>
        </w:tc>
        <w:tc>
          <w:tcPr>
            <w:tcW w:w="1580" w:type="dxa"/>
            <w:vAlign w:val="top"/>
          </w:tcPr>
          <w:p>
            <w:pPr>
              <w:ind w:left="505"/>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0.0033</w:t>
            </w:r>
          </w:p>
        </w:tc>
        <w:tc>
          <w:tcPr>
            <w:tcW w:w="1127" w:type="dxa"/>
            <w:vAlign w:val="top"/>
          </w:tcPr>
          <w:p>
            <w:pPr>
              <w:pStyle w:val="TableText"/>
              <w:ind w:left="360"/>
              <w:spacing w:before="40" w:line="219" w:lineRule="auto"/>
              <w:rPr/>
            </w:pPr>
            <w:r>
              <w:rPr>
                <w:rFonts w:ascii="Times New Roman" w:hAnsi="Times New Roman" w:eastAsia="Times New Roman" w:cs="Times New Roman"/>
                <w:spacing w:val="6"/>
              </w:rPr>
              <w:t>Ⅲ</w:t>
            </w:r>
            <w:r>
              <w:rPr>
                <w:spacing w:val="6"/>
              </w:rPr>
              <w:t>类</w:t>
            </w:r>
          </w:p>
        </w:tc>
        <w:tc>
          <w:tcPr>
            <w:tcW w:w="1540" w:type="dxa"/>
            <w:vAlign w:val="top"/>
          </w:tcPr>
          <w:p>
            <w:pPr>
              <w:ind w:left="539"/>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0.001</w:t>
            </w:r>
          </w:p>
        </w:tc>
        <w:tc>
          <w:tcPr>
            <w:tcW w:w="1023" w:type="dxa"/>
            <w:vAlign w:val="top"/>
          </w:tcPr>
          <w:p>
            <w:pPr>
              <w:pStyle w:val="TableText"/>
              <w:ind w:left="374"/>
              <w:spacing w:before="40" w:line="219" w:lineRule="auto"/>
              <w:rPr/>
            </w:pPr>
            <w:r>
              <w:rPr>
                <w:rFonts w:ascii="Times New Roman" w:hAnsi="Times New Roman" w:eastAsia="Times New Roman" w:cs="Times New Roman"/>
                <w:spacing w:val="3"/>
              </w:rPr>
              <w:t>Ⅰ</w:t>
            </w:r>
            <w:r>
              <w:rPr>
                <w:spacing w:val="3"/>
              </w:rPr>
              <w:t>类</w:t>
            </w:r>
          </w:p>
        </w:tc>
        <w:tc>
          <w:tcPr>
            <w:tcW w:w="1495" w:type="dxa"/>
            <w:vAlign w:val="top"/>
          </w:tcPr>
          <w:p>
            <w:pPr>
              <w:ind w:left="464"/>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0.0012</w:t>
            </w:r>
          </w:p>
        </w:tc>
        <w:tc>
          <w:tcPr>
            <w:tcW w:w="935" w:type="dxa"/>
            <w:vAlign w:val="top"/>
          </w:tcPr>
          <w:p>
            <w:pPr>
              <w:pStyle w:val="TableText"/>
              <w:ind w:left="266"/>
              <w:spacing w:before="40" w:line="219" w:lineRule="auto"/>
              <w:rPr/>
            </w:pPr>
            <w:r>
              <w:rPr>
                <w:rFonts w:ascii="Times New Roman" w:hAnsi="Times New Roman" w:eastAsia="Times New Roman" w:cs="Times New Roman"/>
                <w:spacing w:val="6"/>
              </w:rPr>
              <w:t>Ⅲ</w:t>
            </w:r>
            <w:r>
              <w:rPr>
                <w:spacing w:val="6"/>
              </w:rPr>
              <w:t>类</w:t>
            </w:r>
          </w:p>
        </w:tc>
        <w:tc>
          <w:tcPr>
            <w:tcW w:w="970" w:type="dxa"/>
            <w:vAlign w:val="top"/>
          </w:tcPr>
          <w:p>
            <w:pPr>
              <w:ind w:left="256"/>
              <w:spacing w:before="7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853" w:type="dxa"/>
            <w:vAlign w:val="top"/>
          </w:tcPr>
          <w:p>
            <w:pPr>
              <w:pStyle w:val="TableText"/>
              <w:ind w:left="1236"/>
              <w:spacing w:before="40" w:line="219" w:lineRule="auto"/>
              <w:rPr/>
            </w:pPr>
            <w:r>
              <w:rPr>
                <w:spacing w:val="-3"/>
              </w:rPr>
              <w:t>总硒</w:t>
            </w:r>
          </w:p>
        </w:tc>
        <w:tc>
          <w:tcPr>
            <w:tcW w:w="1553" w:type="dxa"/>
            <w:vAlign w:val="top"/>
          </w:tcPr>
          <w:p>
            <w:pPr>
              <w:ind w:left="490"/>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0.0014</w:t>
            </w:r>
          </w:p>
        </w:tc>
        <w:tc>
          <w:tcPr>
            <w:tcW w:w="1091" w:type="dxa"/>
            <w:vAlign w:val="top"/>
          </w:tcPr>
          <w:p>
            <w:pPr>
              <w:pStyle w:val="TableText"/>
              <w:ind w:left="406"/>
              <w:spacing w:before="40" w:line="219" w:lineRule="auto"/>
              <w:rPr/>
            </w:pPr>
            <w:r>
              <w:rPr>
                <w:rFonts w:ascii="Times New Roman" w:hAnsi="Times New Roman" w:eastAsia="Times New Roman" w:cs="Times New Roman"/>
                <w:spacing w:val="3"/>
              </w:rPr>
              <w:t>Ⅰ</w:t>
            </w:r>
            <w:r>
              <w:rPr>
                <w:spacing w:val="3"/>
              </w:rPr>
              <w:t>类</w:t>
            </w:r>
          </w:p>
        </w:tc>
        <w:tc>
          <w:tcPr>
            <w:tcW w:w="1580" w:type="dxa"/>
            <w:vAlign w:val="top"/>
          </w:tcPr>
          <w:p>
            <w:pPr>
              <w:ind w:left="558"/>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0.001</w:t>
            </w:r>
          </w:p>
        </w:tc>
        <w:tc>
          <w:tcPr>
            <w:tcW w:w="1127" w:type="dxa"/>
            <w:vAlign w:val="top"/>
          </w:tcPr>
          <w:p>
            <w:pPr>
              <w:pStyle w:val="TableText"/>
              <w:ind w:left="425"/>
              <w:spacing w:before="40" w:line="219" w:lineRule="auto"/>
              <w:rPr/>
            </w:pPr>
            <w:r>
              <w:rPr>
                <w:rFonts w:ascii="Times New Roman" w:hAnsi="Times New Roman" w:eastAsia="Times New Roman" w:cs="Times New Roman"/>
                <w:spacing w:val="3"/>
              </w:rPr>
              <w:t>Ⅰ</w:t>
            </w:r>
            <w:r>
              <w:rPr>
                <w:spacing w:val="3"/>
              </w:rPr>
              <w:t>类</w:t>
            </w:r>
          </w:p>
        </w:tc>
        <w:tc>
          <w:tcPr>
            <w:tcW w:w="1540" w:type="dxa"/>
            <w:vAlign w:val="top"/>
          </w:tcPr>
          <w:p>
            <w:pPr>
              <w:ind w:left="422"/>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&lt;0.0004</w:t>
            </w:r>
          </w:p>
        </w:tc>
        <w:tc>
          <w:tcPr>
            <w:tcW w:w="1023" w:type="dxa"/>
            <w:vAlign w:val="top"/>
          </w:tcPr>
          <w:p>
            <w:pPr>
              <w:pStyle w:val="TableText"/>
              <w:ind w:left="374"/>
              <w:spacing w:before="40" w:line="219" w:lineRule="auto"/>
              <w:rPr/>
            </w:pPr>
            <w:r>
              <w:rPr>
                <w:rFonts w:ascii="Times New Roman" w:hAnsi="Times New Roman" w:eastAsia="Times New Roman" w:cs="Times New Roman"/>
                <w:spacing w:val="3"/>
              </w:rPr>
              <w:t>Ⅰ</w:t>
            </w:r>
            <w:r>
              <w:rPr>
                <w:spacing w:val="3"/>
              </w:rPr>
              <w:t>类</w:t>
            </w:r>
          </w:p>
        </w:tc>
        <w:tc>
          <w:tcPr>
            <w:tcW w:w="1495" w:type="dxa"/>
            <w:vAlign w:val="top"/>
          </w:tcPr>
          <w:p>
            <w:pPr>
              <w:ind w:left="464"/>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0.0019</w:t>
            </w:r>
          </w:p>
        </w:tc>
        <w:tc>
          <w:tcPr>
            <w:tcW w:w="935" w:type="dxa"/>
            <w:vAlign w:val="top"/>
          </w:tcPr>
          <w:p>
            <w:pPr>
              <w:pStyle w:val="TableText"/>
              <w:ind w:left="330"/>
              <w:spacing w:before="40" w:line="219" w:lineRule="auto"/>
              <w:rPr/>
            </w:pPr>
            <w:r>
              <w:rPr>
                <w:rFonts w:ascii="Times New Roman" w:hAnsi="Times New Roman" w:eastAsia="Times New Roman" w:cs="Times New Roman"/>
                <w:spacing w:val="3"/>
              </w:rPr>
              <w:t>Ⅰ</w:t>
            </w:r>
            <w:r>
              <w:rPr>
                <w:spacing w:val="3"/>
              </w:rPr>
              <w:t>类</w:t>
            </w:r>
          </w:p>
        </w:tc>
        <w:tc>
          <w:tcPr>
            <w:tcW w:w="970" w:type="dxa"/>
            <w:vAlign w:val="top"/>
          </w:tcPr>
          <w:p>
            <w:pPr>
              <w:ind w:left="256"/>
              <w:spacing w:before="7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853" w:type="dxa"/>
            <w:vAlign w:val="top"/>
          </w:tcPr>
          <w:p>
            <w:pPr>
              <w:pStyle w:val="TableText"/>
              <w:ind w:left="1334"/>
              <w:spacing w:before="40" w:line="219" w:lineRule="auto"/>
              <w:rPr/>
            </w:pPr>
            <w:r>
              <w:rPr/>
              <w:t>镉</w:t>
            </w:r>
          </w:p>
        </w:tc>
        <w:tc>
          <w:tcPr>
            <w:tcW w:w="1553" w:type="dxa"/>
            <w:vAlign w:val="top"/>
          </w:tcPr>
          <w:p>
            <w:pPr>
              <w:ind w:left="437"/>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0.00006</w:t>
            </w:r>
          </w:p>
        </w:tc>
        <w:tc>
          <w:tcPr>
            <w:tcW w:w="1091" w:type="dxa"/>
            <w:vAlign w:val="top"/>
          </w:tcPr>
          <w:p>
            <w:pPr>
              <w:pStyle w:val="TableText"/>
              <w:ind w:left="406"/>
              <w:spacing w:before="40" w:line="219" w:lineRule="auto"/>
              <w:rPr/>
            </w:pPr>
            <w:r>
              <w:rPr>
                <w:rFonts w:ascii="Times New Roman" w:hAnsi="Times New Roman" w:eastAsia="Times New Roman" w:cs="Times New Roman"/>
                <w:spacing w:val="3"/>
              </w:rPr>
              <w:t>Ⅰ</w:t>
            </w:r>
            <w:r>
              <w:rPr>
                <w:spacing w:val="3"/>
              </w:rPr>
              <w:t>类</w:t>
            </w:r>
          </w:p>
        </w:tc>
        <w:tc>
          <w:tcPr>
            <w:tcW w:w="1580" w:type="dxa"/>
            <w:vAlign w:val="top"/>
          </w:tcPr>
          <w:p>
            <w:pPr>
              <w:ind w:left="452"/>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0.00006</w:t>
            </w:r>
          </w:p>
        </w:tc>
        <w:tc>
          <w:tcPr>
            <w:tcW w:w="1127" w:type="dxa"/>
            <w:vAlign w:val="top"/>
          </w:tcPr>
          <w:p>
            <w:pPr>
              <w:pStyle w:val="TableText"/>
              <w:ind w:left="425"/>
              <w:spacing w:before="40" w:line="219" w:lineRule="auto"/>
              <w:rPr/>
            </w:pPr>
            <w:r>
              <w:rPr>
                <w:rFonts w:ascii="Times New Roman" w:hAnsi="Times New Roman" w:eastAsia="Times New Roman" w:cs="Times New Roman"/>
                <w:spacing w:val="3"/>
              </w:rPr>
              <w:t>Ⅰ</w:t>
            </w:r>
            <w:r>
              <w:rPr>
                <w:spacing w:val="3"/>
              </w:rPr>
              <w:t>类</w:t>
            </w:r>
          </w:p>
        </w:tc>
        <w:tc>
          <w:tcPr>
            <w:tcW w:w="1540" w:type="dxa"/>
            <w:vAlign w:val="top"/>
          </w:tcPr>
          <w:p>
            <w:pPr>
              <w:ind w:left="433"/>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0.00016</w:t>
            </w:r>
          </w:p>
        </w:tc>
        <w:tc>
          <w:tcPr>
            <w:tcW w:w="1023" w:type="dxa"/>
            <w:vAlign w:val="top"/>
          </w:tcPr>
          <w:p>
            <w:pPr>
              <w:pStyle w:val="TableText"/>
              <w:ind w:left="340"/>
              <w:spacing w:before="40" w:line="219" w:lineRule="auto"/>
              <w:rPr/>
            </w:pPr>
            <w:r>
              <w:rPr>
                <w:rFonts w:ascii="Times New Roman" w:hAnsi="Times New Roman" w:eastAsia="Times New Roman" w:cs="Times New Roman"/>
                <w:spacing w:val="5"/>
              </w:rPr>
              <w:t>Ⅱ</w:t>
            </w:r>
            <w:r>
              <w:rPr>
                <w:spacing w:val="5"/>
              </w:rPr>
              <w:t>类</w:t>
            </w:r>
          </w:p>
        </w:tc>
        <w:tc>
          <w:tcPr>
            <w:tcW w:w="1495" w:type="dxa"/>
            <w:vAlign w:val="top"/>
          </w:tcPr>
          <w:p>
            <w:pPr>
              <w:ind w:left="348"/>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&lt;0.00005</w:t>
            </w:r>
          </w:p>
        </w:tc>
        <w:tc>
          <w:tcPr>
            <w:tcW w:w="935" w:type="dxa"/>
            <w:vAlign w:val="top"/>
          </w:tcPr>
          <w:p>
            <w:pPr>
              <w:pStyle w:val="TableText"/>
              <w:ind w:left="330"/>
              <w:spacing w:before="40" w:line="219" w:lineRule="auto"/>
              <w:rPr/>
            </w:pPr>
            <w:r>
              <w:rPr>
                <w:rFonts w:ascii="Times New Roman" w:hAnsi="Times New Roman" w:eastAsia="Times New Roman" w:cs="Times New Roman"/>
                <w:spacing w:val="3"/>
              </w:rPr>
              <w:t>Ⅰ</w:t>
            </w:r>
            <w:r>
              <w:rPr>
                <w:spacing w:val="3"/>
              </w:rPr>
              <w:t>类</w:t>
            </w:r>
          </w:p>
        </w:tc>
        <w:tc>
          <w:tcPr>
            <w:tcW w:w="970" w:type="dxa"/>
            <w:vAlign w:val="top"/>
          </w:tcPr>
          <w:p>
            <w:pPr>
              <w:ind w:left="256"/>
              <w:spacing w:before="7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853" w:type="dxa"/>
            <w:vAlign w:val="top"/>
          </w:tcPr>
          <w:p>
            <w:pPr>
              <w:pStyle w:val="TableText"/>
              <w:ind w:left="1332"/>
              <w:spacing w:before="40" w:line="219" w:lineRule="auto"/>
              <w:rPr/>
            </w:pPr>
            <w:r>
              <w:rPr/>
              <w:t>铅</w:t>
            </w:r>
          </w:p>
        </w:tc>
        <w:tc>
          <w:tcPr>
            <w:tcW w:w="1553" w:type="dxa"/>
            <w:vAlign w:val="top"/>
          </w:tcPr>
          <w:p>
            <w:pPr>
              <w:ind w:left="375"/>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&lt;0.00009</w:t>
            </w:r>
          </w:p>
        </w:tc>
        <w:tc>
          <w:tcPr>
            <w:tcW w:w="1091" w:type="dxa"/>
            <w:vAlign w:val="top"/>
          </w:tcPr>
          <w:p>
            <w:pPr>
              <w:pStyle w:val="TableText"/>
              <w:ind w:left="406"/>
              <w:spacing w:before="40" w:line="219" w:lineRule="auto"/>
              <w:rPr/>
            </w:pPr>
            <w:r>
              <w:rPr>
                <w:rFonts w:ascii="Times New Roman" w:hAnsi="Times New Roman" w:eastAsia="Times New Roman" w:cs="Times New Roman"/>
                <w:spacing w:val="3"/>
              </w:rPr>
              <w:t>Ⅰ</w:t>
            </w:r>
            <w:r>
              <w:rPr>
                <w:spacing w:val="3"/>
              </w:rPr>
              <w:t>类</w:t>
            </w:r>
          </w:p>
        </w:tc>
        <w:tc>
          <w:tcPr>
            <w:tcW w:w="1580" w:type="dxa"/>
            <w:vAlign w:val="top"/>
          </w:tcPr>
          <w:p>
            <w:pPr>
              <w:ind w:left="452"/>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0.00304</w:t>
            </w:r>
          </w:p>
        </w:tc>
        <w:tc>
          <w:tcPr>
            <w:tcW w:w="1127" w:type="dxa"/>
            <w:vAlign w:val="top"/>
          </w:tcPr>
          <w:p>
            <w:pPr>
              <w:pStyle w:val="TableText"/>
              <w:ind w:left="425"/>
              <w:spacing w:before="40" w:line="219" w:lineRule="auto"/>
              <w:rPr/>
            </w:pPr>
            <w:r>
              <w:rPr>
                <w:rFonts w:ascii="Times New Roman" w:hAnsi="Times New Roman" w:eastAsia="Times New Roman" w:cs="Times New Roman"/>
                <w:spacing w:val="3"/>
              </w:rPr>
              <w:t>Ⅰ</w:t>
            </w:r>
            <w:r>
              <w:rPr>
                <w:spacing w:val="3"/>
              </w:rPr>
              <w:t>类</w:t>
            </w:r>
          </w:p>
        </w:tc>
        <w:tc>
          <w:tcPr>
            <w:tcW w:w="1540" w:type="dxa"/>
            <w:vAlign w:val="top"/>
          </w:tcPr>
          <w:p>
            <w:pPr>
              <w:ind w:left="433"/>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0.00415</w:t>
            </w:r>
          </w:p>
        </w:tc>
        <w:tc>
          <w:tcPr>
            <w:tcW w:w="1023" w:type="dxa"/>
            <w:vAlign w:val="top"/>
          </w:tcPr>
          <w:p>
            <w:pPr>
              <w:pStyle w:val="TableText"/>
              <w:ind w:left="374"/>
              <w:spacing w:before="40" w:line="219" w:lineRule="auto"/>
              <w:rPr/>
            </w:pPr>
            <w:r>
              <w:rPr>
                <w:rFonts w:ascii="Times New Roman" w:hAnsi="Times New Roman" w:eastAsia="Times New Roman" w:cs="Times New Roman"/>
                <w:spacing w:val="3"/>
              </w:rPr>
              <w:t>Ⅰ</w:t>
            </w:r>
            <w:r>
              <w:rPr>
                <w:spacing w:val="3"/>
              </w:rPr>
              <w:t>类</w:t>
            </w:r>
          </w:p>
        </w:tc>
        <w:tc>
          <w:tcPr>
            <w:tcW w:w="1495" w:type="dxa"/>
            <w:vAlign w:val="top"/>
          </w:tcPr>
          <w:p>
            <w:pPr>
              <w:ind w:left="412"/>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0.00948</w:t>
            </w:r>
          </w:p>
        </w:tc>
        <w:tc>
          <w:tcPr>
            <w:tcW w:w="935" w:type="dxa"/>
            <w:vAlign w:val="top"/>
          </w:tcPr>
          <w:p>
            <w:pPr>
              <w:pStyle w:val="TableText"/>
              <w:ind w:left="266"/>
              <w:spacing w:before="40" w:line="219" w:lineRule="auto"/>
              <w:rPr/>
            </w:pPr>
            <w:r>
              <w:rPr>
                <w:rFonts w:ascii="Times New Roman" w:hAnsi="Times New Roman" w:eastAsia="Times New Roman" w:cs="Times New Roman"/>
                <w:spacing w:val="6"/>
              </w:rPr>
              <w:t>Ⅲ</w:t>
            </w:r>
            <w:r>
              <w:rPr>
                <w:spacing w:val="6"/>
              </w:rPr>
              <w:t>类</w:t>
            </w:r>
          </w:p>
        </w:tc>
        <w:tc>
          <w:tcPr>
            <w:tcW w:w="970" w:type="dxa"/>
            <w:vAlign w:val="top"/>
          </w:tcPr>
          <w:p>
            <w:pPr>
              <w:ind w:left="256"/>
              <w:spacing w:before="7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853" w:type="dxa"/>
            <w:vAlign w:val="top"/>
          </w:tcPr>
          <w:p>
            <w:pPr>
              <w:pStyle w:val="TableText"/>
              <w:ind w:left="1334"/>
              <w:spacing w:before="40" w:line="219" w:lineRule="auto"/>
              <w:rPr/>
            </w:pPr>
            <w:r>
              <w:rPr/>
              <w:t>钡</w:t>
            </w:r>
          </w:p>
        </w:tc>
        <w:tc>
          <w:tcPr>
            <w:tcW w:w="1553" w:type="dxa"/>
            <w:vAlign w:val="top"/>
          </w:tcPr>
          <w:p>
            <w:pPr>
              <w:ind w:left="542"/>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0.298</w:t>
            </w:r>
          </w:p>
        </w:tc>
        <w:tc>
          <w:tcPr>
            <w:tcW w:w="1091" w:type="dxa"/>
            <w:vAlign w:val="top"/>
          </w:tcPr>
          <w:p>
            <w:pPr>
              <w:pStyle w:val="TableText"/>
              <w:ind w:left="341"/>
              <w:spacing w:before="40" w:line="219" w:lineRule="auto"/>
              <w:rPr/>
            </w:pPr>
            <w:r>
              <w:rPr>
                <w:rFonts w:ascii="Times New Roman" w:hAnsi="Times New Roman" w:eastAsia="Times New Roman" w:cs="Times New Roman"/>
                <w:spacing w:val="6"/>
              </w:rPr>
              <w:t>Ⅲ</w:t>
            </w:r>
            <w:r>
              <w:rPr>
                <w:spacing w:val="6"/>
              </w:rPr>
              <w:t>类</w:t>
            </w:r>
          </w:p>
        </w:tc>
        <w:tc>
          <w:tcPr>
            <w:tcW w:w="1580" w:type="dxa"/>
            <w:vAlign w:val="top"/>
          </w:tcPr>
          <w:p>
            <w:pPr>
              <w:ind w:left="558"/>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0.257</w:t>
            </w:r>
          </w:p>
        </w:tc>
        <w:tc>
          <w:tcPr>
            <w:tcW w:w="1127" w:type="dxa"/>
            <w:vAlign w:val="top"/>
          </w:tcPr>
          <w:p>
            <w:pPr>
              <w:pStyle w:val="TableText"/>
              <w:ind w:left="360"/>
              <w:spacing w:before="40" w:line="219" w:lineRule="auto"/>
              <w:rPr/>
            </w:pPr>
            <w:r>
              <w:rPr>
                <w:rFonts w:ascii="Times New Roman" w:hAnsi="Times New Roman" w:eastAsia="Times New Roman" w:cs="Times New Roman"/>
                <w:spacing w:val="6"/>
              </w:rPr>
              <w:t>Ⅲ</w:t>
            </w:r>
            <w:r>
              <w:rPr>
                <w:spacing w:val="6"/>
              </w:rPr>
              <w:t>类</w:t>
            </w:r>
          </w:p>
        </w:tc>
        <w:tc>
          <w:tcPr>
            <w:tcW w:w="1540" w:type="dxa"/>
            <w:vAlign w:val="top"/>
          </w:tcPr>
          <w:p>
            <w:pPr>
              <w:ind w:left="539"/>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0.005</w:t>
            </w:r>
          </w:p>
        </w:tc>
        <w:tc>
          <w:tcPr>
            <w:tcW w:w="1023" w:type="dxa"/>
            <w:vAlign w:val="top"/>
          </w:tcPr>
          <w:p>
            <w:pPr>
              <w:pStyle w:val="TableText"/>
              <w:ind w:left="374"/>
              <w:spacing w:before="40" w:line="219" w:lineRule="auto"/>
              <w:rPr/>
            </w:pPr>
            <w:r>
              <w:rPr>
                <w:rFonts w:ascii="Times New Roman" w:hAnsi="Times New Roman" w:eastAsia="Times New Roman" w:cs="Times New Roman"/>
                <w:spacing w:val="3"/>
              </w:rPr>
              <w:t>Ⅰ</w:t>
            </w:r>
            <w:r>
              <w:rPr>
                <w:spacing w:val="3"/>
              </w:rPr>
              <w:t>类</w:t>
            </w:r>
          </w:p>
        </w:tc>
        <w:tc>
          <w:tcPr>
            <w:tcW w:w="1495" w:type="dxa"/>
            <w:vAlign w:val="top"/>
          </w:tcPr>
          <w:p>
            <w:pPr>
              <w:ind w:left="517"/>
              <w:spacing w:before="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0.056</w:t>
            </w:r>
          </w:p>
        </w:tc>
        <w:tc>
          <w:tcPr>
            <w:tcW w:w="935" w:type="dxa"/>
            <w:vAlign w:val="top"/>
          </w:tcPr>
          <w:p>
            <w:pPr>
              <w:pStyle w:val="TableText"/>
              <w:ind w:left="299"/>
              <w:spacing w:before="40" w:line="219" w:lineRule="auto"/>
              <w:rPr/>
            </w:pPr>
            <w:r>
              <w:rPr>
                <w:rFonts w:ascii="Times New Roman" w:hAnsi="Times New Roman" w:eastAsia="Times New Roman" w:cs="Times New Roman"/>
                <w:spacing w:val="4"/>
              </w:rPr>
              <w:t>Ⅱ</w:t>
            </w:r>
            <w:r>
              <w:rPr>
                <w:spacing w:val="4"/>
              </w:rPr>
              <w:t>类</w:t>
            </w:r>
          </w:p>
        </w:tc>
        <w:tc>
          <w:tcPr>
            <w:tcW w:w="970" w:type="dxa"/>
            <w:vAlign w:val="top"/>
          </w:tcPr>
          <w:p>
            <w:pPr>
              <w:ind w:left="256"/>
              <w:spacing w:before="7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853" w:type="dxa"/>
            <w:vAlign w:val="top"/>
          </w:tcPr>
          <w:p>
            <w:pPr>
              <w:pStyle w:val="TableText"/>
              <w:ind w:left="1335"/>
              <w:spacing w:before="42" w:line="217" w:lineRule="auto"/>
              <w:rPr/>
            </w:pPr>
            <w:r>
              <w:rPr/>
              <w:t>镍</w:t>
            </w:r>
          </w:p>
        </w:tc>
        <w:tc>
          <w:tcPr>
            <w:tcW w:w="1553" w:type="dxa"/>
            <w:vAlign w:val="top"/>
          </w:tcPr>
          <w:p>
            <w:pPr>
              <w:ind w:left="437"/>
              <w:spacing w:before="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0.00122</w:t>
            </w:r>
          </w:p>
        </w:tc>
        <w:tc>
          <w:tcPr>
            <w:tcW w:w="1091" w:type="dxa"/>
            <w:vAlign w:val="top"/>
          </w:tcPr>
          <w:p>
            <w:pPr>
              <w:pStyle w:val="TableText"/>
              <w:ind w:left="406"/>
              <w:spacing w:before="42" w:line="217" w:lineRule="auto"/>
              <w:rPr/>
            </w:pPr>
            <w:r>
              <w:rPr>
                <w:rFonts w:ascii="Times New Roman" w:hAnsi="Times New Roman" w:eastAsia="Times New Roman" w:cs="Times New Roman"/>
                <w:spacing w:val="3"/>
              </w:rPr>
              <w:t>Ⅰ</w:t>
            </w:r>
            <w:r>
              <w:rPr>
                <w:spacing w:val="3"/>
              </w:rPr>
              <w:t>类</w:t>
            </w:r>
          </w:p>
        </w:tc>
        <w:tc>
          <w:tcPr>
            <w:tcW w:w="1580" w:type="dxa"/>
            <w:vAlign w:val="top"/>
          </w:tcPr>
          <w:p>
            <w:pPr>
              <w:ind w:left="452"/>
              <w:spacing w:before="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0.00416</w:t>
            </w:r>
          </w:p>
        </w:tc>
        <w:tc>
          <w:tcPr>
            <w:tcW w:w="1127" w:type="dxa"/>
            <w:vAlign w:val="top"/>
          </w:tcPr>
          <w:p>
            <w:pPr>
              <w:pStyle w:val="TableText"/>
              <w:ind w:left="360"/>
              <w:spacing w:before="42" w:line="217" w:lineRule="auto"/>
              <w:rPr/>
            </w:pPr>
            <w:r>
              <w:rPr>
                <w:rFonts w:ascii="Times New Roman" w:hAnsi="Times New Roman" w:eastAsia="Times New Roman" w:cs="Times New Roman"/>
                <w:spacing w:val="6"/>
              </w:rPr>
              <w:t>Ⅲ</w:t>
            </w:r>
            <w:r>
              <w:rPr>
                <w:spacing w:val="6"/>
              </w:rPr>
              <w:t>类</w:t>
            </w:r>
          </w:p>
        </w:tc>
        <w:tc>
          <w:tcPr>
            <w:tcW w:w="1540" w:type="dxa"/>
            <w:vAlign w:val="top"/>
          </w:tcPr>
          <w:p>
            <w:pPr>
              <w:ind w:left="433"/>
              <w:spacing w:before="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0.00349</w:t>
            </w:r>
          </w:p>
        </w:tc>
        <w:tc>
          <w:tcPr>
            <w:tcW w:w="1023" w:type="dxa"/>
            <w:vAlign w:val="top"/>
          </w:tcPr>
          <w:p>
            <w:pPr>
              <w:pStyle w:val="TableText"/>
              <w:ind w:left="309"/>
              <w:spacing w:before="42" w:line="217" w:lineRule="auto"/>
              <w:rPr/>
            </w:pPr>
            <w:r>
              <w:rPr>
                <w:rFonts w:ascii="Times New Roman" w:hAnsi="Times New Roman" w:eastAsia="Times New Roman" w:cs="Times New Roman"/>
                <w:spacing w:val="6"/>
              </w:rPr>
              <w:t>Ⅲ</w:t>
            </w:r>
            <w:r>
              <w:rPr>
                <w:spacing w:val="6"/>
              </w:rPr>
              <w:t>类</w:t>
            </w:r>
          </w:p>
        </w:tc>
        <w:tc>
          <w:tcPr>
            <w:tcW w:w="1495" w:type="dxa"/>
            <w:vAlign w:val="top"/>
          </w:tcPr>
          <w:p>
            <w:pPr>
              <w:ind w:left="412"/>
              <w:spacing w:before="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0.00412</w:t>
            </w:r>
          </w:p>
        </w:tc>
        <w:tc>
          <w:tcPr>
            <w:tcW w:w="935" w:type="dxa"/>
            <w:vAlign w:val="top"/>
          </w:tcPr>
          <w:p>
            <w:pPr>
              <w:pStyle w:val="TableText"/>
              <w:ind w:left="266"/>
              <w:spacing w:before="42" w:line="217" w:lineRule="auto"/>
              <w:rPr/>
            </w:pPr>
            <w:r>
              <w:rPr>
                <w:rFonts w:ascii="Times New Roman" w:hAnsi="Times New Roman" w:eastAsia="Times New Roman" w:cs="Times New Roman"/>
                <w:spacing w:val="6"/>
              </w:rPr>
              <w:t>Ⅲ</w:t>
            </w:r>
            <w:r>
              <w:rPr>
                <w:spacing w:val="6"/>
              </w:rPr>
              <w:t>类</w:t>
            </w:r>
          </w:p>
        </w:tc>
        <w:tc>
          <w:tcPr>
            <w:tcW w:w="970" w:type="dxa"/>
            <w:vAlign w:val="top"/>
          </w:tcPr>
          <w:p>
            <w:pPr>
              <w:ind w:left="256"/>
              <w:spacing w:before="74"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853" w:type="dxa"/>
            <w:vAlign w:val="top"/>
          </w:tcPr>
          <w:p>
            <w:pPr>
              <w:pStyle w:val="TableText"/>
              <w:ind w:left="1236"/>
              <w:spacing w:before="41" w:line="218" w:lineRule="auto"/>
              <w:rPr/>
            </w:pPr>
            <w:r>
              <w:rPr>
                <w:spacing w:val="-3"/>
              </w:rPr>
              <w:t>总磷</w:t>
            </w:r>
          </w:p>
        </w:tc>
        <w:tc>
          <w:tcPr>
            <w:tcW w:w="1553" w:type="dxa"/>
            <w:vAlign w:val="top"/>
          </w:tcPr>
          <w:p>
            <w:pPr>
              <w:ind w:left="534"/>
              <w:spacing w:before="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&lt;0.06</w:t>
            </w:r>
          </w:p>
        </w:tc>
        <w:tc>
          <w:tcPr>
            <w:tcW w:w="1091" w:type="dxa"/>
            <w:vAlign w:val="top"/>
          </w:tcPr>
          <w:p>
            <w:pPr>
              <w:ind w:left="513"/>
              <w:spacing w:before="7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80" w:type="dxa"/>
            <w:vAlign w:val="top"/>
          </w:tcPr>
          <w:p>
            <w:pPr>
              <w:ind w:left="610"/>
              <w:spacing w:before="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0.08</w:t>
            </w:r>
          </w:p>
        </w:tc>
        <w:tc>
          <w:tcPr>
            <w:tcW w:w="1127" w:type="dxa"/>
            <w:vAlign w:val="top"/>
          </w:tcPr>
          <w:p>
            <w:pPr>
              <w:ind w:left="530"/>
              <w:spacing w:before="7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40" w:type="dxa"/>
            <w:vAlign w:val="top"/>
          </w:tcPr>
          <w:p>
            <w:pPr>
              <w:ind w:left="591"/>
              <w:spacing w:before="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0.09</w:t>
            </w:r>
          </w:p>
        </w:tc>
        <w:tc>
          <w:tcPr>
            <w:tcW w:w="1023" w:type="dxa"/>
            <w:vAlign w:val="top"/>
          </w:tcPr>
          <w:p>
            <w:pPr>
              <w:ind w:left="479"/>
              <w:spacing w:before="7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495" w:type="dxa"/>
            <w:vAlign w:val="top"/>
          </w:tcPr>
          <w:p>
            <w:pPr>
              <w:ind w:left="570"/>
              <w:spacing w:before="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0.09</w:t>
            </w:r>
          </w:p>
        </w:tc>
        <w:tc>
          <w:tcPr>
            <w:tcW w:w="935" w:type="dxa"/>
            <w:vAlign w:val="top"/>
          </w:tcPr>
          <w:p>
            <w:pPr>
              <w:ind w:left="438"/>
              <w:spacing w:before="7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970" w:type="dxa"/>
            <w:vAlign w:val="top"/>
          </w:tcPr>
          <w:p>
            <w:pPr>
              <w:ind w:left="256"/>
              <w:spacing w:before="74"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88" w:hRule="atLeast"/>
        </w:trPr>
        <w:tc>
          <w:tcPr>
            <w:tcW w:w="2853" w:type="dxa"/>
            <w:vAlign w:val="top"/>
          </w:tcPr>
          <w:p>
            <w:pPr>
              <w:pStyle w:val="TableText"/>
              <w:ind w:left="163"/>
              <w:spacing w:before="41" w:line="218" w:lineRule="auto"/>
              <w:rPr/>
            </w:pPr>
            <w:r>
              <w:rPr>
                <w:spacing w:val="5"/>
              </w:rPr>
              <w:t>可萃取性石油烃（</w:t>
            </w:r>
            <w:r>
              <w:rPr>
                <w:rFonts w:ascii="Times New Roman" w:hAnsi="Times New Roman" w:eastAsia="Times New Roman" w:cs="Times New Roman"/>
                <w:spacing w:val="5"/>
              </w:rPr>
              <w:t>C</w:t>
            </w:r>
            <w:r>
              <w:rPr>
                <w:rFonts w:ascii="Times New Roman" w:hAnsi="Times New Roman" w:eastAsia="Times New Roman" w:cs="Times New Roman"/>
                <w:sz w:val="13"/>
                <w:szCs w:val="13"/>
                <w:spacing w:val="5"/>
                <w:position w:val="-1"/>
              </w:rPr>
              <w:t>10</w:t>
            </w:r>
            <w:r>
              <w:rPr>
                <w:rFonts w:ascii="Times New Roman" w:hAnsi="Times New Roman" w:eastAsia="Times New Roman" w:cs="Times New Roman"/>
                <w:spacing w:val="5"/>
              </w:rPr>
              <w:t>~C</w:t>
            </w:r>
            <w:r>
              <w:rPr>
                <w:rFonts w:ascii="Times New Roman" w:hAnsi="Times New Roman" w:eastAsia="Times New Roman" w:cs="Times New Roman"/>
                <w:sz w:val="13"/>
                <w:szCs w:val="13"/>
                <w:spacing w:val="5"/>
                <w:position w:val="-1"/>
              </w:rPr>
              <w:t>40</w:t>
            </w:r>
            <w:r>
              <w:rPr>
                <w:spacing w:val="5"/>
              </w:rPr>
              <w:t>）</w:t>
            </w:r>
          </w:p>
        </w:tc>
        <w:tc>
          <w:tcPr>
            <w:tcW w:w="1553" w:type="dxa"/>
            <w:vAlign w:val="top"/>
          </w:tcPr>
          <w:p>
            <w:pPr>
              <w:ind w:left="595"/>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0.19</w:t>
            </w:r>
          </w:p>
        </w:tc>
        <w:tc>
          <w:tcPr>
            <w:tcW w:w="1091" w:type="dxa"/>
            <w:vAlign w:val="top"/>
          </w:tcPr>
          <w:p>
            <w:pPr>
              <w:ind w:left="513"/>
              <w:spacing w:before="7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80" w:type="dxa"/>
            <w:vAlign w:val="top"/>
          </w:tcPr>
          <w:p>
            <w:pPr>
              <w:ind w:left="610"/>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0.13</w:t>
            </w:r>
          </w:p>
        </w:tc>
        <w:tc>
          <w:tcPr>
            <w:tcW w:w="1127" w:type="dxa"/>
            <w:vAlign w:val="top"/>
          </w:tcPr>
          <w:p>
            <w:pPr>
              <w:ind w:left="530"/>
              <w:spacing w:before="7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40" w:type="dxa"/>
            <w:vAlign w:val="top"/>
          </w:tcPr>
          <w:p>
            <w:pPr>
              <w:ind w:left="591"/>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0.21</w:t>
            </w:r>
          </w:p>
        </w:tc>
        <w:tc>
          <w:tcPr>
            <w:tcW w:w="1023" w:type="dxa"/>
            <w:vAlign w:val="top"/>
          </w:tcPr>
          <w:p>
            <w:pPr>
              <w:ind w:left="479"/>
              <w:spacing w:before="7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495" w:type="dxa"/>
            <w:vAlign w:val="top"/>
          </w:tcPr>
          <w:p>
            <w:pPr>
              <w:ind w:left="570"/>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0.29</w:t>
            </w:r>
          </w:p>
        </w:tc>
        <w:tc>
          <w:tcPr>
            <w:tcW w:w="935" w:type="dxa"/>
            <w:vAlign w:val="top"/>
          </w:tcPr>
          <w:p>
            <w:pPr>
              <w:ind w:left="438"/>
              <w:spacing w:before="7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970" w:type="dxa"/>
            <w:vAlign w:val="top"/>
          </w:tcPr>
          <w:p>
            <w:pPr>
              <w:ind w:left="256"/>
              <w:spacing w:before="74"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/L</w:t>
            </w:r>
          </w:p>
        </w:tc>
      </w:tr>
      <w:tr>
        <w:trPr>
          <w:trHeight w:val="292" w:hRule="atLeast"/>
        </w:trPr>
        <w:tc>
          <w:tcPr>
            <w:tcW w:w="14167" w:type="dxa"/>
            <w:vAlign w:val="top"/>
            <w:gridSpan w:val="10"/>
          </w:tcPr>
          <w:p>
            <w:pPr>
              <w:pStyle w:val="TableText"/>
              <w:ind w:left="126"/>
              <w:spacing w:before="48" w:line="227" w:lineRule="auto"/>
              <w:rPr>
                <w:sz w:val="19"/>
                <w:szCs w:val="19"/>
              </w:rPr>
            </w:pPr>
            <w:r>
              <w:rPr>
                <w:sz w:val="19"/>
                <w:szCs w:val="19"/>
                <w:spacing w:val="7"/>
              </w:rPr>
              <w:t>注：未列出指标均未检出。</w:t>
            </w:r>
          </w:p>
        </w:tc>
      </w:tr>
    </w:tbl>
    <w:p>
      <w:pPr>
        <w:rPr>
          <w:rFonts w:ascii="Arial"/>
          <w:sz w:val="21"/>
        </w:rPr>
      </w:pPr>
      <w:r/>
    </w:p>
    <w:p>
      <w:pPr>
        <w:sectPr>
          <w:headerReference w:type="default" r:id="rId145"/>
          <w:footerReference w:type="default" r:id="rId146"/>
          <w:pgSz w:w="16839" w:h="11906"/>
          <w:pgMar w:top="798" w:right="1333" w:bottom="659" w:left="1332" w:header="491" w:footer="497" w:gutter="0"/>
        </w:sectPr>
        <w:rPr>
          <w:rFonts w:ascii="Arial" w:hAnsi="Arial" w:eastAsia="Arial" w:cs="Arial"/>
          <w:sz w:val="21"/>
          <w:szCs w:val="21"/>
        </w:rPr>
      </w:pPr>
    </w:p>
    <w:p>
      <w:pPr>
        <w:spacing w:line="333" w:lineRule="auto"/>
        <w:rPr>
          <w:rFonts w:ascii="Arial"/>
          <w:sz w:val="21"/>
        </w:rPr>
      </w:pPr>
      <w:r/>
    </w:p>
    <w:p>
      <w:pPr>
        <w:pStyle w:val="BodyText"/>
        <w:ind w:left="121"/>
        <w:spacing w:before="78" w:line="222" w:lineRule="auto"/>
        <w:outlineLvl w:val="2"/>
        <w:rPr>
          <w:rFonts w:ascii="FangSong" w:hAnsi="FangSong" w:eastAsia="FangSong" w:cs="FangSong"/>
          <w:sz w:val="24"/>
          <w:szCs w:val="24"/>
        </w:rPr>
      </w:pPr>
      <w:r>
        <w:rPr>
          <w:sz w:val="24"/>
          <w:szCs w:val="24"/>
          <w:b/>
          <w:bCs/>
          <w:spacing w:val="-4"/>
        </w:rPr>
        <w:t>8.2.3</w:t>
      </w:r>
      <w:r>
        <w:rPr>
          <w:sz w:val="24"/>
          <w:szCs w:val="24"/>
          <w:b/>
          <w:bCs/>
          <w:spacing w:val="12"/>
        </w:rPr>
        <w:t xml:space="preserve">  </w:t>
      </w:r>
      <w:r>
        <w:rPr>
          <w:rFonts w:ascii="FangSong" w:hAnsi="FangSong" w:eastAsia="FangSong" w:cs="FangSong"/>
          <w:sz w:val="24"/>
          <w:szCs w:val="24"/>
          <w:b/>
          <w:bCs/>
          <w:spacing w:val="-4"/>
        </w:rPr>
        <w:t>监测结果分析</w:t>
      </w:r>
    </w:p>
    <w:p>
      <w:pPr>
        <w:pStyle w:val="BodyText"/>
        <w:ind w:left="126" w:right="99" w:firstLine="483"/>
        <w:spacing w:before="180" w:line="359" w:lineRule="auto"/>
        <w:jc w:val="both"/>
        <w:rPr>
          <w:rFonts w:ascii="FangSong" w:hAnsi="FangSong" w:eastAsia="FangSong" w:cs="FangSong"/>
          <w:sz w:val="24"/>
          <w:szCs w:val="24"/>
        </w:rPr>
      </w:pPr>
      <w:r>
        <w:rPr>
          <w:rFonts w:ascii="FangSong" w:hAnsi="FangSong" w:eastAsia="FangSong" w:cs="FangSong"/>
          <w:sz w:val="24"/>
          <w:szCs w:val="24"/>
          <w:spacing w:val="-2"/>
        </w:rPr>
        <w:t>本年度地块内共采集地下水</w:t>
      </w:r>
      <w:r>
        <w:rPr>
          <w:sz w:val="24"/>
          <w:szCs w:val="24"/>
          <w:spacing w:val="-2"/>
        </w:rPr>
        <w:t>3</w:t>
      </w:r>
      <w:r>
        <w:rPr>
          <w:rFonts w:ascii="FangSong" w:hAnsi="FangSong" w:eastAsia="FangSong" w:cs="FangSong"/>
          <w:sz w:val="24"/>
          <w:szCs w:val="24"/>
          <w:spacing w:val="-2"/>
        </w:rPr>
        <w:t>个监测点位共计</w:t>
      </w:r>
      <w:r>
        <w:rPr>
          <w:sz w:val="24"/>
          <w:szCs w:val="24"/>
          <w:spacing w:val="-2"/>
        </w:rPr>
        <w:t>4</w:t>
      </w:r>
      <w:r>
        <w:rPr>
          <w:rFonts w:ascii="FangSong" w:hAnsi="FangSong" w:eastAsia="FangSong" w:cs="FangSong"/>
          <w:sz w:val="24"/>
          <w:szCs w:val="24"/>
          <w:spacing w:val="-2"/>
        </w:rPr>
        <w:t>个样品（部分点位监测期间无地下水</w:t>
      </w:r>
      <w:r>
        <w:rPr>
          <w:rFonts w:ascii="FangSong" w:hAnsi="FangSong" w:eastAsia="FangSong" w:cs="FangSong"/>
          <w:sz w:val="24"/>
          <w:szCs w:val="24"/>
          <w:spacing w:val="-18"/>
        </w:rPr>
        <w:t>），</w:t>
      </w:r>
      <w:r>
        <w:rPr>
          <w:rFonts w:ascii="FangSong" w:hAnsi="FangSong" w:eastAsia="FangSong" w:cs="FangSong"/>
          <w:sz w:val="24"/>
          <w:szCs w:val="24"/>
          <w:spacing w:val="-2"/>
        </w:rPr>
        <w:t>所</w:t>
      </w:r>
      <w:r>
        <w:rPr>
          <w:rFonts w:ascii="FangSong" w:hAnsi="FangSong" w:eastAsia="FangSong" w:cs="FangSong"/>
          <w:sz w:val="24"/>
          <w:szCs w:val="24"/>
        </w:rPr>
        <w:t xml:space="preserve"> </w:t>
      </w:r>
      <w:r>
        <w:rPr>
          <w:rFonts w:ascii="FangSong" w:hAnsi="FangSong" w:eastAsia="FangSong" w:cs="FangSong"/>
          <w:sz w:val="24"/>
          <w:szCs w:val="24"/>
          <w:spacing w:val="-1"/>
        </w:rPr>
        <w:t>有样品均检测</w:t>
      </w:r>
      <w:r>
        <w:rPr>
          <w:sz w:val="24"/>
          <w:szCs w:val="24"/>
          <w:spacing w:val="-1"/>
        </w:rPr>
        <w:t>GB</w:t>
      </w:r>
      <w:r>
        <w:rPr>
          <w:sz w:val="24"/>
          <w:szCs w:val="24"/>
          <w:spacing w:val="32"/>
        </w:rPr>
        <w:t xml:space="preserve"> </w:t>
      </w:r>
      <w:r>
        <w:rPr>
          <w:sz w:val="24"/>
          <w:szCs w:val="24"/>
          <w:spacing w:val="-1"/>
        </w:rPr>
        <w:t>14848</w:t>
      </w:r>
      <w:r>
        <w:rPr>
          <w:rFonts w:ascii="FangSong" w:hAnsi="FangSong" w:eastAsia="FangSong" w:cs="FangSong"/>
          <w:sz w:val="24"/>
          <w:szCs w:val="24"/>
          <w:spacing w:val="-1"/>
        </w:rPr>
        <w:t>中</w:t>
      </w:r>
      <w:r>
        <w:rPr>
          <w:sz w:val="24"/>
          <w:szCs w:val="24"/>
          <w:spacing w:val="-1"/>
        </w:rPr>
        <w:t>35</w:t>
      </w:r>
      <w:r>
        <w:rPr>
          <w:rFonts w:ascii="FangSong" w:hAnsi="FangSong" w:eastAsia="FangSong" w:cs="FangSong"/>
          <w:sz w:val="24"/>
          <w:szCs w:val="24"/>
          <w:spacing w:val="-1"/>
        </w:rPr>
        <w:t>项（除微生物指标和放射性指标）、</w:t>
      </w:r>
      <w:r>
        <w:rPr>
          <w:sz w:val="24"/>
          <w:szCs w:val="24"/>
          <w:spacing w:val="-2"/>
        </w:rPr>
        <w:t>HJ</w:t>
      </w:r>
      <w:r>
        <w:rPr>
          <w:sz w:val="24"/>
          <w:szCs w:val="24"/>
          <w:spacing w:val="28"/>
        </w:rPr>
        <w:t xml:space="preserve"> </w:t>
      </w:r>
      <w:r>
        <w:rPr>
          <w:sz w:val="24"/>
          <w:szCs w:val="24"/>
          <w:spacing w:val="-2"/>
        </w:rPr>
        <w:t>164</w:t>
      </w:r>
      <w:r>
        <w:rPr>
          <w:rFonts w:ascii="FangSong" w:hAnsi="FangSong" w:eastAsia="FangSong" w:cs="FangSong"/>
          <w:sz w:val="24"/>
          <w:szCs w:val="24"/>
          <w:spacing w:val="-2"/>
        </w:rPr>
        <w:t>附录</w:t>
      </w:r>
      <w:r>
        <w:rPr>
          <w:sz w:val="24"/>
          <w:szCs w:val="24"/>
          <w:spacing w:val="-2"/>
        </w:rPr>
        <w:t>F</w:t>
      </w:r>
      <w:r>
        <w:rPr>
          <w:rFonts w:ascii="FangSong" w:hAnsi="FangSong" w:eastAsia="FangSong" w:cs="FangSong"/>
          <w:sz w:val="24"/>
          <w:szCs w:val="24"/>
          <w:spacing w:val="-2"/>
        </w:rPr>
        <w:t>中“环境治理业</w:t>
      </w:r>
      <w:r>
        <w:rPr>
          <w:rFonts w:ascii="FangSong" w:hAnsi="FangSong" w:eastAsia="FangSong" w:cs="FangSong"/>
          <w:sz w:val="24"/>
          <w:szCs w:val="24"/>
        </w:rPr>
        <w:t xml:space="preserve"> </w:t>
      </w:r>
      <w:r>
        <w:rPr>
          <w:rFonts w:ascii="FangSong" w:hAnsi="FangSong" w:eastAsia="FangSong" w:cs="FangSong"/>
          <w:sz w:val="24"/>
          <w:szCs w:val="24"/>
        </w:rPr>
        <w:t>（危废、医废处置）</w:t>
      </w:r>
      <w:r>
        <w:rPr>
          <w:rFonts w:ascii="FangSong" w:hAnsi="FangSong" w:eastAsia="FangSong" w:cs="FangSong"/>
          <w:sz w:val="24"/>
          <w:szCs w:val="24"/>
          <w:spacing w:val="-83"/>
        </w:rPr>
        <w:t xml:space="preserve"> </w:t>
      </w:r>
      <w:r>
        <w:rPr>
          <w:rFonts w:ascii="FangSong" w:hAnsi="FangSong" w:eastAsia="FangSong" w:cs="FangSong"/>
          <w:sz w:val="24"/>
          <w:szCs w:val="24"/>
        </w:rPr>
        <w:t>”行业的特征项目、特征污染物</w:t>
      </w:r>
      <w:r>
        <w:rPr>
          <w:sz w:val="24"/>
          <w:szCs w:val="24"/>
        </w:rPr>
        <w:t>pH</w:t>
      </w:r>
      <w:r>
        <w:rPr>
          <w:sz w:val="24"/>
          <w:szCs w:val="24"/>
          <w:spacing w:val="-24"/>
        </w:rPr>
        <w:t xml:space="preserve"> </w:t>
      </w:r>
      <w:r>
        <w:rPr>
          <w:rFonts w:ascii="FangSong" w:hAnsi="FangSong" w:eastAsia="FangSong" w:cs="FangSong"/>
          <w:sz w:val="24"/>
          <w:szCs w:val="24"/>
        </w:rPr>
        <w:t>、石油烃（</w:t>
      </w:r>
      <w:r>
        <w:rPr>
          <w:sz w:val="24"/>
          <w:szCs w:val="24"/>
        </w:rPr>
        <w:t>C</w:t>
      </w:r>
      <w:r>
        <w:rPr>
          <w:sz w:val="15"/>
          <w:szCs w:val="15"/>
        </w:rPr>
        <w:t>10</w:t>
      </w:r>
      <w:r>
        <w:rPr>
          <w:sz w:val="24"/>
          <w:szCs w:val="24"/>
        </w:rPr>
        <w:t>-</w:t>
      </w:r>
      <w:r>
        <w:rPr>
          <w:sz w:val="24"/>
          <w:szCs w:val="24"/>
          <w:spacing w:val="-1"/>
        </w:rPr>
        <w:t>C</w:t>
      </w:r>
      <w:r>
        <w:rPr>
          <w:sz w:val="15"/>
          <w:szCs w:val="15"/>
          <w:spacing w:val="-1"/>
          <w:position w:val="-1"/>
        </w:rPr>
        <w:t>40 </w:t>
      </w:r>
      <w:r>
        <w:rPr>
          <w:rFonts w:ascii="FangSong" w:hAnsi="FangSong" w:eastAsia="FangSong" w:cs="FangSong"/>
          <w:sz w:val="24"/>
          <w:szCs w:val="24"/>
          <w:spacing w:val="-1"/>
        </w:rPr>
        <w:t>）、氟化物、铜、</w:t>
      </w:r>
      <w:r>
        <w:rPr>
          <w:rFonts w:ascii="FangSong" w:hAnsi="FangSong" w:eastAsia="FangSong" w:cs="FangSong"/>
          <w:sz w:val="24"/>
          <w:szCs w:val="24"/>
        </w:rPr>
        <w:t xml:space="preserve"> </w:t>
      </w:r>
      <w:r>
        <w:rPr>
          <w:rFonts w:ascii="FangSong" w:hAnsi="FangSong" w:eastAsia="FangSong" w:cs="FangSong"/>
          <w:sz w:val="24"/>
          <w:szCs w:val="24"/>
        </w:rPr>
        <w:t>铅、锌、镉、镍、砷、铬、铬（六价）、苯并</w:t>
      </w:r>
      <w:r>
        <w:rPr>
          <w:sz w:val="24"/>
          <w:szCs w:val="24"/>
        </w:rPr>
        <w:t>[a]</w:t>
      </w:r>
      <w:r>
        <w:rPr>
          <w:rFonts w:ascii="FangSong" w:hAnsi="FangSong" w:eastAsia="FangSong" w:cs="FangSong"/>
          <w:sz w:val="24"/>
          <w:szCs w:val="24"/>
        </w:rPr>
        <w:t>芘。地下水检测结果见表</w:t>
      </w:r>
      <w:r>
        <w:rPr>
          <w:sz w:val="24"/>
          <w:szCs w:val="24"/>
        </w:rPr>
        <w:t>8.2-2</w:t>
      </w:r>
      <w:r>
        <w:rPr>
          <w:sz w:val="24"/>
          <w:szCs w:val="24"/>
          <w:spacing w:val="-25"/>
        </w:rPr>
        <w:t xml:space="preserve"> </w:t>
      </w:r>
      <w:r>
        <w:rPr>
          <w:rFonts w:ascii="FangSong" w:hAnsi="FangSong" w:eastAsia="FangSong" w:cs="FangSong"/>
          <w:sz w:val="24"/>
          <w:szCs w:val="24"/>
        </w:rPr>
        <w:t>，</w:t>
      </w:r>
      <w:r>
        <w:rPr>
          <w:rFonts w:ascii="FangSong" w:hAnsi="FangSong" w:eastAsia="FangSong" w:cs="FangSong"/>
          <w:sz w:val="24"/>
          <w:szCs w:val="24"/>
          <w:spacing w:val="-71"/>
        </w:rPr>
        <w:t xml:space="preserve"> </w:t>
      </w:r>
      <w:r>
        <w:rPr>
          <w:rFonts w:ascii="FangSong" w:hAnsi="FangSong" w:eastAsia="FangSong" w:cs="FangSong"/>
          <w:sz w:val="24"/>
          <w:szCs w:val="24"/>
        </w:rPr>
        <w:t>由检测结果</w:t>
      </w:r>
      <w:r>
        <w:rPr>
          <w:rFonts w:ascii="FangSong" w:hAnsi="FangSong" w:eastAsia="FangSong" w:cs="FangSong"/>
          <w:sz w:val="24"/>
          <w:szCs w:val="24"/>
        </w:rPr>
        <w:t xml:space="preserve"> </w:t>
      </w:r>
      <w:r>
        <w:rPr>
          <w:rFonts w:ascii="FangSong" w:hAnsi="FangSong" w:eastAsia="FangSong" w:cs="FangSong"/>
          <w:sz w:val="24"/>
          <w:szCs w:val="24"/>
          <w:spacing w:val="-5"/>
        </w:rPr>
        <w:t>可知：</w:t>
      </w:r>
    </w:p>
    <w:p>
      <w:pPr>
        <w:pStyle w:val="BodyText"/>
        <w:ind w:left="128" w:right="48" w:firstLine="480"/>
        <w:spacing w:before="3" w:line="360" w:lineRule="auto"/>
        <w:jc w:val="both"/>
        <w:rPr>
          <w:rFonts w:ascii="FangSong" w:hAnsi="FangSong" w:eastAsia="FangSong" w:cs="FangSong"/>
          <w:sz w:val="24"/>
          <w:szCs w:val="24"/>
        </w:rPr>
      </w:pPr>
      <w:r>
        <w:rPr>
          <w:rFonts w:ascii="FangSong" w:hAnsi="FangSong" w:eastAsia="FangSong" w:cs="FangSong"/>
          <w:sz w:val="24"/>
          <w:szCs w:val="24"/>
          <w:spacing w:val="-2"/>
        </w:rPr>
        <w:t>根据地下水监测结果，样品中色度、挥发酚、阴离子表面活性剂、铝、铜、氰化物、汞、</w:t>
      </w:r>
      <w:r>
        <w:rPr>
          <w:rFonts w:ascii="FangSong" w:hAnsi="FangSong" w:eastAsia="FangSong" w:cs="FangSong"/>
          <w:sz w:val="24"/>
          <w:szCs w:val="24"/>
          <w:spacing w:val="16"/>
        </w:rPr>
        <w:t xml:space="preserve"> </w:t>
      </w:r>
      <w:r>
        <w:rPr>
          <w:rFonts w:ascii="FangSong" w:hAnsi="FangSong" w:eastAsia="FangSong" w:cs="FangSong"/>
          <w:sz w:val="24"/>
          <w:szCs w:val="24"/>
        </w:rPr>
        <w:t>六价铬、铍、总铬、四氯化碳、氯仿、苯、</w:t>
      </w:r>
      <w:r>
        <w:rPr>
          <w:rFonts w:ascii="FangSong" w:hAnsi="FangSong" w:eastAsia="FangSong" w:cs="FangSong"/>
          <w:sz w:val="24"/>
          <w:szCs w:val="24"/>
          <w:spacing w:val="-70"/>
        </w:rPr>
        <w:t xml:space="preserve"> </w:t>
      </w:r>
      <w:r>
        <w:rPr>
          <w:rFonts w:ascii="FangSong" w:hAnsi="FangSong" w:eastAsia="FangSong" w:cs="FangSong"/>
          <w:sz w:val="24"/>
          <w:szCs w:val="24"/>
        </w:rPr>
        <w:t>甲苯、苯并</w:t>
      </w:r>
      <w:r>
        <w:rPr>
          <w:sz w:val="24"/>
          <w:szCs w:val="24"/>
        </w:rPr>
        <w:t>[a]</w:t>
      </w:r>
      <w:r>
        <w:rPr>
          <w:rFonts w:ascii="FangSong" w:hAnsi="FangSong" w:eastAsia="FangSong" w:cs="FangSong"/>
          <w:sz w:val="24"/>
          <w:szCs w:val="24"/>
        </w:rPr>
        <w:t>芘、烷基汞等均未检出；</w:t>
      </w:r>
      <w:r>
        <w:rPr>
          <w:sz w:val="24"/>
          <w:szCs w:val="24"/>
        </w:rPr>
        <w:t>pH</w:t>
      </w:r>
      <w:r>
        <w:rPr>
          <w:rFonts w:ascii="FangSong" w:hAnsi="FangSong" w:eastAsia="FangSong" w:cs="FangSong"/>
          <w:sz w:val="24"/>
          <w:szCs w:val="24"/>
          <w:spacing w:val="-1"/>
        </w:rPr>
        <w:t>值、臭</w:t>
      </w:r>
      <w:r>
        <w:rPr>
          <w:rFonts w:ascii="FangSong" w:hAnsi="FangSong" w:eastAsia="FangSong" w:cs="FangSong"/>
          <w:sz w:val="24"/>
          <w:szCs w:val="24"/>
        </w:rPr>
        <w:t xml:space="preserve"> </w:t>
      </w:r>
      <w:r>
        <w:rPr>
          <w:rFonts w:ascii="FangSong" w:hAnsi="FangSong" w:eastAsia="FangSong" w:cs="FangSong"/>
          <w:sz w:val="24"/>
          <w:szCs w:val="24"/>
          <w:spacing w:val="-3"/>
        </w:rPr>
        <w:t>和味、浊度、肉眼可见物、总硬度、溶解性总固体、硫酸盐、氯化物、铁、锰、锌、高锰酸盐</w:t>
      </w:r>
      <w:r>
        <w:rPr>
          <w:rFonts w:ascii="FangSong" w:hAnsi="FangSong" w:eastAsia="FangSong" w:cs="FangSong"/>
          <w:sz w:val="24"/>
          <w:szCs w:val="24"/>
          <w:spacing w:val="10"/>
        </w:rPr>
        <w:t xml:space="preserve"> </w:t>
      </w:r>
      <w:r>
        <w:rPr>
          <w:rFonts w:ascii="FangSong" w:hAnsi="FangSong" w:eastAsia="FangSong" w:cs="FangSong"/>
          <w:sz w:val="24"/>
          <w:szCs w:val="24"/>
          <w:spacing w:val="-1"/>
        </w:rPr>
        <w:t>指数、氨氮、硫化物、钠、硝酸盐氮、亚硝酸盐</w:t>
      </w:r>
      <w:r>
        <w:rPr>
          <w:rFonts w:ascii="FangSong" w:hAnsi="FangSong" w:eastAsia="FangSong" w:cs="FangSong"/>
          <w:sz w:val="24"/>
          <w:szCs w:val="24"/>
          <w:spacing w:val="-2"/>
        </w:rPr>
        <w:t>氮、氟化物、碘化物、砷、硒、镉、铅、钡、</w:t>
      </w:r>
      <w:r>
        <w:rPr>
          <w:rFonts w:ascii="FangSong" w:hAnsi="FangSong" w:eastAsia="FangSong" w:cs="FangSong"/>
          <w:sz w:val="24"/>
          <w:szCs w:val="24"/>
        </w:rPr>
        <w:t xml:space="preserve"> </w:t>
      </w:r>
      <w:r>
        <w:rPr>
          <w:rFonts w:ascii="FangSong" w:hAnsi="FangSong" w:eastAsia="FangSong" w:cs="FangSong"/>
          <w:sz w:val="24"/>
          <w:szCs w:val="24"/>
          <w:spacing w:val="13"/>
        </w:rPr>
        <w:t>镍</w:t>
      </w:r>
      <w:r>
        <w:rPr>
          <w:rFonts w:ascii="FangSong" w:hAnsi="FangSong" w:eastAsia="FangSong" w:cs="FangSong"/>
          <w:sz w:val="24"/>
          <w:szCs w:val="24"/>
          <w:spacing w:val="-60"/>
        </w:rPr>
        <w:t xml:space="preserve"> </w:t>
      </w:r>
      <w:r>
        <w:rPr>
          <w:rFonts w:ascii="FangSong" w:hAnsi="FangSong" w:eastAsia="FangSong" w:cs="FangSong"/>
          <w:sz w:val="24"/>
          <w:szCs w:val="24"/>
          <w:spacing w:val="13"/>
        </w:rPr>
        <w:t>、</w:t>
      </w:r>
      <w:r>
        <w:rPr>
          <w:rFonts w:ascii="FangSong" w:hAnsi="FangSong" w:eastAsia="FangSong" w:cs="FangSong"/>
          <w:sz w:val="24"/>
          <w:szCs w:val="24"/>
          <w:spacing w:val="-69"/>
        </w:rPr>
        <w:t xml:space="preserve"> </w:t>
      </w:r>
      <w:r>
        <w:rPr>
          <w:rFonts w:ascii="FangSong" w:hAnsi="FangSong" w:eastAsia="FangSong" w:cs="FangSong"/>
          <w:sz w:val="24"/>
          <w:szCs w:val="24"/>
          <w:spacing w:val="13"/>
        </w:rPr>
        <w:t>总磷</w:t>
      </w:r>
      <w:r>
        <w:rPr>
          <w:rFonts w:ascii="FangSong" w:hAnsi="FangSong" w:eastAsia="FangSong" w:cs="FangSong"/>
          <w:sz w:val="24"/>
          <w:szCs w:val="24"/>
          <w:spacing w:val="-60"/>
        </w:rPr>
        <w:t xml:space="preserve"> </w:t>
      </w:r>
      <w:r>
        <w:rPr>
          <w:rFonts w:ascii="FangSong" w:hAnsi="FangSong" w:eastAsia="FangSong" w:cs="FangSong"/>
          <w:sz w:val="24"/>
          <w:szCs w:val="24"/>
          <w:spacing w:val="13"/>
        </w:rPr>
        <w:t>、可萃取性石油烃（</w:t>
      </w:r>
      <w:r>
        <w:rPr>
          <w:sz w:val="24"/>
          <w:szCs w:val="24"/>
          <w:spacing w:val="13"/>
        </w:rPr>
        <w:t>C</w:t>
      </w:r>
      <w:r>
        <w:rPr>
          <w:sz w:val="15"/>
          <w:szCs w:val="15"/>
          <w:spacing w:val="13"/>
        </w:rPr>
        <w:t>10</w:t>
      </w:r>
      <w:r>
        <w:rPr>
          <w:sz w:val="24"/>
          <w:szCs w:val="24"/>
          <w:spacing w:val="13"/>
        </w:rPr>
        <w:t>-C</w:t>
      </w:r>
      <w:r>
        <w:rPr>
          <w:sz w:val="15"/>
          <w:szCs w:val="15"/>
          <w:spacing w:val="13"/>
          <w:position w:val="-1"/>
        </w:rPr>
        <w:t>40</w:t>
      </w:r>
      <w:r>
        <w:rPr>
          <w:sz w:val="15"/>
          <w:szCs w:val="15"/>
          <w:spacing w:val="20"/>
          <w:w w:val="101"/>
          <w:position w:val="-1"/>
        </w:rPr>
        <w:t xml:space="preserve"> </w:t>
      </w:r>
      <w:r>
        <w:rPr>
          <w:rFonts w:ascii="FangSong" w:hAnsi="FangSong" w:eastAsia="FangSong" w:cs="FangSong"/>
          <w:sz w:val="24"/>
          <w:szCs w:val="24"/>
          <w:spacing w:val="13"/>
        </w:rPr>
        <w:t>）</w:t>
      </w:r>
      <w:r>
        <w:rPr>
          <w:rFonts w:ascii="FangSong" w:hAnsi="FangSong" w:eastAsia="FangSong" w:cs="FangSong"/>
          <w:sz w:val="24"/>
          <w:szCs w:val="24"/>
          <w:spacing w:val="-70"/>
        </w:rPr>
        <w:t xml:space="preserve"> </w:t>
      </w:r>
      <w:r>
        <w:rPr>
          <w:rFonts w:ascii="FangSong" w:hAnsi="FangSong" w:eastAsia="FangSong" w:cs="FangSong"/>
          <w:sz w:val="24"/>
          <w:szCs w:val="24"/>
          <w:spacing w:val="13"/>
        </w:rPr>
        <w:t>等检测指标有检出</w:t>
      </w:r>
      <w:r>
        <w:rPr>
          <w:rFonts w:ascii="FangSong" w:hAnsi="FangSong" w:eastAsia="FangSong" w:cs="FangSong"/>
          <w:sz w:val="24"/>
          <w:szCs w:val="24"/>
          <w:spacing w:val="-60"/>
        </w:rPr>
        <w:t xml:space="preserve"> </w:t>
      </w:r>
      <w:r>
        <w:rPr>
          <w:rFonts w:ascii="FangSong" w:hAnsi="FangSong" w:eastAsia="FangSong" w:cs="FangSong"/>
          <w:sz w:val="24"/>
          <w:szCs w:val="24"/>
          <w:spacing w:val="12"/>
        </w:rPr>
        <w:t>，满足《地下水质量标准》</w:t>
      </w:r>
      <w:r>
        <w:rPr>
          <w:rFonts w:ascii="FangSong" w:hAnsi="FangSong" w:eastAsia="FangSong" w:cs="FangSong"/>
          <w:sz w:val="24"/>
          <w:szCs w:val="24"/>
        </w:rPr>
        <w:t xml:space="preserve"> </w:t>
      </w:r>
      <w:r>
        <w:rPr>
          <w:rFonts w:ascii="FangSong" w:hAnsi="FangSong" w:eastAsia="FangSong" w:cs="FangSong"/>
          <w:sz w:val="24"/>
          <w:szCs w:val="24"/>
          <w:spacing w:val="-1"/>
        </w:rPr>
        <w:t>（</w:t>
      </w:r>
      <w:r>
        <w:rPr>
          <w:sz w:val="24"/>
          <w:szCs w:val="24"/>
          <w:spacing w:val="-1"/>
        </w:rPr>
        <w:t>GB/T14848-2017</w:t>
      </w:r>
      <w:r>
        <w:rPr>
          <w:rFonts w:ascii="FangSong" w:hAnsi="FangSong" w:eastAsia="FangSong" w:cs="FangSong"/>
          <w:sz w:val="24"/>
          <w:szCs w:val="24"/>
          <w:spacing w:val="-1"/>
        </w:rPr>
        <w:t>）中的</w:t>
      </w:r>
      <w:r>
        <w:rPr>
          <w:sz w:val="24"/>
          <w:szCs w:val="24"/>
          <w:spacing w:val="-1"/>
        </w:rPr>
        <w:t>Ⅳ</w:t>
      </w:r>
      <w:r>
        <w:rPr>
          <w:rFonts w:ascii="FangSong" w:hAnsi="FangSong" w:eastAsia="FangSong" w:cs="FangSong"/>
          <w:sz w:val="24"/>
          <w:szCs w:val="24"/>
          <w:spacing w:val="-1"/>
        </w:rPr>
        <w:t>类标准。</w:t>
      </w:r>
    </w:p>
    <w:p>
      <w:pPr>
        <w:pStyle w:val="BodyText"/>
        <w:ind w:left="129" w:firstLine="481"/>
        <w:spacing w:before="1" w:line="360" w:lineRule="auto"/>
        <w:jc w:val="both"/>
        <w:rPr>
          <w:rFonts w:ascii="FangSong" w:hAnsi="FangSong" w:eastAsia="FangSong" w:cs="FangSong"/>
          <w:sz w:val="24"/>
          <w:szCs w:val="24"/>
        </w:rPr>
      </w:pPr>
      <w:r>
        <w:rPr>
          <w:rFonts w:ascii="FangSong" w:hAnsi="FangSong" w:eastAsia="FangSong" w:cs="FangSong"/>
          <w:sz w:val="24"/>
          <w:szCs w:val="24"/>
          <w:spacing w:val="-1"/>
        </w:rPr>
        <w:t>选取企业特征污染物对比</w:t>
      </w:r>
      <w:r>
        <w:rPr>
          <w:sz w:val="24"/>
          <w:szCs w:val="24"/>
          <w:spacing w:val="-1"/>
        </w:rPr>
        <w:t>2024</w:t>
      </w:r>
      <w:r>
        <w:rPr>
          <w:rFonts w:ascii="FangSong" w:hAnsi="FangSong" w:eastAsia="FangSong" w:cs="FangSong"/>
          <w:sz w:val="24"/>
          <w:szCs w:val="24"/>
          <w:spacing w:val="-1"/>
        </w:rPr>
        <w:t>年度地下水监测数</w:t>
      </w:r>
      <w:r>
        <w:rPr>
          <w:rFonts w:ascii="FangSong" w:hAnsi="FangSong" w:eastAsia="FangSong" w:cs="FangSong"/>
          <w:sz w:val="24"/>
          <w:szCs w:val="24"/>
          <w:spacing w:val="-2"/>
        </w:rPr>
        <w:t>据，</w:t>
      </w:r>
      <w:r>
        <w:rPr>
          <w:sz w:val="24"/>
          <w:szCs w:val="24"/>
          <w:spacing w:val="-2"/>
        </w:rPr>
        <w:t>AS1</w:t>
      </w:r>
      <w:r>
        <w:rPr>
          <w:rFonts w:ascii="FangSong" w:hAnsi="FangSong" w:eastAsia="FangSong" w:cs="FangSong"/>
          <w:sz w:val="24"/>
          <w:szCs w:val="24"/>
          <w:spacing w:val="-2"/>
        </w:rPr>
        <w:t>点位地下水指标铜、砷、镉、镍</w:t>
      </w:r>
      <w:r>
        <w:rPr>
          <w:rFonts w:ascii="FangSong" w:hAnsi="FangSong" w:eastAsia="FangSong" w:cs="FangSong"/>
          <w:sz w:val="24"/>
          <w:szCs w:val="24"/>
        </w:rPr>
        <w:t xml:space="preserve"> </w:t>
      </w:r>
      <w:r>
        <w:rPr>
          <w:rFonts w:ascii="FangSong" w:hAnsi="FangSong" w:eastAsia="FangSong" w:cs="FangSong"/>
          <w:sz w:val="24"/>
          <w:szCs w:val="24"/>
          <w:spacing w:val="-1"/>
        </w:rPr>
        <w:t>较去年有所转好，但锌、氟化物、铅、可萃取性石油烃（</w:t>
      </w:r>
      <w:r>
        <w:rPr>
          <w:sz w:val="24"/>
          <w:szCs w:val="24"/>
          <w:spacing w:val="-1"/>
        </w:rPr>
        <w:t>C</w:t>
      </w:r>
      <w:r>
        <w:rPr>
          <w:sz w:val="15"/>
          <w:szCs w:val="15"/>
          <w:spacing w:val="-1"/>
        </w:rPr>
        <w:t>10</w:t>
      </w:r>
      <w:r>
        <w:rPr>
          <w:sz w:val="24"/>
          <w:szCs w:val="24"/>
          <w:spacing w:val="-1"/>
        </w:rPr>
        <w:t>-C</w:t>
      </w:r>
      <w:r>
        <w:rPr>
          <w:sz w:val="15"/>
          <w:szCs w:val="15"/>
          <w:spacing w:val="-1"/>
          <w:position w:val="-1"/>
        </w:rPr>
        <w:t>40 </w:t>
      </w:r>
      <w:r>
        <w:rPr>
          <w:rFonts w:ascii="FangSong" w:hAnsi="FangSong" w:eastAsia="FangSong" w:cs="FangSong"/>
          <w:sz w:val="24"/>
          <w:szCs w:val="24"/>
          <w:spacing w:val="-1"/>
        </w:rPr>
        <w:t>）较去年呈上升趋势；</w:t>
      </w:r>
      <w:r>
        <w:rPr>
          <w:sz w:val="24"/>
          <w:szCs w:val="24"/>
          <w:spacing w:val="-1"/>
        </w:rPr>
        <w:t>E</w:t>
      </w:r>
      <w:r>
        <w:rPr>
          <w:sz w:val="24"/>
          <w:szCs w:val="24"/>
          <w:spacing w:val="-2"/>
        </w:rPr>
        <w:t>S1</w:t>
      </w:r>
      <w:r>
        <w:rPr>
          <w:rFonts w:ascii="FangSong" w:hAnsi="FangSong" w:eastAsia="FangSong" w:cs="FangSong"/>
          <w:sz w:val="24"/>
          <w:szCs w:val="24"/>
          <w:spacing w:val="-2"/>
        </w:rPr>
        <w:t>点</w:t>
      </w:r>
      <w:r>
        <w:rPr>
          <w:rFonts w:ascii="FangSong" w:hAnsi="FangSong" w:eastAsia="FangSong" w:cs="FangSong"/>
          <w:sz w:val="24"/>
          <w:szCs w:val="24"/>
        </w:rPr>
        <w:t xml:space="preserve"> </w:t>
      </w:r>
      <w:r>
        <w:rPr>
          <w:rFonts w:ascii="FangSong" w:hAnsi="FangSong" w:eastAsia="FangSong" w:cs="FangSong"/>
          <w:sz w:val="24"/>
          <w:szCs w:val="24"/>
          <w:spacing w:val="-5"/>
        </w:rPr>
        <w:t>位地下水指标铜、锌、砷、镉、镍较去年有所转好，但氟化物、铅、可萃取性石油烃（</w:t>
      </w:r>
      <w:r>
        <w:rPr>
          <w:sz w:val="24"/>
          <w:szCs w:val="24"/>
          <w:spacing w:val="-5"/>
        </w:rPr>
        <w:t>C</w:t>
      </w:r>
      <w:r>
        <w:rPr>
          <w:sz w:val="15"/>
          <w:szCs w:val="15"/>
          <w:spacing w:val="-5"/>
        </w:rPr>
        <w:t>10</w:t>
      </w:r>
      <w:r>
        <w:rPr>
          <w:sz w:val="24"/>
          <w:szCs w:val="24"/>
          <w:spacing w:val="-5"/>
        </w:rPr>
        <w:t>-C</w:t>
      </w:r>
      <w:r>
        <w:rPr>
          <w:sz w:val="15"/>
          <w:szCs w:val="15"/>
          <w:spacing w:val="-6"/>
          <w:position w:val="-1"/>
        </w:rPr>
        <w:t>40</w:t>
      </w:r>
      <w:r>
        <w:rPr>
          <w:rFonts w:ascii="FangSong" w:hAnsi="FangSong" w:eastAsia="FangSong" w:cs="FangSong"/>
          <w:sz w:val="24"/>
          <w:szCs w:val="24"/>
          <w:spacing w:val="-6"/>
        </w:rPr>
        <w:t>）</w:t>
      </w:r>
      <w:r>
        <w:rPr>
          <w:rFonts w:ascii="FangSong" w:hAnsi="FangSong" w:eastAsia="FangSong" w:cs="FangSong"/>
          <w:sz w:val="24"/>
          <w:szCs w:val="24"/>
        </w:rPr>
        <w:t xml:space="preserve"> </w:t>
      </w:r>
      <w:r>
        <w:rPr>
          <w:rFonts w:ascii="FangSong" w:hAnsi="FangSong" w:eastAsia="FangSong" w:cs="FangSong"/>
          <w:sz w:val="24"/>
          <w:szCs w:val="24"/>
          <w:spacing w:val="-2"/>
        </w:rPr>
        <w:t>较去年呈上升趋势。</w:t>
      </w:r>
    </w:p>
    <w:p>
      <w:pPr>
        <w:pStyle w:val="BodyText"/>
        <w:ind w:left="2062"/>
        <w:spacing w:line="212" w:lineRule="auto"/>
        <w:rPr>
          <w:sz w:val="24"/>
          <w:szCs w:val="24"/>
        </w:rPr>
      </w:pPr>
      <w:r>
        <w:rPr>
          <w:rFonts w:ascii="FangSong" w:hAnsi="FangSong" w:eastAsia="FangSong" w:cs="FangSong"/>
          <w:sz w:val="24"/>
          <w:szCs w:val="24"/>
          <w:b/>
          <w:bCs/>
          <w:spacing w:val="-1"/>
        </w:rPr>
        <w:t>表</w:t>
      </w:r>
      <w:r>
        <w:rPr>
          <w:sz w:val="24"/>
          <w:szCs w:val="24"/>
          <w:b/>
          <w:bCs/>
          <w:spacing w:val="-1"/>
        </w:rPr>
        <w:t>8.2-3  </w:t>
      </w:r>
      <w:r>
        <w:rPr>
          <w:rFonts w:ascii="FangSong" w:hAnsi="FangSong" w:eastAsia="FangSong" w:cs="FangSong"/>
          <w:sz w:val="24"/>
          <w:szCs w:val="24"/>
          <w:b/>
          <w:bCs/>
          <w:spacing w:val="-1"/>
        </w:rPr>
        <w:t>地下水</w:t>
      </w:r>
      <w:r>
        <w:rPr>
          <w:sz w:val="24"/>
          <w:szCs w:val="24"/>
          <w:b/>
          <w:bCs/>
          <w:spacing w:val="-1"/>
        </w:rPr>
        <w:t>2025</w:t>
      </w:r>
      <w:r>
        <w:rPr>
          <w:rFonts w:ascii="FangSong" w:hAnsi="FangSong" w:eastAsia="FangSong" w:cs="FangSong"/>
          <w:sz w:val="24"/>
          <w:szCs w:val="24"/>
          <w:b/>
          <w:bCs/>
          <w:spacing w:val="-1"/>
        </w:rPr>
        <w:t>年度监测与</w:t>
      </w:r>
      <w:r>
        <w:rPr>
          <w:sz w:val="24"/>
          <w:szCs w:val="24"/>
          <w:b/>
          <w:bCs/>
          <w:spacing w:val="-1"/>
        </w:rPr>
        <w:t>2024</w:t>
      </w:r>
      <w:r>
        <w:rPr>
          <w:rFonts w:ascii="FangSong" w:hAnsi="FangSong" w:eastAsia="FangSong" w:cs="FangSong"/>
          <w:sz w:val="24"/>
          <w:szCs w:val="24"/>
          <w:b/>
          <w:bCs/>
          <w:spacing w:val="-1"/>
        </w:rPr>
        <w:t>年度监测值对比</w:t>
      </w:r>
      <w:r>
        <w:rPr>
          <w:rFonts w:ascii="FangSong" w:hAnsi="FangSong" w:eastAsia="FangSong" w:cs="FangSong"/>
          <w:sz w:val="24"/>
          <w:szCs w:val="24"/>
          <w:spacing w:val="-1"/>
        </w:rPr>
        <w:t xml:space="preserve">          </w:t>
      </w:r>
      <w:r>
        <w:rPr>
          <w:rFonts w:ascii="FangSong" w:hAnsi="FangSong" w:eastAsia="FangSong" w:cs="FangSong"/>
          <w:sz w:val="22"/>
          <w:szCs w:val="22"/>
          <w:spacing w:val="-1"/>
        </w:rPr>
        <w:t>单位：</w:t>
      </w:r>
      <w:r>
        <w:rPr>
          <w:sz w:val="24"/>
          <w:szCs w:val="24"/>
          <w:spacing w:val="-1"/>
        </w:rPr>
        <w:t>mg/L</w:t>
      </w:r>
    </w:p>
    <w:p>
      <w:pPr>
        <w:spacing w:line="79" w:lineRule="exact"/>
        <w:rPr/>
      </w:pPr>
      <w:r/>
    </w:p>
    <w:tbl>
      <w:tblPr>
        <w:tblStyle w:val="TableNormal"/>
        <w:tblW w:w="9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28"/>
        <w:gridCol w:w="674"/>
        <w:gridCol w:w="1020"/>
        <w:gridCol w:w="939"/>
        <w:gridCol w:w="1005"/>
        <w:gridCol w:w="933"/>
        <w:gridCol w:w="1210"/>
        <w:gridCol w:w="1041"/>
        <w:gridCol w:w="1059"/>
        <w:gridCol w:w="1113"/>
      </w:tblGrid>
      <w:tr>
        <w:trPr>
          <w:trHeight w:val="553" w:hRule="atLeast"/>
        </w:trPr>
        <w:tc>
          <w:tcPr>
            <w:tcW w:w="928" w:type="dxa"/>
            <w:vAlign w:val="top"/>
          </w:tcPr>
          <w:p>
            <w:pPr>
              <w:pStyle w:val="TableText"/>
              <w:ind w:left="269"/>
              <w:spacing w:before="171" w:line="231" w:lineRule="auto"/>
              <w:rPr/>
            </w:pPr>
            <w:r>
              <w:rPr>
                <w:b/>
                <w:bCs/>
                <w:spacing w:val="-1"/>
              </w:rPr>
              <w:t>年份</w:t>
            </w:r>
          </w:p>
        </w:tc>
        <w:tc>
          <w:tcPr>
            <w:tcW w:w="674" w:type="dxa"/>
            <w:vAlign w:val="top"/>
          </w:tcPr>
          <w:p>
            <w:pPr>
              <w:pStyle w:val="TableText"/>
              <w:ind w:left="134"/>
              <w:spacing w:before="36" w:line="232" w:lineRule="auto"/>
              <w:rPr/>
            </w:pPr>
            <w:r>
              <w:rPr>
                <w:b/>
                <w:bCs/>
                <w:spacing w:val="1"/>
              </w:rPr>
              <w:t>测点</w:t>
            </w:r>
          </w:p>
          <w:p>
            <w:pPr>
              <w:pStyle w:val="TableText"/>
              <w:ind w:left="135"/>
              <w:spacing w:before="20" w:line="216" w:lineRule="auto"/>
              <w:rPr/>
            </w:pPr>
            <w:r>
              <w:rPr>
                <w:b/>
                <w:bCs/>
              </w:rPr>
              <w:t>名称</w:t>
            </w:r>
          </w:p>
        </w:tc>
        <w:tc>
          <w:tcPr>
            <w:tcW w:w="1020" w:type="dxa"/>
            <w:vAlign w:val="top"/>
          </w:tcPr>
          <w:p>
            <w:pPr>
              <w:pStyle w:val="TableText"/>
              <w:ind w:left="417"/>
              <w:spacing w:before="171" w:line="232" w:lineRule="auto"/>
              <w:rPr/>
            </w:pPr>
            <w:r>
              <w:rPr>
                <w:b/>
                <w:bCs/>
                <w:spacing w:val="-3"/>
              </w:rPr>
              <w:t>铜</w:t>
            </w:r>
          </w:p>
        </w:tc>
        <w:tc>
          <w:tcPr>
            <w:tcW w:w="939" w:type="dxa"/>
            <w:vAlign w:val="top"/>
          </w:tcPr>
          <w:p>
            <w:pPr>
              <w:pStyle w:val="TableText"/>
              <w:ind w:left="374"/>
              <w:spacing w:before="171" w:line="231" w:lineRule="auto"/>
              <w:rPr/>
            </w:pPr>
            <w:r>
              <w:rPr>
                <w:b/>
                <w:bCs/>
                <w:spacing w:val="-3"/>
              </w:rPr>
              <w:t>锌</w:t>
            </w:r>
          </w:p>
        </w:tc>
        <w:tc>
          <w:tcPr>
            <w:tcW w:w="1005" w:type="dxa"/>
            <w:vAlign w:val="top"/>
          </w:tcPr>
          <w:p>
            <w:pPr>
              <w:pStyle w:val="TableText"/>
              <w:ind w:left="202"/>
              <w:spacing w:before="172" w:line="229" w:lineRule="auto"/>
              <w:rPr/>
            </w:pPr>
            <w:r>
              <w:rPr>
                <w:b/>
                <w:bCs/>
                <w:spacing w:val="1"/>
              </w:rPr>
              <w:t>氟化物</w:t>
            </w:r>
          </w:p>
        </w:tc>
        <w:tc>
          <w:tcPr>
            <w:tcW w:w="933" w:type="dxa"/>
            <w:vAlign w:val="top"/>
          </w:tcPr>
          <w:p>
            <w:pPr>
              <w:pStyle w:val="TableText"/>
              <w:ind w:left="372"/>
              <w:spacing w:before="171" w:line="229" w:lineRule="auto"/>
              <w:rPr/>
            </w:pPr>
            <w:r>
              <w:rPr>
                <w:b/>
                <w:bCs/>
                <w:spacing w:val="-3"/>
              </w:rPr>
              <w:t>砷</w:t>
            </w:r>
          </w:p>
        </w:tc>
        <w:tc>
          <w:tcPr>
            <w:tcW w:w="1210" w:type="dxa"/>
            <w:vAlign w:val="top"/>
          </w:tcPr>
          <w:p>
            <w:pPr>
              <w:pStyle w:val="TableText"/>
              <w:ind w:left="510"/>
              <w:spacing w:before="171" w:line="232" w:lineRule="auto"/>
              <w:rPr/>
            </w:pPr>
            <w:r>
              <w:rPr>
                <w:b/>
                <w:bCs/>
                <w:spacing w:val="-3"/>
              </w:rPr>
              <w:t>镉</w:t>
            </w:r>
          </w:p>
        </w:tc>
        <w:tc>
          <w:tcPr>
            <w:tcW w:w="1041" w:type="dxa"/>
            <w:vAlign w:val="top"/>
          </w:tcPr>
          <w:p>
            <w:pPr>
              <w:pStyle w:val="TableText"/>
              <w:ind w:left="424"/>
              <w:spacing w:before="171" w:line="231" w:lineRule="auto"/>
              <w:rPr/>
            </w:pPr>
            <w:r>
              <w:rPr>
                <w:b/>
                <w:bCs/>
                <w:spacing w:val="-3"/>
              </w:rPr>
              <w:t>铅</w:t>
            </w:r>
          </w:p>
        </w:tc>
        <w:tc>
          <w:tcPr>
            <w:tcW w:w="1059" w:type="dxa"/>
            <w:vAlign w:val="top"/>
          </w:tcPr>
          <w:p>
            <w:pPr>
              <w:pStyle w:val="TableText"/>
              <w:ind w:left="437"/>
              <w:spacing w:before="171" w:line="231" w:lineRule="auto"/>
              <w:rPr/>
            </w:pPr>
            <w:r>
              <w:rPr>
                <w:b/>
                <w:bCs/>
                <w:spacing w:val="-3"/>
              </w:rPr>
              <w:t>镍</w:t>
            </w:r>
          </w:p>
        </w:tc>
        <w:tc>
          <w:tcPr>
            <w:tcW w:w="1113" w:type="dxa"/>
            <w:vAlign w:val="top"/>
          </w:tcPr>
          <w:p>
            <w:pPr>
              <w:pStyle w:val="TableText"/>
              <w:ind w:left="252" w:right="132" w:hanging="102"/>
              <w:spacing w:before="38" w:line="233" w:lineRule="auto"/>
              <w:rPr/>
            </w:pPr>
            <w:r>
              <w:rPr>
                <w:b/>
                <w:bCs/>
                <w:spacing w:val="4"/>
              </w:rPr>
              <w:t>可萃取性</w:t>
            </w:r>
            <w:r>
              <w:rPr/>
              <w:t xml:space="preserve"> </w:t>
            </w:r>
            <w:r>
              <w:rPr>
                <w:b/>
                <w:bCs/>
                <w:spacing w:val="3"/>
              </w:rPr>
              <w:t>石油烃</w:t>
            </w:r>
          </w:p>
        </w:tc>
      </w:tr>
      <w:tr>
        <w:trPr>
          <w:trHeight w:val="276" w:hRule="atLeast"/>
        </w:trPr>
        <w:tc>
          <w:tcPr>
            <w:tcW w:w="928" w:type="dxa"/>
            <w:vAlign w:val="top"/>
          </w:tcPr>
          <w:p>
            <w:pPr>
              <w:pStyle w:val="TableText"/>
              <w:ind w:left="150"/>
              <w:spacing w:before="30" w:line="217" w:lineRule="auto"/>
              <w:rPr/>
            </w:pPr>
            <w:r>
              <w:rPr>
                <w:rFonts w:ascii="Times New Roman" w:hAnsi="Times New Roman" w:eastAsia="Times New Roman" w:cs="Times New Roman"/>
                <w:spacing w:val="4"/>
              </w:rPr>
              <w:t>2024</w:t>
            </w:r>
            <w:r>
              <w:rPr>
                <w:spacing w:val="4"/>
              </w:rPr>
              <w:t>年</w:t>
            </w:r>
          </w:p>
        </w:tc>
        <w:tc>
          <w:tcPr>
            <w:tcW w:w="674" w:type="dxa"/>
            <w:vAlign w:val="top"/>
            <w:vMerge w:val="restart"/>
            <w:tcBorders>
              <w:bottom w:val="nil"/>
            </w:tcBorders>
          </w:tcPr>
          <w:p>
            <w:pPr>
              <w:ind w:left="146"/>
              <w:spacing w:before="2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AS</w:t>
            </w:r>
            <w:r>
              <w:rPr>
                <w:rFonts w:ascii="Times New Roman" w:hAnsi="Times New Roman" w:eastAsia="Times New Roman" w:cs="Times New Roman"/>
                <w:sz w:val="20"/>
                <w:szCs w:val="20"/>
                <w:spacing w:val="13"/>
              </w:rPr>
              <w:t>1</w:t>
            </w:r>
          </w:p>
        </w:tc>
        <w:tc>
          <w:tcPr>
            <w:tcW w:w="1020" w:type="dxa"/>
            <w:vAlign w:val="top"/>
          </w:tcPr>
          <w:p>
            <w:pPr>
              <w:ind w:left="277"/>
              <w:spacing w:before="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0.016</w:t>
            </w:r>
          </w:p>
        </w:tc>
        <w:tc>
          <w:tcPr>
            <w:tcW w:w="939" w:type="dxa"/>
            <w:vAlign w:val="top"/>
          </w:tcPr>
          <w:p>
            <w:pPr>
              <w:ind w:left="236"/>
              <w:spacing w:before="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0.037</w:t>
            </w:r>
          </w:p>
        </w:tc>
        <w:tc>
          <w:tcPr>
            <w:tcW w:w="1005" w:type="dxa"/>
            <w:vAlign w:val="top"/>
          </w:tcPr>
          <w:p>
            <w:pPr>
              <w:ind w:left="322"/>
              <w:spacing w:before="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0.48</w:t>
            </w:r>
          </w:p>
        </w:tc>
        <w:tc>
          <w:tcPr>
            <w:tcW w:w="933" w:type="dxa"/>
            <w:vAlign w:val="top"/>
          </w:tcPr>
          <w:p>
            <w:pPr>
              <w:ind w:left="181"/>
              <w:spacing w:before="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0.0037</w:t>
            </w:r>
          </w:p>
        </w:tc>
        <w:tc>
          <w:tcPr>
            <w:tcW w:w="1210" w:type="dxa"/>
            <w:vAlign w:val="top"/>
          </w:tcPr>
          <w:p>
            <w:pPr>
              <w:ind w:left="268"/>
              <w:spacing w:before="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0.00028</w:t>
            </w:r>
          </w:p>
        </w:tc>
        <w:tc>
          <w:tcPr>
            <w:tcW w:w="1041" w:type="dxa"/>
            <w:vAlign w:val="top"/>
          </w:tcPr>
          <w:p>
            <w:pPr>
              <w:ind w:left="183"/>
              <w:spacing w:before="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0.00072</w:t>
            </w:r>
          </w:p>
        </w:tc>
        <w:tc>
          <w:tcPr>
            <w:tcW w:w="1059" w:type="dxa"/>
            <w:vAlign w:val="top"/>
          </w:tcPr>
          <w:p>
            <w:pPr>
              <w:ind w:left="194"/>
              <w:spacing w:before="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0.00677</w:t>
            </w:r>
          </w:p>
        </w:tc>
        <w:tc>
          <w:tcPr>
            <w:tcW w:w="1113" w:type="dxa"/>
            <w:vAlign w:val="top"/>
          </w:tcPr>
          <w:p>
            <w:pPr>
              <w:ind w:left="378"/>
              <w:spacing w:before="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0.13</w:t>
            </w:r>
          </w:p>
        </w:tc>
      </w:tr>
      <w:tr>
        <w:trPr>
          <w:trHeight w:val="276" w:hRule="atLeast"/>
        </w:trPr>
        <w:tc>
          <w:tcPr>
            <w:tcW w:w="928" w:type="dxa"/>
            <w:vAlign w:val="top"/>
          </w:tcPr>
          <w:p>
            <w:pPr>
              <w:pStyle w:val="TableText"/>
              <w:ind w:left="150"/>
              <w:spacing w:before="33" w:line="215" w:lineRule="auto"/>
              <w:rPr/>
            </w:pPr>
            <w:r>
              <w:rPr>
                <w:rFonts w:ascii="Times New Roman" w:hAnsi="Times New Roman" w:eastAsia="Times New Roman" w:cs="Times New Roman"/>
                <w:spacing w:val="4"/>
              </w:rPr>
              <w:t>2025</w:t>
            </w:r>
            <w:r>
              <w:rPr>
                <w:spacing w:val="4"/>
              </w:rPr>
              <w:t>年</w:t>
            </w:r>
          </w:p>
        </w:tc>
        <w:tc>
          <w:tcPr>
            <w:tcW w:w="674" w:type="dxa"/>
            <w:vAlign w:val="top"/>
            <w:vMerge w:val="continue"/>
            <w:tcBorders>
              <w:top w:val="nil"/>
            </w:tcBorders>
          </w:tcPr>
          <w:p>
            <w:pPr>
              <w:rPr>
                <w:rFonts w:ascii="Arial"/>
                <w:sz w:val="21"/>
              </w:rPr>
            </w:pPr>
            <w:r/>
          </w:p>
        </w:tc>
        <w:tc>
          <w:tcPr>
            <w:tcW w:w="1020" w:type="dxa"/>
            <w:vAlign w:val="top"/>
          </w:tcPr>
          <w:p>
            <w:pPr>
              <w:ind w:left="160"/>
              <w:spacing w:before="70" w:line="19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&lt;0.006↓</w:t>
            </w:r>
          </w:p>
        </w:tc>
        <w:tc>
          <w:tcPr>
            <w:tcW w:w="939" w:type="dxa"/>
            <w:vAlign w:val="top"/>
          </w:tcPr>
          <w:p>
            <w:pPr>
              <w:ind w:left="236"/>
              <w:spacing w:before="70" w:line="19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0.09↑</w:t>
            </w:r>
          </w:p>
        </w:tc>
        <w:tc>
          <w:tcPr>
            <w:tcW w:w="1005" w:type="dxa"/>
            <w:vAlign w:val="top"/>
          </w:tcPr>
          <w:p>
            <w:pPr>
              <w:ind w:left="269"/>
              <w:spacing w:before="70" w:line="19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0.49↑</w:t>
            </w:r>
          </w:p>
        </w:tc>
        <w:tc>
          <w:tcPr>
            <w:tcW w:w="933" w:type="dxa"/>
            <w:vAlign w:val="top"/>
          </w:tcPr>
          <w:p>
            <w:pPr>
              <w:ind w:left="181"/>
              <w:spacing w:before="70" w:line="19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0.001↓</w:t>
            </w:r>
          </w:p>
        </w:tc>
        <w:tc>
          <w:tcPr>
            <w:tcW w:w="1210" w:type="dxa"/>
            <w:vAlign w:val="top"/>
          </w:tcPr>
          <w:p>
            <w:pPr>
              <w:ind w:left="215"/>
              <w:spacing w:before="70" w:line="19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0.00016↓</w:t>
            </w:r>
          </w:p>
        </w:tc>
        <w:tc>
          <w:tcPr>
            <w:tcW w:w="1041" w:type="dxa"/>
            <w:vAlign w:val="top"/>
          </w:tcPr>
          <w:p>
            <w:pPr>
              <w:ind w:left="131"/>
              <w:spacing w:before="70" w:line="19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0.00415↑</w:t>
            </w:r>
          </w:p>
        </w:tc>
        <w:tc>
          <w:tcPr>
            <w:tcW w:w="1059" w:type="dxa"/>
            <w:vAlign w:val="top"/>
          </w:tcPr>
          <w:p>
            <w:pPr>
              <w:ind w:left="141"/>
              <w:spacing w:before="70" w:line="19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0.00349↓</w:t>
            </w:r>
          </w:p>
        </w:tc>
        <w:tc>
          <w:tcPr>
            <w:tcW w:w="1113" w:type="dxa"/>
            <w:vAlign w:val="top"/>
          </w:tcPr>
          <w:p>
            <w:pPr>
              <w:ind w:left="325"/>
              <w:spacing w:before="70" w:line="19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0.21↑</w:t>
            </w:r>
          </w:p>
        </w:tc>
      </w:tr>
      <w:tr>
        <w:trPr>
          <w:trHeight w:val="277" w:hRule="atLeast"/>
        </w:trPr>
        <w:tc>
          <w:tcPr>
            <w:tcW w:w="928" w:type="dxa"/>
            <w:vAlign w:val="top"/>
          </w:tcPr>
          <w:p>
            <w:pPr>
              <w:pStyle w:val="TableText"/>
              <w:ind w:left="150"/>
              <w:spacing w:before="35" w:line="214" w:lineRule="auto"/>
              <w:rPr/>
            </w:pPr>
            <w:r>
              <w:rPr>
                <w:rFonts w:ascii="Times New Roman" w:hAnsi="Times New Roman" w:eastAsia="Times New Roman" w:cs="Times New Roman"/>
                <w:spacing w:val="4"/>
              </w:rPr>
              <w:t>2024</w:t>
            </w:r>
            <w:r>
              <w:rPr>
                <w:spacing w:val="4"/>
              </w:rPr>
              <w:t>年</w:t>
            </w:r>
          </w:p>
        </w:tc>
        <w:tc>
          <w:tcPr>
            <w:tcW w:w="674" w:type="dxa"/>
            <w:vAlign w:val="top"/>
            <w:vMerge w:val="restart"/>
            <w:tcBorders>
              <w:bottom w:val="nil"/>
            </w:tcBorders>
          </w:tcPr>
          <w:p>
            <w:pPr>
              <w:ind w:left="160"/>
              <w:spacing w:before="2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ES</w:t>
            </w:r>
            <w:r>
              <w:rPr>
                <w:rFonts w:ascii="Times New Roman" w:hAnsi="Times New Roman" w:eastAsia="Times New Roman" w:cs="Times New Roman"/>
                <w:sz w:val="20"/>
                <w:szCs w:val="20"/>
                <w:spacing w:val="11"/>
              </w:rPr>
              <w:t>1</w:t>
            </w:r>
          </w:p>
        </w:tc>
        <w:tc>
          <w:tcPr>
            <w:tcW w:w="1020" w:type="dxa"/>
            <w:vAlign w:val="top"/>
          </w:tcPr>
          <w:p>
            <w:pPr>
              <w:ind w:left="277"/>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0.025</w:t>
            </w:r>
          </w:p>
        </w:tc>
        <w:tc>
          <w:tcPr>
            <w:tcW w:w="939" w:type="dxa"/>
            <w:vAlign w:val="top"/>
          </w:tcPr>
          <w:p>
            <w:pPr>
              <w:ind w:left="236"/>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0.081</w:t>
            </w:r>
          </w:p>
        </w:tc>
        <w:tc>
          <w:tcPr>
            <w:tcW w:w="1005" w:type="dxa"/>
            <w:vAlign w:val="top"/>
          </w:tcPr>
          <w:p>
            <w:pPr>
              <w:ind w:left="322"/>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0.24</w:t>
            </w:r>
          </w:p>
        </w:tc>
        <w:tc>
          <w:tcPr>
            <w:tcW w:w="933" w:type="dxa"/>
            <w:vAlign w:val="top"/>
          </w:tcPr>
          <w:p>
            <w:pPr>
              <w:ind w:left="181"/>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0.0004</w:t>
            </w:r>
          </w:p>
        </w:tc>
        <w:tc>
          <w:tcPr>
            <w:tcW w:w="1210" w:type="dxa"/>
            <w:vAlign w:val="top"/>
          </w:tcPr>
          <w:p>
            <w:pPr>
              <w:ind w:left="268"/>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0.00141</w:t>
            </w:r>
          </w:p>
        </w:tc>
        <w:tc>
          <w:tcPr>
            <w:tcW w:w="1041" w:type="dxa"/>
            <w:vAlign w:val="top"/>
          </w:tcPr>
          <w:p>
            <w:pPr>
              <w:ind w:left="183"/>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0.00157</w:t>
            </w:r>
          </w:p>
        </w:tc>
        <w:tc>
          <w:tcPr>
            <w:tcW w:w="1059" w:type="dxa"/>
            <w:vAlign w:val="top"/>
          </w:tcPr>
          <w:p>
            <w:pPr>
              <w:ind w:left="246"/>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0.0154</w:t>
            </w:r>
          </w:p>
        </w:tc>
        <w:tc>
          <w:tcPr>
            <w:tcW w:w="1113" w:type="dxa"/>
            <w:vAlign w:val="top"/>
          </w:tcPr>
          <w:p>
            <w:pPr>
              <w:ind w:left="378"/>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0.08</w:t>
            </w:r>
          </w:p>
        </w:tc>
      </w:tr>
      <w:tr>
        <w:trPr>
          <w:trHeight w:val="281" w:hRule="atLeast"/>
        </w:trPr>
        <w:tc>
          <w:tcPr>
            <w:tcW w:w="928" w:type="dxa"/>
            <w:vAlign w:val="top"/>
          </w:tcPr>
          <w:p>
            <w:pPr>
              <w:pStyle w:val="TableText"/>
              <w:ind w:left="150"/>
              <w:spacing w:before="34" w:line="218" w:lineRule="auto"/>
              <w:rPr/>
            </w:pPr>
            <w:r>
              <w:rPr>
                <w:rFonts w:ascii="Times New Roman" w:hAnsi="Times New Roman" w:eastAsia="Times New Roman" w:cs="Times New Roman"/>
                <w:spacing w:val="4"/>
              </w:rPr>
              <w:t>2025</w:t>
            </w:r>
            <w:r>
              <w:rPr>
                <w:spacing w:val="4"/>
              </w:rPr>
              <w:t>年</w:t>
            </w:r>
          </w:p>
        </w:tc>
        <w:tc>
          <w:tcPr>
            <w:tcW w:w="674" w:type="dxa"/>
            <w:vAlign w:val="top"/>
            <w:vMerge w:val="continue"/>
            <w:tcBorders>
              <w:top w:val="nil"/>
            </w:tcBorders>
          </w:tcPr>
          <w:p>
            <w:pPr>
              <w:rPr>
                <w:rFonts w:ascii="Arial"/>
                <w:sz w:val="21"/>
              </w:rPr>
            </w:pPr>
            <w:r/>
          </w:p>
        </w:tc>
        <w:tc>
          <w:tcPr>
            <w:tcW w:w="1020" w:type="dxa"/>
            <w:vAlign w:val="top"/>
          </w:tcPr>
          <w:p>
            <w:pPr>
              <w:ind w:left="160"/>
              <w:spacing w:before="71" w:line="19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&lt;0.006↓</w:t>
            </w:r>
          </w:p>
        </w:tc>
        <w:tc>
          <w:tcPr>
            <w:tcW w:w="939" w:type="dxa"/>
            <w:vAlign w:val="top"/>
          </w:tcPr>
          <w:p>
            <w:pPr>
              <w:ind w:left="183"/>
              <w:spacing w:before="71" w:line="19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0.012↓</w:t>
            </w:r>
          </w:p>
        </w:tc>
        <w:tc>
          <w:tcPr>
            <w:tcW w:w="1005" w:type="dxa"/>
            <w:vAlign w:val="top"/>
          </w:tcPr>
          <w:p>
            <w:pPr>
              <w:ind w:left="269"/>
              <w:spacing w:before="71" w:line="19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0.39↑</w:t>
            </w:r>
          </w:p>
        </w:tc>
        <w:tc>
          <w:tcPr>
            <w:tcW w:w="933" w:type="dxa"/>
            <w:vAlign w:val="top"/>
          </w:tcPr>
          <w:p>
            <w:pPr>
              <w:ind w:left="128"/>
              <w:spacing w:before="71" w:line="19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0.0012↓</w:t>
            </w:r>
          </w:p>
        </w:tc>
        <w:tc>
          <w:tcPr>
            <w:tcW w:w="1210" w:type="dxa"/>
            <w:vAlign w:val="top"/>
          </w:tcPr>
          <w:p>
            <w:pPr>
              <w:ind w:left="151"/>
              <w:spacing w:before="71" w:line="19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&lt;0.00005↓</w:t>
            </w:r>
          </w:p>
        </w:tc>
        <w:tc>
          <w:tcPr>
            <w:tcW w:w="1041" w:type="dxa"/>
            <w:vAlign w:val="top"/>
          </w:tcPr>
          <w:p>
            <w:pPr>
              <w:ind w:left="131"/>
              <w:spacing w:before="71" w:line="19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0.00948↑</w:t>
            </w:r>
          </w:p>
        </w:tc>
        <w:tc>
          <w:tcPr>
            <w:tcW w:w="1059" w:type="dxa"/>
            <w:vAlign w:val="top"/>
          </w:tcPr>
          <w:p>
            <w:pPr>
              <w:ind w:left="141"/>
              <w:spacing w:before="71" w:line="19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0.00412↓</w:t>
            </w:r>
          </w:p>
        </w:tc>
        <w:tc>
          <w:tcPr>
            <w:tcW w:w="1113" w:type="dxa"/>
            <w:vAlign w:val="top"/>
          </w:tcPr>
          <w:p>
            <w:pPr>
              <w:ind w:left="325"/>
              <w:spacing w:before="71" w:line="19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0.29↑</w:t>
            </w:r>
          </w:p>
        </w:tc>
      </w:tr>
    </w:tbl>
    <w:p>
      <w:pPr>
        <w:pStyle w:val="BodyText"/>
        <w:ind w:left="128" w:right="99" w:firstLine="481"/>
        <w:spacing w:before="113" w:line="360" w:lineRule="auto"/>
        <w:jc w:val="both"/>
        <w:rPr>
          <w:rFonts w:ascii="FangSong" w:hAnsi="FangSong" w:eastAsia="FangSong" w:cs="FangSong"/>
          <w:sz w:val="24"/>
          <w:szCs w:val="24"/>
        </w:rPr>
      </w:pPr>
      <w:r>
        <w:rPr>
          <w:rFonts w:ascii="FangSong" w:hAnsi="FangSong" w:eastAsia="FangSong" w:cs="FangSong"/>
          <w:sz w:val="24"/>
          <w:szCs w:val="24"/>
          <w:spacing w:val="9"/>
        </w:rPr>
        <w:t>在后续的监测中，应根据《工业企业土壤和地下水自行监测技术指南（试行）》（</w:t>
      </w:r>
      <w:r>
        <w:rPr>
          <w:sz w:val="24"/>
          <w:szCs w:val="24"/>
        </w:rPr>
        <w:t>HJ</w:t>
      </w:r>
      <w:r>
        <w:rPr>
          <w:sz w:val="24"/>
          <w:szCs w:val="24"/>
          <w:spacing w:val="16"/>
          <w:w w:val="101"/>
        </w:rPr>
        <w:t xml:space="preserve"> </w:t>
      </w:r>
      <w:r>
        <w:rPr>
          <w:sz w:val="24"/>
          <w:szCs w:val="24"/>
          <w:spacing w:val="-1"/>
        </w:rPr>
        <w:t>1209-2021</w:t>
      </w:r>
      <w:r>
        <w:rPr>
          <w:rFonts w:ascii="FangSong" w:hAnsi="FangSong" w:eastAsia="FangSong" w:cs="FangSong"/>
          <w:sz w:val="24"/>
          <w:szCs w:val="24"/>
          <w:spacing w:val="-1"/>
        </w:rPr>
        <w:t>）要求，当有点位出现下列</w:t>
      </w:r>
      <w:r>
        <w:rPr>
          <w:rFonts w:ascii="FangSong" w:hAnsi="FangSong" w:eastAsia="FangSong" w:cs="FangSong"/>
          <w:sz w:val="24"/>
          <w:szCs w:val="24"/>
          <w:spacing w:val="-2"/>
        </w:rPr>
        <w:t>任一种情况时，该点位监测频次应至少提高</w:t>
      </w:r>
      <w:r>
        <w:rPr>
          <w:sz w:val="24"/>
          <w:szCs w:val="24"/>
          <w:spacing w:val="-2"/>
        </w:rPr>
        <w:t>1</w:t>
      </w:r>
      <w:r>
        <w:rPr>
          <w:rFonts w:ascii="FangSong" w:hAnsi="FangSong" w:eastAsia="FangSong" w:cs="FangSong"/>
          <w:sz w:val="24"/>
          <w:szCs w:val="24"/>
          <w:spacing w:val="-2"/>
        </w:rPr>
        <w:t>倍，直至至</w:t>
      </w:r>
      <w:r>
        <w:rPr>
          <w:rFonts w:ascii="FangSong" w:hAnsi="FangSong" w:eastAsia="FangSong" w:cs="FangSong"/>
          <w:sz w:val="24"/>
          <w:szCs w:val="24"/>
        </w:rPr>
        <w:t xml:space="preserve"> </w:t>
      </w:r>
      <w:r>
        <w:rPr>
          <w:rFonts w:ascii="FangSong" w:hAnsi="FangSong" w:eastAsia="FangSong" w:cs="FangSong"/>
          <w:sz w:val="24"/>
          <w:szCs w:val="24"/>
        </w:rPr>
        <w:t>少连续</w:t>
      </w:r>
      <w:r>
        <w:rPr>
          <w:sz w:val="24"/>
          <w:szCs w:val="24"/>
        </w:rPr>
        <w:t>2</w:t>
      </w:r>
      <w:r>
        <w:rPr>
          <w:rFonts w:ascii="FangSong" w:hAnsi="FangSong" w:eastAsia="FangSong" w:cs="FangSong"/>
          <w:sz w:val="24"/>
          <w:szCs w:val="24"/>
        </w:rPr>
        <w:t>次监测结果均不再出现下列情况，方可恢复原有监测频次；经分析污染可能不由该企</w:t>
      </w:r>
      <w:r>
        <w:rPr>
          <w:rFonts w:ascii="FangSong" w:hAnsi="FangSong" w:eastAsia="FangSong" w:cs="FangSong"/>
          <w:sz w:val="24"/>
          <w:szCs w:val="24"/>
          <w:spacing w:val="9"/>
        </w:rPr>
        <w:t xml:space="preserve"> </w:t>
      </w:r>
      <w:r>
        <w:rPr>
          <w:rFonts w:ascii="FangSong" w:hAnsi="FangSong" w:eastAsia="FangSong" w:cs="FangSong"/>
          <w:sz w:val="24"/>
          <w:szCs w:val="24"/>
          <w:spacing w:val="-1"/>
        </w:rPr>
        <w:t>业生产活动造成时除外，但应在监测结果分析中一并说明：</w:t>
      </w:r>
    </w:p>
    <w:p>
      <w:pPr>
        <w:pStyle w:val="BodyText"/>
        <w:ind w:left="130" w:right="99" w:firstLine="470"/>
        <w:spacing w:before="2" w:line="291" w:lineRule="auto"/>
        <w:rPr>
          <w:rFonts w:ascii="FangSong" w:hAnsi="FangSong" w:eastAsia="FangSong" w:cs="FangSong"/>
          <w:sz w:val="24"/>
          <w:szCs w:val="24"/>
        </w:rPr>
      </w:pPr>
      <w:r>
        <w:rPr>
          <w:sz w:val="24"/>
          <w:szCs w:val="24"/>
        </w:rPr>
        <w:t>a</w:t>
      </w:r>
      <w:r>
        <w:rPr>
          <w:rFonts w:ascii="FangSong" w:hAnsi="FangSong" w:eastAsia="FangSong" w:cs="FangSong"/>
          <w:sz w:val="24"/>
          <w:szCs w:val="24"/>
        </w:rPr>
        <w:t>）土壤污染物浓度超过</w:t>
      </w:r>
      <w:r>
        <w:rPr>
          <w:sz w:val="24"/>
          <w:szCs w:val="24"/>
        </w:rPr>
        <w:t>GB 36600</w:t>
      </w:r>
      <w:r>
        <w:rPr>
          <w:rFonts w:ascii="FangSong" w:hAnsi="FangSong" w:eastAsia="FangSong" w:cs="FangSong"/>
          <w:sz w:val="24"/>
          <w:szCs w:val="24"/>
        </w:rPr>
        <w:t>中第二类用地筛选值、土壤环境背景值或地方</w:t>
      </w:r>
      <w:r>
        <w:rPr>
          <w:rFonts w:ascii="FangSong" w:hAnsi="FangSong" w:eastAsia="FangSong" w:cs="FangSong"/>
          <w:sz w:val="24"/>
          <w:szCs w:val="24"/>
          <w:spacing w:val="-1"/>
        </w:rPr>
        <w:t>土壤污染</w:t>
      </w:r>
      <w:r>
        <w:rPr>
          <w:rFonts w:ascii="FangSong" w:hAnsi="FangSong" w:eastAsia="FangSong" w:cs="FangSong"/>
          <w:sz w:val="24"/>
          <w:szCs w:val="24"/>
        </w:rPr>
        <w:t xml:space="preserve"> </w:t>
      </w:r>
      <w:r>
        <w:rPr>
          <w:rFonts w:ascii="FangSong" w:hAnsi="FangSong" w:eastAsia="FangSong" w:cs="FangSong"/>
          <w:sz w:val="24"/>
          <w:szCs w:val="24"/>
          <w:spacing w:val="-3"/>
        </w:rPr>
        <w:t>风险管控标准；</w:t>
      </w:r>
    </w:p>
    <w:p>
      <w:pPr>
        <w:pStyle w:val="BodyText"/>
        <w:ind w:left="128" w:right="101" w:firstLine="463"/>
        <w:spacing w:before="178" w:line="291" w:lineRule="auto"/>
        <w:rPr>
          <w:rFonts w:ascii="FangSong" w:hAnsi="FangSong" w:eastAsia="FangSong" w:cs="FangSong"/>
          <w:sz w:val="24"/>
          <w:szCs w:val="24"/>
        </w:rPr>
      </w:pPr>
      <w:r>
        <w:rPr>
          <w:sz w:val="24"/>
          <w:szCs w:val="24"/>
        </w:rPr>
        <w:t>b</w:t>
      </w:r>
      <w:r>
        <w:rPr>
          <w:rFonts w:ascii="FangSong" w:hAnsi="FangSong" w:eastAsia="FangSong" w:cs="FangSong"/>
          <w:sz w:val="24"/>
          <w:szCs w:val="24"/>
        </w:rPr>
        <w:t>）地下水污染物浓度超过该地区地下水功能区划在</w:t>
      </w:r>
      <w:r>
        <w:rPr>
          <w:sz w:val="24"/>
          <w:szCs w:val="24"/>
        </w:rPr>
        <w:t>GB/T</w:t>
      </w:r>
      <w:r>
        <w:rPr>
          <w:sz w:val="24"/>
          <w:szCs w:val="24"/>
          <w:spacing w:val="30"/>
        </w:rPr>
        <w:t xml:space="preserve"> </w:t>
      </w:r>
      <w:r>
        <w:rPr>
          <w:sz w:val="24"/>
          <w:szCs w:val="24"/>
        </w:rPr>
        <w:t>14</w:t>
      </w:r>
      <w:r>
        <w:rPr>
          <w:sz w:val="24"/>
          <w:szCs w:val="24"/>
          <w:spacing w:val="-1"/>
        </w:rPr>
        <w:t>848</w:t>
      </w:r>
      <w:r>
        <w:rPr>
          <w:rFonts w:ascii="FangSong" w:hAnsi="FangSong" w:eastAsia="FangSong" w:cs="FangSong"/>
          <w:sz w:val="24"/>
          <w:szCs w:val="24"/>
          <w:spacing w:val="-1"/>
        </w:rPr>
        <w:t>中对应的限值或地方生态</w:t>
      </w:r>
      <w:r>
        <w:rPr>
          <w:rFonts w:ascii="FangSong" w:hAnsi="FangSong" w:eastAsia="FangSong" w:cs="FangSong"/>
          <w:sz w:val="24"/>
          <w:szCs w:val="24"/>
        </w:rPr>
        <w:t xml:space="preserve"> </w:t>
      </w:r>
      <w:r>
        <w:rPr>
          <w:rFonts w:ascii="FangSong" w:hAnsi="FangSong" w:eastAsia="FangSong" w:cs="FangSong"/>
          <w:sz w:val="24"/>
          <w:szCs w:val="24"/>
          <w:spacing w:val="-1"/>
        </w:rPr>
        <w:t>环境部门判定的该地区地下水环境本底值；</w:t>
      </w:r>
    </w:p>
    <w:p>
      <w:pPr>
        <w:pStyle w:val="BodyText"/>
        <w:ind w:left="600"/>
        <w:spacing w:before="180" w:line="221" w:lineRule="auto"/>
        <w:rPr>
          <w:rFonts w:ascii="FangSong" w:hAnsi="FangSong" w:eastAsia="FangSong" w:cs="FangSong"/>
          <w:sz w:val="24"/>
          <w:szCs w:val="24"/>
        </w:rPr>
      </w:pPr>
      <w:r>
        <w:rPr>
          <w:sz w:val="24"/>
          <w:szCs w:val="24"/>
          <w:spacing w:val="-1"/>
        </w:rPr>
        <w:t>c</w:t>
      </w:r>
      <w:r>
        <w:rPr>
          <w:rFonts w:ascii="FangSong" w:hAnsi="FangSong" w:eastAsia="FangSong" w:cs="FangSong"/>
          <w:sz w:val="24"/>
          <w:szCs w:val="24"/>
          <w:spacing w:val="-1"/>
        </w:rPr>
        <w:t>）地下水污染物监测值高于该点位前次监测值</w:t>
      </w:r>
      <w:r>
        <w:rPr>
          <w:sz w:val="24"/>
          <w:szCs w:val="24"/>
          <w:spacing w:val="-1"/>
        </w:rPr>
        <w:t>30%</w:t>
      </w:r>
      <w:r>
        <w:rPr>
          <w:rFonts w:ascii="FangSong" w:hAnsi="FangSong" w:eastAsia="FangSong" w:cs="FangSong"/>
          <w:sz w:val="24"/>
          <w:szCs w:val="24"/>
          <w:spacing w:val="-1"/>
        </w:rPr>
        <w:t>以上；</w:t>
      </w:r>
    </w:p>
    <w:p>
      <w:pPr>
        <w:spacing w:line="221" w:lineRule="auto"/>
        <w:sectPr>
          <w:headerReference w:type="default" r:id="rId147"/>
          <w:footerReference w:type="default" r:id="rId148"/>
          <w:pgSz w:w="11906" w:h="16839"/>
          <w:pgMar w:top="1139" w:right="980" w:bottom="1252" w:left="967" w:header="831" w:footer="1090" w:gutter="0"/>
        </w:sectPr>
        <w:rPr>
          <w:rFonts w:ascii="FangSong" w:hAnsi="FangSong" w:eastAsia="FangSong" w:cs="FangSong"/>
          <w:sz w:val="24"/>
          <w:szCs w:val="24"/>
        </w:rPr>
      </w:pPr>
    </w:p>
    <w:p>
      <w:pPr>
        <w:spacing w:line="333" w:lineRule="auto"/>
        <w:rPr>
          <w:rFonts w:ascii="Arial"/>
          <w:sz w:val="21"/>
        </w:rPr>
      </w:pPr>
      <w:r/>
    </w:p>
    <w:p>
      <w:pPr>
        <w:pStyle w:val="BodyText"/>
        <w:ind w:left="487"/>
        <w:spacing w:before="78" w:line="221" w:lineRule="auto"/>
        <w:rPr>
          <w:rFonts w:ascii="FangSong" w:hAnsi="FangSong" w:eastAsia="FangSong" w:cs="FangSong"/>
          <w:sz w:val="24"/>
          <w:szCs w:val="24"/>
        </w:rPr>
      </w:pPr>
      <w:r>
        <w:rPr>
          <w:sz w:val="24"/>
          <w:szCs w:val="24"/>
          <w:spacing w:val="-1"/>
        </w:rPr>
        <w:t>d</w:t>
      </w:r>
      <w:r>
        <w:rPr>
          <w:rFonts w:ascii="FangSong" w:hAnsi="FangSong" w:eastAsia="FangSong" w:cs="FangSong"/>
          <w:sz w:val="24"/>
          <w:szCs w:val="24"/>
          <w:spacing w:val="-1"/>
        </w:rPr>
        <w:t>）地下水污染物监测值连续</w:t>
      </w:r>
      <w:r>
        <w:rPr>
          <w:sz w:val="24"/>
          <w:szCs w:val="24"/>
          <w:spacing w:val="-1"/>
        </w:rPr>
        <w:t>4</w:t>
      </w:r>
      <w:r>
        <w:rPr>
          <w:rFonts w:ascii="FangSong" w:hAnsi="FangSong" w:eastAsia="FangSong" w:cs="FangSong"/>
          <w:sz w:val="24"/>
          <w:szCs w:val="24"/>
          <w:spacing w:val="-1"/>
        </w:rPr>
        <w:t>次以上呈上升趋势。</w:t>
      </w:r>
    </w:p>
    <w:p>
      <w:pPr>
        <w:spacing w:line="221" w:lineRule="auto"/>
        <w:sectPr>
          <w:headerReference w:type="default" r:id="rId29"/>
          <w:footerReference w:type="default" r:id="rId149"/>
          <w:pgSz w:w="11906" w:h="16839"/>
          <w:pgMar w:top="1139" w:right="1080" w:bottom="1252" w:left="1080" w:header="831" w:footer="1090" w:gutter="0"/>
        </w:sectPr>
        <w:rPr>
          <w:rFonts w:ascii="FangSong" w:hAnsi="FangSong" w:eastAsia="FangSong" w:cs="FangSong"/>
          <w:sz w:val="24"/>
          <w:szCs w:val="24"/>
        </w:rPr>
      </w:pPr>
    </w:p>
    <w:p>
      <w:pPr>
        <w:spacing w:line="378" w:lineRule="auto"/>
        <w:rPr>
          <w:rFonts w:ascii="Arial"/>
          <w:sz w:val="21"/>
        </w:rPr>
      </w:pPr>
      <w:r/>
    </w:p>
    <w:p>
      <w:pPr>
        <w:pStyle w:val="BodyText"/>
        <w:ind w:left="8"/>
        <w:spacing w:before="91" w:line="222" w:lineRule="auto"/>
        <w:outlineLvl w:val="0"/>
        <w:rPr>
          <w:rFonts w:ascii="FangSong" w:hAnsi="FangSong" w:eastAsia="FangSong" w:cs="FangSong"/>
          <w:sz w:val="28"/>
          <w:szCs w:val="28"/>
        </w:rPr>
      </w:pPr>
      <w:bookmarkStart w:name="bookmark32" w:id="37"/>
      <w:bookmarkEnd w:id="37"/>
      <w:bookmarkStart w:name="bookmark33" w:id="38"/>
      <w:bookmarkEnd w:id="38"/>
      <w:r>
        <w:rPr>
          <w:sz w:val="28"/>
          <w:szCs w:val="28"/>
          <w:b/>
          <w:bCs/>
          <w:spacing w:val="-6"/>
        </w:rPr>
        <w:t>9</w:t>
      </w:r>
      <w:r>
        <w:rPr>
          <w:sz w:val="28"/>
          <w:szCs w:val="28"/>
          <w:b/>
          <w:bCs/>
          <w:spacing w:val="17"/>
        </w:rPr>
        <w:t xml:space="preserve">  </w:t>
      </w:r>
      <w:r>
        <w:rPr>
          <w:rFonts w:ascii="FangSong" w:hAnsi="FangSong" w:eastAsia="FangSong" w:cs="FangSong"/>
          <w:sz w:val="28"/>
          <w:szCs w:val="28"/>
          <w:b/>
          <w:bCs/>
          <w:spacing w:val="-6"/>
        </w:rPr>
        <w:t>质量保证与质量控制</w:t>
      </w:r>
    </w:p>
    <w:p>
      <w:pPr>
        <w:pStyle w:val="BodyText"/>
        <w:ind w:left="8"/>
        <w:spacing w:before="287" w:line="222" w:lineRule="auto"/>
        <w:outlineLvl w:val="1"/>
        <w:rPr>
          <w:rFonts w:ascii="FangSong" w:hAnsi="FangSong" w:eastAsia="FangSong" w:cs="FangSong"/>
          <w:sz w:val="28"/>
          <w:szCs w:val="28"/>
        </w:rPr>
      </w:pPr>
      <w:bookmarkStart w:name="bookmark48" w:id="39"/>
      <w:bookmarkEnd w:id="39"/>
      <w:r>
        <w:rPr>
          <w:sz w:val="28"/>
          <w:szCs w:val="28"/>
          <w:b/>
          <w:bCs/>
          <w:spacing w:val="-7"/>
        </w:rPr>
        <w:t>9.1   </w:t>
      </w:r>
      <w:r>
        <w:rPr>
          <w:rFonts w:ascii="FangSong" w:hAnsi="FangSong" w:eastAsia="FangSong" w:cs="FangSong"/>
          <w:sz w:val="28"/>
          <w:szCs w:val="28"/>
          <w:b/>
          <w:bCs/>
          <w:spacing w:val="-7"/>
        </w:rPr>
        <w:t>自行监测质量体系</w:t>
      </w:r>
    </w:p>
    <w:p>
      <w:pPr>
        <w:pStyle w:val="BodyText"/>
        <w:ind w:left="16" w:right="76" w:firstLine="524"/>
        <w:spacing w:before="230" w:line="360" w:lineRule="auto"/>
        <w:jc w:val="both"/>
        <w:rPr>
          <w:rFonts w:ascii="FangSong" w:hAnsi="FangSong" w:eastAsia="FangSong" w:cs="FangSong"/>
          <w:sz w:val="24"/>
          <w:szCs w:val="24"/>
        </w:rPr>
      </w:pPr>
      <w:r>
        <w:rPr>
          <w:rFonts w:ascii="FangSong" w:hAnsi="FangSong" w:eastAsia="FangSong" w:cs="FangSong"/>
          <w:sz w:val="24"/>
          <w:szCs w:val="24"/>
          <w:spacing w:val="-1"/>
        </w:rPr>
        <w:t>自行监测由我公司（浙江求实环境监测有限公司）承担，截至目前，公司共计人员</w:t>
      </w:r>
      <w:r>
        <w:rPr>
          <w:sz w:val="24"/>
          <w:szCs w:val="24"/>
          <w:spacing w:val="-1"/>
        </w:rPr>
        <w:t>200</w:t>
      </w:r>
      <w:r>
        <w:rPr>
          <w:rFonts w:ascii="FangSong" w:hAnsi="FangSong" w:eastAsia="FangSong" w:cs="FangSong"/>
          <w:sz w:val="24"/>
          <w:szCs w:val="24"/>
          <w:spacing w:val="-1"/>
        </w:rPr>
        <w:t>多</w:t>
      </w:r>
      <w:r>
        <w:rPr>
          <w:rFonts w:ascii="FangSong" w:hAnsi="FangSong" w:eastAsia="FangSong" w:cs="FangSong"/>
          <w:sz w:val="24"/>
          <w:szCs w:val="24"/>
          <w:spacing w:val="4"/>
        </w:rPr>
        <w:t xml:space="preserve"> </w:t>
      </w:r>
      <w:r>
        <w:rPr>
          <w:rFonts w:ascii="FangSong" w:hAnsi="FangSong" w:eastAsia="FangSong" w:cs="FangSong"/>
          <w:sz w:val="24"/>
          <w:szCs w:val="24"/>
        </w:rPr>
        <w:t>名，具有高级工程师</w:t>
      </w:r>
      <w:r>
        <w:rPr>
          <w:sz w:val="24"/>
          <w:szCs w:val="24"/>
        </w:rPr>
        <w:t>8</w:t>
      </w:r>
      <w:r>
        <w:rPr>
          <w:rFonts w:ascii="FangSong" w:hAnsi="FangSong" w:eastAsia="FangSong" w:cs="FangSong"/>
          <w:sz w:val="24"/>
          <w:szCs w:val="24"/>
        </w:rPr>
        <w:t>名，工程师</w:t>
      </w:r>
      <w:r>
        <w:rPr>
          <w:sz w:val="24"/>
          <w:szCs w:val="24"/>
        </w:rPr>
        <w:t>50</w:t>
      </w:r>
      <w:r>
        <w:rPr>
          <w:rFonts w:ascii="FangSong" w:hAnsi="FangSong" w:eastAsia="FangSong" w:cs="FangSong"/>
          <w:sz w:val="24"/>
          <w:szCs w:val="24"/>
        </w:rPr>
        <w:t>余名，工程师以上职称占公司人数的</w:t>
      </w:r>
      <w:r>
        <w:rPr>
          <w:sz w:val="24"/>
          <w:szCs w:val="24"/>
        </w:rPr>
        <w:t>29%</w:t>
      </w:r>
      <w:r>
        <w:rPr>
          <w:sz w:val="24"/>
          <w:szCs w:val="24"/>
          <w:spacing w:val="-14"/>
        </w:rPr>
        <w:t xml:space="preserve"> </w:t>
      </w:r>
      <w:r>
        <w:rPr>
          <w:rFonts w:ascii="FangSong" w:hAnsi="FangSong" w:eastAsia="FangSong" w:cs="FangSong"/>
          <w:sz w:val="24"/>
          <w:szCs w:val="24"/>
        </w:rPr>
        <w:t>，分析人员均持</w:t>
      </w:r>
      <w:r>
        <w:rPr>
          <w:rFonts w:ascii="FangSong" w:hAnsi="FangSong" w:eastAsia="FangSong" w:cs="FangSong"/>
          <w:sz w:val="24"/>
          <w:szCs w:val="24"/>
        </w:rPr>
        <w:t xml:space="preserve"> </w:t>
      </w:r>
      <w:r>
        <w:rPr>
          <w:rFonts w:ascii="FangSong" w:hAnsi="FangSong" w:eastAsia="FangSong" w:cs="FangSong"/>
          <w:sz w:val="24"/>
          <w:szCs w:val="24"/>
          <w:spacing w:val="-3"/>
        </w:rPr>
        <w:t>内部分析人员上岗证。检测技术人员教育背景大多是环境科学、环境工程、分析化学和化学工</w:t>
      </w:r>
      <w:r>
        <w:rPr>
          <w:rFonts w:ascii="FangSong" w:hAnsi="FangSong" w:eastAsia="FangSong" w:cs="FangSong"/>
          <w:sz w:val="24"/>
          <w:szCs w:val="24"/>
          <w:spacing w:val="11"/>
        </w:rPr>
        <w:t xml:space="preserve"> </w:t>
      </w:r>
      <w:r>
        <w:rPr>
          <w:rFonts w:ascii="FangSong" w:hAnsi="FangSong" w:eastAsia="FangSong" w:cs="FangSong"/>
          <w:sz w:val="24"/>
          <w:szCs w:val="24"/>
          <w:spacing w:val="-3"/>
        </w:rPr>
        <w:t>程与工艺、水文、地质、物探等相关的专业，有足够的技术能力完成好此项目，并且有完整的</w:t>
      </w:r>
      <w:r>
        <w:rPr>
          <w:rFonts w:ascii="FangSong" w:hAnsi="FangSong" w:eastAsia="FangSong" w:cs="FangSong"/>
          <w:sz w:val="24"/>
          <w:szCs w:val="24"/>
          <w:spacing w:val="11"/>
        </w:rPr>
        <w:t xml:space="preserve"> </w:t>
      </w:r>
      <w:r>
        <w:rPr>
          <w:rFonts w:ascii="FangSong" w:hAnsi="FangSong" w:eastAsia="FangSong" w:cs="FangSong"/>
          <w:sz w:val="24"/>
          <w:szCs w:val="24"/>
          <w:spacing w:val="-1"/>
        </w:rPr>
        <w:t>质量保证和质量控制体系，确保自行监测高质量完成。</w:t>
      </w:r>
    </w:p>
    <w:p>
      <w:pPr>
        <w:pStyle w:val="BodyText"/>
        <w:ind w:left="8"/>
        <w:spacing w:before="57" w:line="222" w:lineRule="auto"/>
        <w:outlineLvl w:val="1"/>
        <w:rPr>
          <w:rFonts w:ascii="FangSong" w:hAnsi="FangSong" w:eastAsia="FangSong" w:cs="FangSong"/>
          <w:sz w:val="28"/>
          <w:szCs w:val="28"/>
        </w:rPr>
      </w:pPr>
      <w:bookmarkStart w:name="bookmark34" w:id="40"/>
      <w:bookmarkEnd w:id="40"/>
      <w:r>
        <w:rPr>
          <w:sz w:val="28"/>
          <w:szCs w:val="28"/>
          <w:b/>
          <w:bCs/>
          <w:spacing w:val="-2"/>
        </w:rPr>
        <w:t>9.2  </w:t>
      </w:r>
      <w:r>
        <w:rPr>
          <w:rFonts w:ascii="FangSong" w:hAnsi="FangSong" w:eastAsia="FangSong" w:cs="FangSong"/>
          <w:sz w:val="28"/>
          <w:szCs w:val="28"/>
          <w:b/>
          <w:bCs/>
          <w:spacing w:val="-2"/>
        </w:rPr>
        <w:t>监测方案制定的质量保证与控制</w:t>
      </w:r>
    </w:p>
    <w:p>
      <w:pPr>
        <w:ind w:left="496"/>
        <w:spacing w:before="229" w:line="220" w:lineRule="auto"/>
        <w:rPr>
          <w:rFonts w:ascii="FangSong" w:hAnsi="FangSong" w:eastAsia="FangSong" w:cs="FangSong"/>
          <w:sz w:val="24"/>
          <w:szCs w:val="24"/>
        </w:rPr>
      </w:pPr>
      <w:r>
        <w:rPr>
          <w:rFonts w:ascii="FangSong" w:hAnsi="FangSong" w:eastAsia="FangSong" w:cs="FangSong"/>
          <w:sz w:val="24"/>
          <w:szCs w:val="24"/>
          <w:spacing w:val="-1"/>
        </w:rPr>
        <w:t>企业对本监测方案的适用性和准确性进行了评估，评估内容主要有：</w:t>
      </w:r>
    </w:p>
    <w:p>
      <w:pPr>
        <w:pStyle w:val="BodyText"/>
        <w:ind w:left="13" w:right="76" w:firstLine="475"/>
        <w:spacing w:before="181" w:line="290" w:lineRule="auto"/>
        <w:rPr>
          <w:rFonts w:ascii="FangSong" w:hAnsi="FangSong" w:eastAsia="FangSong" w:cs="FangSong"/>
          <w:sz w:val="24"/>
          <w:szCs w:val="24"/>
        </w:rPr>
      </w:pPr>
      <w:r>
        <w:rPr>
          <w:sz w:val="24"/>
          <w:szCs w:val="24"/>
        </w:rPr>
        <w:t>a</w:t>
      </w:r>
      <w:r>
        <w:rPr>
          <w:rFonts w:ascii="FangSong" w:hAnsi="FangSong" w:eastAsia="FangSong" w:cs="FangSong"/>
          <w:sz w:val="24"/>
          <w:szCs w:val="24"/>
        </w:rPr>
        <w:t>）重点单元的识别与分类依据充分，</w:t>
      </w:r>
      <w:r>
        <w:rPr>
          <w:rFonts w:ascii="FangSong" w:hAnsi="FangSong" w:eastAsia="FangSong" w:cs="FangSong"/>
          <w:sz w:val="24"/>
          <w:szCs w:val="24"/>
          <w:spacing w:val="-70"/>
        </w:rPr>
        <w:t xml:space="preserve"> </w:t>
      </w:r>
      <w:r>
        <w:rPr>
          <w:rFonts w:ascii="FangSong" w:hAnsi="FangSong" w:eastAsia="FangSong" w:cs="FangSong"/>
          <w:sz w:val="24"/>
          <w:szCs w:val="24"/>
        </w:rPr>
        <w:t>已按</w:t>
      </w:r>
      <w:r>
        <w:rPr>
          <w:rFonts w:ascii="FangSong" w:hAnsi="FangSong" w:eastAsia="FangSong" w:cs="FangSong"/>
          <w:sz w:val="24"/>
          <w:szCs w:val="24"/>
          <w:spacing w:val="-1"/>
        </w:rPr>
        <w:t>照本标准的要求提供了重点监测单元清单及标</w:t>
      </w:r>
      <w:r>
        <w:rPr>
          <w:rFonts w:ascii="FangSong" w:hAnsi="FangSong" w:eastAsia="FangSong" w:cs="FangSong"/>
          <w:sz w:val="24"/>
          <w:szCs w:val="24"/>
        </w:rPr>
        <w:t xml:space="preserve"> </w:t>
      </w:r>
      <w:r>
        <w:rPr>
          <w:rFonts w:ascii="FangSong" w:hAnsi="FangSong" w:eastAsia="FangSong" w:cs="FangSong"/>
          <w:sz w:val="24"/>
          <w:szCs w:val="24"/>
          <w:spacing w:val="-1"/>
        </w:rPr>
        <w:t>记有重点单元及监测点</w:t>
      </w:r>
      <w:r>
        <w:rPr>
          <w:sz w:val="24"/>
          <w:szCs w:val="24"/>
          <w:spacing w:val="-1"/>
        </w:rPr>
        <w:t>/</w:t>
      </w:r>
      <w:r>
        <w:rPr>
          <w:rFonts w:ascii="FangSong" w:hAnsi="FangSong" w:eastAsia="FangSong" w:cs="FangSong"/>
          <w:sz w:val="24"/>
          <w:szCs w:val="24"/>
          <w:spacing w:val="-1"/>
        </w:rPr>
        <w:t>监测井位置的企业总平面布置图；</w:t>
      </w:r>
    </w:p>
    <w:p>
      <w:pPr>
        <w:pStyle w:val="BodyText"/>
        <w:ind w:left="479"/>
        <w:spacing w:before="182" w:line="221" w:lineRule="auto"/>
        <w:rPr>
          <w:rFonts w:ascii="FangSong" w:hAnsi="FangSong" w:eastAsia="FangSong" w:cs="FangSong"/>
          <w:sz w:val="24"/>
          <w:szCs w:val="24"/>
        </w:rPr>
      </w:pPr>
      <w:r>
        <w:rPr>
          <w:sz w:val="24"/>
          <w:szCs w:val="24"/>
        </w:rPr>
        <w:t>b</w:t>
      </w:r>
      <w:r>
        <w:rPr>
          <w:rFonts w:ascii="FangSong" w:hAnsi="FangSong" w:eastAsia="FangSong" w:cs="FangSong"/>
          <w:sz w:val="24"/>
          <w:szCs w:val="24"/>
        </w:rPr>
        <w:t>）监测点</w:t>
      </w:r>
      <w:r>
        <w:rPr>
          <w:sz w:val="24"/>
          <w:szCs w:val="24"/>
        </w:rPr>
        <w:t>/</w:t>
      </w:r>
      <w:r>
        <w:rPr>
          <w:rFonts w:ascii="FangSong" w:hAnsi="FangSong" w:eastAsia="FangSong" w:cs="FangSong"/>
          <w:sz w:val="24"/>
          <w:szCs w:val="24"/>
        </w:rPr>
        <w:t>监测井的位置、数量和深度符合</w:t>
      </w:r>
      <w:r>
        <w:rPr>
          <w:rFonts w:ascii="FangSong" w:hAnsi="FangSong" w:eastAsia="FangSong" w:cs="FangSong"/>
          <w:sz w:val="24"/>
          <w:szCs w:val="24"/>
          <w:spacing w:val="-1"/>
        </w:rPr>
        <w:t>要求；</w:t>
      </w:r>
    </w:p>
    <w:p>
      <w:pPr>
        <w:pStyle w:val="BodyText"/>
        <w:ind w:left="488"/>
        <w:spacing w:before="181" w:line="221" w:lineRule="auto"/>
        <w:rPr>
          <w:rFonts w:ascii="FangSong" w:hAnsi="FangSong" w:eastAsia="FangSong" w:cs="FangSong"/>
          <w:sz w:val="24"/>
          <w:szCs w:val="24"/>
        </w:rPr>
      </w:pPr>
      <w:r>
        <w:rPr>
          <w:sz w:val="24"/>
          <w:szCs w:val="24"/>
          <w:spacing w:val="-1"/>
        </w:rPr>
        <w:t>c</w:t>
      </w:r>
      <w:r>
        <w:rPr>
          <w:rFonts w:ascii="FangSong" w:hAnsi="FangSong" w:eastAsia="FangSong" w:cs="FangSong"/>
          <w:sz w:val="24"/>
          <w:szCs w:val="24"/>
          <w:spacing w:val="-1"/>
        </w:rPr>
        <w:t>）监测指标与监测频次符合要求；</w:t>
      </w:r>
    </w:p>
    <w:p>
      <w:pPr>
        <w:pStyle w:val="BodyText"/>
        <w:ind w:left="487"/>
        <w:spacing w:before="181" w:line="219" w:lineRule="auto"/>
        <w:rPr>
          <w:rFonts w:ascii="FangSong" w:hAnsi="FangSong" w:eastAsia="FangSong" w:cs="FangSong"/>
          <w:sz w:val="24"/>
          <w:szCs w:val="24"/>
        </w:rPr>
      </w:pPr>
      <w:r>
        <w:rPr>
          <w:sz w:val="24"/>
          <w:szCs w:val="24"/>
          <w:spacing w:val="-1"/>
        </w:rPr>
        <w:t>d</w:t>
      </w:r>
      <w:r>
        <w:rPr>
          <w:rFonts w:ascii="FangSong" w:hAnsi="FangSong" w:eastAsia="FangSong" w:cs="FangSong"/>
          <w:sz w:val="24"/>
          <w:szCs w:val="24"/>
          <w:spacing w:val="-1"/>
        </w:rPr>
        <w:t>）所有监测点位已核实具备采样条件。</w:t>
      </w:r>
    </w:p>
    <w:p>
      <w:pPr>
        <w:pStyle w:val="BodyText"/>
        <w:ind w:left="8"/>
        <w:spacing w:before="242" w:line="219" w:lineRule="auto"/>
        <w:outlineLvl w:val="1"/>
        <w:rPr>
          <w:rFonts w:ascii="FangSong" w:hAnsi="FangSong" w:eastAsia="FangSong" w:cs="FangSong"/>
          <w:sz w:val="28"/>
          <w:szCs w:val="28"/>
        </w:rPr>
      </w:pPr>
      <w:bookmarkStart w:name="bookmark35" w:id="41"/>
      <w:bookmarkEnd w:id="41"/>
      <w:r>
        <w:rPr>
          <w:sz w:val="28"/>
          <w:szCs w:val="28"/>
          <w:b/>
          <w:bCs/>
          <w:spacing w:val="-2"/>
        </w:rPr>
        <w:t>9.3  </w:t>
      </w:r>
      <w:r>
        <w:rPr>
          <w:rFonts w:ascii="FangSong" w:hAnsi="FangSong" w:eastAsia="FangSong" w:cs="FangSong"/>
          <w:sz w:val="28"/>
          <w:szCs w:val="28"/>
          <w:b/>
          <w:bCs/>
          <w:spacing w:val="-2"/>
        </w:rPr>
        <w:t>样品采集、保存、流转、制备与分析的质量保证与控制</w:t>
      </w:r>
    </w:p>
    <w:p>
      <w:pPr>
        <w:pStyle w:val="BodyText"/>
        <w:ind w:left="7"/>
        <w:spacing w:before="233" w:line="219" w:lineRule="auto"/>
        <w:outlineLvl w:val="2"/>
        <w:rPr>
          <w:rFonts w:ascii="FangSong" w:hAnsi="FangSong" w:eastAsia="FangSong" w:cs="FangSong"/>
          <w:sz w:val="24"/>
          <w:szCs w:val="24"/>
        </w:rPr>
      </w:pPr>
      <w:r>
        <w:rPr>
          <w:sz w:val="24"/>
          <w:szCs w:val="24"/>
          <w:b/>
          <w:bCs/>
          <w:spacing w:val="-2"/>
        </w:rPr>
        <w:t>9.3.1  </w:t>
      </w:r>
      <w:r>
        <w:rPr>
          <w:rFonts w:ascii="FangSong" w:hAnsi="FangSong" w:eastAsia="FangSong" w:cs="FangSong"/>
          <w:sz w:val="24"/>
          <w:szCs w:val="24"/>
          <w:b/>
          <w:bCs/>
          <w:spacing w:val="-2"/>
        </w:rPr>
        <w:t>样品采集前的质量控制</w:t>
      </w:r>
    </w:p>
    <w:p>
      <w:pPr>
        <w:ind w:left="17" w:right="76" w:firstLine="480"/>
        <w:spacing w:before="182" w:line="360" w:lineRule="auto"/>
        <w:rPr>
          <w:rFonts w:ascii="FangSong" w:hAnsi="FangSong" w:eastAsia="FangSong" w:cs="FangSong"/>
          <w:sz w:val="24"/>
          <w:szCs w:val="24"/>
        </w:rPr>
      </w:pPr>
      <w:r>
        <w:rPr>
          <w:rFonts w:ascii="FangSong" w:hAnsi="FangSong" w:eastAsia="FangSong" w:cs="FangSong"/>
          <w:sz w:val="24"/>
          <w:szCs w:val="24"/>
          <w:spacing w:val="-3"/>
        </w:rPr>
        <w:t>采样组在采样前需做好相关的培训、防护、设备维护、人员分工、现场定点等工作。填写</w:t>
      </w:r>
      <w:r>
        <w:rPr>
          <w:rFonts w:ascii="FangSong" w:hAnsi="FangSong" w:eastAsia="FangSong" w:cs="FangSong"/>
          <w:sz w:val="24"/>
          <w:szCs w:val="24"/>
          <w:spacing w:val="4"/>
        </w:rPr>
        <w:t xml:space="preserve"> </w:t>
      </w:r>
      <w:r>
        <w:rPr>
          <w:rFonts w:ascii="FangSong" w:hAnsi="FangSong" w:eastAsia="FangSong" w:cs="FangSong"/>
          <w:sz w:val="24"/>
          <w:szCs w:val="24"/>
          <w:spacing w:val="-1"/>
        </w:rPr>
        <w:t>采样前准备事项一览表。采样前的质量控制工作主要包括：</w:t>
      </w:r>
    </w:p>
    <w:p>
      <w:pPr>
        <w:pStyle w:val="BodyText"/>
        <w:ind w:left="15" w:right="76" w:firstLine="485"/>
        <w:spacing w:before="1" w:line="291" w:lineRule="auto"/>
        <w:rPr>
          <w:rFonts w:ascii="FangSong" w:hAnsi="FangSong" w:eastAsia="FangSong" w:cs="FangSong"/>
          <w:sz w:val="24"/>
          <w:szCs w:val="24"/>
        </w:rPr>
      </w:pPr>
      <w:r>
        <w:rPr>
          <w:rFonts w:ascii="FangSong" w:hAnsi="FangSong" w:eastAsia="FangSong" w:cs="FangSong"/>
          <w:sz w:val="24"/>
          <w:szCs w:val="24"/>
        </w:rPr>
        <w:t>（</w:t>
      </w:r>
      <w:r>
        <w:rPr>
          <w:sz w:val="24"/>
          <w:szCs w:val="24"/>
        </w:rPr>
        <w:t>1</w:t>
      </w:r>
      <w:r>
        <w:rPr>
          <w:rFonts w:ascii="FangSong" w:hAnsi="FangSong" w:eastAsia="FangSong" w:cs="FangSong"/>
          <w:sz w:val="24"/>
          <w:szCs w:val="24"/>
        </w:rPr>
        <w:t>）对采样人员进行专门的培训，采样人员应掌握采样技术、懂得安全操作的有关知识</w:t>
      </w:r>
      <w:r>
        <w:rPr>
          <w:rFonts w:ascii="FangSong" w:hAnsi="FangSong" w:eastAsia="FangSong" w:cs="FangSong"/>
          <w:sz w:val="24"/>
          <w:szCs w:val="24"/>
          <w:spacing w:val="4"/>
        </w:rPr>
        <w:t xml:space="preserve"> </w:t>
      </w:r>
      <w:r>
        <w:rPr>
          <w:rFonts w:ascii="FangSong" w:hAnsi="FangSong" w:eastAsia="FangSong" w:cs="FangSong"/>
          <w:sz w:val="24"/>
          <w:szCs w:val="24"/>
          <w:spacing w:val="-3"/>
        </w:rPr>
        <w:t>和处理方法；</w:t>
      </w:r>
    </w:p>
    <w:p>
      <w:pPr>
        <w:pStyle w:val="BodyText"/>
        <w:ind w:left="500"/>
        <w:spacing w:before="180" w:line="219" w:lineRule="auto"/>
        <w:rPr>
          <w:rFonts w:ascii="FangSong" w:hAnsi="FangSong" w:eastAsia="FangSong" w:cs="FangSong"/>
          <w:sz w:val="24"/>
          <w:szCs w:val="24"/>
        </w:rPr>
      </w:pPr>
      <w:r>
        <w:rPr>
          <w:rFonts w:ascii="FangSong" w:hAnsi="FangSong" w:eastAsia="FangSong" w:cs="FangSong"/>
          <w:sz w:val="24"/>
          <w:szCs w:val="24"/>
          <w:spacing w:val="-1"/>
        </w:rPr>
        <w:t>（</w:t>
      </w:r>
      <w:r>
        <w:rPr>
          <w:sz w:val="24"/>
          <w:szCs w:val="24"/>
          <w:spacing w:val="-1"/>
        </w:rPr>
        <w:t>2</w:t>
      </w:r>
      <w:r>
        <w:rPr>
          <w:rFonts w:ascii="FangSong" w:hAnsi="FangSong" w:eastAsia="FangSong" w:cs="FangSong"/>
          <w:sz w:val="24"/>
          <w:szCs w:val="24"/>
          <w:spacing w:val="-1"/>
        </w:rPr>
        <w:t>）在采样前应该做好个人的防护工作，佩戴安全帽和一次性防护口罩；</w:t>
      </w:r>
    </w:p>
    <w:p>
      <w:pPr>
        <w:pStyle w:val="BodyText"/>
        <w:ind w:left="16" w:right="79" w:firstLine="484"/>
        <w:spacing w:before="182" w:line="290" w:lineRule="auto"/>
        <w:rPr>
          <w:rFonts w:ascii="FangSong" w:hAnsi="FangSong" w:eastAsia="FangSong" w:cs="FangSong"/>
          <w:sz w:val="24"/>
          <w:szCs w:val="24"/>
        </w:rPr>
      </w:pPr>
      <w:r>
        <w:rPr>
          <w:rFonts w:ascii="FangSong" w:hAnsi="FangSong" w:eastAsia="FangSong" w:cs="FangSong"/>
          <w:sz w:val="24"/>
          <w:szCs w:val="24"/>
        </w:rPr>
        <w:t>（</w:t>
      </w:r>
      <w:r>
        <w:rPr>
          <w:sz w:val="24"/>
          <w:szCs w:val="24"/>
        </w:rPr>
        <w:t>3</w:t>
      </w:r>
      <w:r>
        <w:rPr>
          <w:rFonts w:ascii="FangSong" w:hAnsi="FangSong" w:eastAsia="FangSong" w:cs="FangSong"/>
          <w:sz w:val="24"/>
          <w:szCs w:val="24"/>
        </w:rPr>
        <w:t>）根据本布点检测方案，准备采样计划单、钻探记录单、土壤采样记录单、地下水采</w:t>
      </w:r>
      <w:r>
        <w:rPr>
          <w:rFonts w:ascii="FangSong" w:hAnsi="FangSong" w:eastAsia="FangSong" w:cs="FangSong"/>
          <w:sz w:val="24"/>
          <w:szCs w:val="24"/>
          <w:spacing w:val="2"/>
        </w:rPr>
        <w:t xml:space="preserve"> </w:t>
      </w:r>
      <w:r>
        <w:rPr>
          <w:rFonts w:ascii="FangSong" w:hAnsi="FangSong" w:eastAsia="FangSong" w:cs="FangSong"/>
          <w:sz w:val="24"/>
          <w:szCs w:val="24"/>
          <w:spacing w:val="-1"/>
        </w:rPr>
        <w:t>样记录单、样品追踪单及采样布点图；</w:t>
      </w:r>
    </w:p>
    <w:p>
      <w:pPr>
        <w:pStyle w:val="BodyText"/>
        <w:ind w:left="13" w:firstLine="487"/>
        <w:spacing w:before="182" w:line="290" w:lineRule="auto"/>
        <w:rPr>
          <w:rFonts w:ascii="FangSong" w:hAnsi="FangSong" w:eastAsia="FangSong" w:cs="FangSong"/>
          <w:sz w:val="24"/>
          <w:szCs w:val="24"/>
        </w:rPr>
      </w:pPr>
      <w:r>
        <w:rPr>
          <w:rFonts w:ascii="FangSong" w:hAnsi="FangSong" w:eastAsia="FangSong" w:cs="FangSong"/>
          <w:sz w:val="24"/>
          <w:szCs w:val="24"/>
          <w:spacing w:val="-3"/>
        </w:rPr>
        <w:t>（</w:t>
      </w:r>
      <w:r>
        <w:rPr>
          <w:sz w:val="24"/>
          <w:szCs w:val="24"/>
          <w:spacing w:val="-3"/>
        </w:rPr>
        <w:t>4</w:t>
      </w:r>
      <w:r>
        <w:rPr>
          <w:rFonts w:ascii="FangSong" w:hAnsi="FangSong" w:eastAsia="FangSong" w:cs="FangSong"/>
          <w:sz w:val="24"/>
          <w:szCs w:val="24"/>
          <w:spacing w:val="-3"/>
        </w:rPr>
        <w:t>）准备手持式</w:t>
      </w:r>
      <w:r>
        <w:rPr>
          <w:sz w:val="24"/>
          <w:szCs w:val="24"/>
          <w:spacing w:val="-3"/>
        </w:rPr>
        <w:t>GPS</w:t>
      </w:r>
      <w:r>
        <w:rPr>
          <w:rFonts w:ascii="FangSong" w:hAnsi="FangSong" w:eastAsia="FangSong" w:cs="FangSong"/>
          <w:sz w:val="24"/>
          <w:szCs w:val="24"/>
          <w:spacing w:val="-3"/>
        </w:rPr>
        <w:t>定位仪、相机、样品瓶、标签、签字笔、保温箱、干冰、橡胶手套、</w:t>
      </w:r>
      <w:r>
        <w:rPr>
          <w:rFonts w:ascii="FangSong" w:hAnsi="FangSong" w:eastAsia="FangSong" w:cs="FangSong"/>
          <w:sz w:val="24"/>
          <w:szCs w:val="24"/>
          <w:spacing w:val="3"/>
        </w:rPr>
        <w:t xml:space="preserve"> </w:t>
      </w:r>
      <w:r>
        <w:rPr>
          <w:rFonts w:ascii="FangSong" w:hAnsi="FangSong" w:eastAsia="FangSong" w:cs="FangSong"/>
          <w:sz w:val="24"/>
          <w:szCs w:val="24"/>
          <w:spacing w:val="-2"/>
        </w:rPr>
        <w:t>岩芯箱、采样器等；</w:t>
      </w:r>
    </w:p>
    <w:p>
      <w:pPr>
        <w:pStyle w:val="BodyText"/>
        <w:ind w:left="500"/>
        <w:spacing w:before="183" w:line="219" w:lineRule="auto"/>
        <w:rPr>
          <w:rFonts w:ascii="FangSong" w:hAnsi="FangSong" w:eastAsia="FangSong" w:cs="FangSong"/>
          <w:sz w:val="24"/>
          <w:szCs w:val="24"/>
        </w:rPr>
      </w:pPr>
      <w:r>
        <w:rPr>
          <w:rFonts w:ascii="FangSong" w:hAnsi="FangSong" w:eastAsia="FangSong" w:cs="FangSong"/>
          <w:sz w:val="24"/>
          <w:szCs w:val="24"/>
          <w:spacing w:val="-2"/>
        </w:rPr>
        <w:t>（</w:t>
      </w:r>
      <w:r>
        <w:rPr>
          <w:sz w:val="24"/>
          <w:szCs w:val="24"/>
          <w:spacing w:val="-2"/>
        </w:rPr>
        <w:t>5</w:t>
      </w:r>
      <w:r>
        <w:rPr>
          <w:rFonts w:ascii="FangSong" w:hAnsi="FangSong" w:eastAsia="FangSong" w:cs="FangSong"/>
          <w:sz w:val="24"/>
          <w:szCs w:val="24"/>
          <w:spacing w:val="-2"/>
        </w:rPr>
        <w:t>）确定采样设备和台数；</w:t>
      </w:r>
    </w:p>
    <w:p>
      <w:pPr>
        <w:pStyle w:val="BodyText"/>
        <w:ind w:left="500"/>
        <w:spacing w:before="183" w:line="221" w:lineRule="auto"/>
        <w:rPr>
          <w:rFonts w:ascii="FangSong" w:hAnsi="FangSong" w:eastAsia="FangSong" w:cs="FangSong"/>
          <w:sz w:val="24"/>
          <w:szCs w:val="24"/>
        </w:rPr>
      </w:pPr>
      <w:r>
        <w:rPr>
          <w:rFonts w:ascii="FangSong" w:hAnsi="FangSong" w:eastAsia="FangSong" w:cs="FangSong"/>
          <w:sz w:val="24"/>
          <w:szCs w:val="24"/>
          <w:spacing w:val="-2"/>
        </w:rPr>
        <w:t>（</w:t>
      </w:r>
      <w:r>
        <w:rPr>
          <w:sz w:val="24"/>
          <w:szCs w:val="24"/>
          <w:spacing w:val="-2"/>
        </w:rPr>
        <w:t>6</w:t>
      </w:r>
      <w:r>
        <w:rPr>
          <w:rFonts w:ascii="FangSong" w:hAnsi="FangSong" w:eastAsia="FangSong" w:cs="FangSong"/>
          <w:sz w:val="24"/>
          <w:szCs w:val="24"/>
          <w:spacing w:val="-2"/>
        </w:rPr>
        <w:t>）进行明确的任务分工；</w:t>
      </w:r>
    </w:p>
    <w:p>
      <w:pPr>
        <w:pStyle w:val="BodyText"/>
        <w:ind w:left="500"/>
        <w:spacing w:before="181" w:line="223" w:lineRule="auto"/>
        <w:rPr>
          <w:rFonts w:ascii="FangSong" w:hAnsi="FangSong" w:eastAsia="FangSong" w:cs="FangSong"/>
          <w:sz w:val="24"/>
          <w:szCs w:val="24"/>
        </w:rPr>
      </w:pPr>
      <w:r>
        <w:rPr>
          <w:rFonts w:ascii="FangSong" w:hAnsi="FangSong" w:eastAsia="FangSong" w:cs="FangSong"/>
          <w:sz w:val="24"/>
          <w:szCs w:val="24"/>
          <w:spacing w:val="-3"/>
        </w:rPr>
        <w:t>（</w:t>
      </w:r>
      <w:r>
        <w:rPr>
          <w:sz w:val="24"/>
          <w:szCs w:val="24"/>
          <w:spacing w:val="-3"/>
        </w:rPr>
        <w:t>7</w:t>
      </w:r>
      <w:r>
        <w:rPr>
          <w:rFonts w:ascii="FangSong" w:hAnsi="FangSong" w:eastAsia="FangSong" w:cs="FangSong"/>
          <w:sz w:val="24"/>
          <w:szCs w:val="24"/>
          <w:spacing w:val="-3"/>
        </w:rPr>
        <w:t>）现场定点。</w:t>
      </w:r>
    </w:p>
    <w:p>
      <w:pPr>
        <w:spacing w:line="223" w:lineRule="auto"/>
        <w:sectPr>
          <w:headerReference w:type="default" r:id="rId150"/>
          <w:footerReference w:type="default" r:id="rId151"/>
          <w:pgSz w:w="11906" w:h="16839"/>
          <w:pgMar w:top="1139" w:right="1002" w:bottom="1252" w:left="1080" w:header="831" w:footer="1090" w:gutter="0"/>
        </w:sectPr>
        <w:rPr>
          <w:rFonts w:ascii="FangSong" w:hAnsi="FangSong" w:eastAsia="FangSong" w:cs="FangSong"/>
          <w:sz w:val="24"/>
          <w:szCs w:val="24"/>
        </w:rPr>
      </w:pPr>
    </w:p>
    <w:p>
      <w:pPr>
        <w:spacing w:line="334" w:lineRule="auto"/>
        <w:rPr>
          <w:rFonts w:ascii="Arial"/>
          <w:sz w:val="21"/>
        </w:rPr>
      </w:pPr>
      <w:r/>
    </w:p>
    <w:p>
      <w:pPr>
        <w:pStyle w:val="BodyText"/>
        <w:ind w:left="7"/>
        <w:spacing w:before="78" w:line="219" w:lineRule="auto"/>
        <w:outlineLvl w:val="2"/>
        <w:rPr>
          <w:rFonts w:ascii="FangSong" w:hAnsi="FangSong" w:eastAsia="FangSong" w:cs="FangSong"/>
          <w:sz w:val="24"/>
          <w:szCs w:val="24"/>
        </w:rPr>
      </w:pPr>
      <w:r>
        <w:rPr>
          <w:sz w:val="24"/>
          <w:szCs w:val="24"/>
          <w:b/>
          <w:bCs/>
          <w:spacing w:val="-2"/>
        </w:rPr>
        <w:t>9.3.2  </w:t>
      </w:r>
      <w:r>
        <w:rPr>
          <w:rFonts w:ascii="FangSong" w:hAnsi="FangSong" w:eastAsia="FangSong" w:cs="FangSong"/>
          <w:sz w:val="24"/>
          <w:szCs w:val="24"/>
          <w:b/>
          <w:bCs/>
          <w:spacing w:val="-2"/>
        </w:rPr>
        <w:t>样品采集过程中的质量控制</w:t>
      </w:r>
    </w:p>
    <w:p>
      <w:pPr>
        <w:ind w:left="495"/>
        <w:spacing w:before="183" w:line="219" w:lineRule="auto"/>
        <w:rPr>
          <w:rFonts w:ascii="FangSong" w:hAnsi="FangSong" w:eastAsia="FangSong" w:cs="FangSong"/>
          <w:sz w:val="24"/>
          <w:szCs w:val="24"/>
        </w:rPr>
      </w:pPr>
      <w:r>
        <w:rPr>
          <w:rFonts w:ascii="FangSong" w:hAnsi="FangSong" w:eastAsia="FangSong" w:cs="FangSong"/>
          <w:sz w:val="24"/>
          <w:szCs w:val="24"/>
          <w:spacing w:val="-1"/>
        </w:rPr>
        <w:t>现场样品采集过程中的质量控制工作主要包括：</w:t>
      </w:r>
    </w:p>
    <w:p>
      <w:pPr>
        <w:pStyle w:val="BodyText"/>
        <w:ind w:left="17" w:right="2" w:firstLine="490"/>
        <w:spacing w:before="181" w:line="290" w:lineRule="auto"/>
        <w:rPr>
          <w:rFonts w:ascii="FangSong" w:hAnsi="FangSong" w:eastAsia="FangSong" w:cs="FangSong"/>
          <w:sz w:val="24"/>
          <w:szCs w:val="24"/>
        </w:rPr>
      </w:pPr>
      <w:r>
        <w:rPr>
          <w:sz w:val="24"/>
          <w:szCs w:val="24"/>
          <w:spacing w:val="-1"/>
        </w:rPr>
        <w:t>1</w:t>
      </w:r>
      <w:r>
        <w:rPr>
          <w:sz w:val="24"/>
          <w:szCs w:val="24"/>
          <w:spacing w:val="-27"/>
        </w:rPr>
        <w:t xml:space="preserve"> </w:t>
      </w:r>
      <w:r>
        <w:rPr>
          <w:rFonts w:ascii="FangSong" w:hAnsi="FangSong" w:eastAsia="FangSong" w:cs="FangSong"/>
          <w:sz w:val="24"/>
          <w:szCs w:val="24"/>
          <w:spacing w:val="-1"/>
        </w:rPr>
        <w:t>、由具有地块土壤污染状况调查经验且掌握土壤、地下水采样规范的专业技术人员组成</w:t>
      </w:r>
      <w:r>
        <w:rPr>
          <w:rFonts w:ascii="FangSong" w:hAnsi="FangSong" w:eastAsia="FangSong" w:cs="FangSong"/>
          <w:sz w:val="24"/>
          <w:szCs w:val="24"/>
        </w:rPr>
        <w:t xml:space="preserve"> </w:t>
      </w:r>
      <w:r>
        <w:rPr>
          <w:rFonts w:ascii="FangSong" w:hAnsi="FangSong" w:eastAsia="FangSong" w:cs="FangSong"/>
          <w:sz w:val="24"/>
          <w:szCs w:val="24"/>
          <w:spacing w:val="-1"/>
        </w:rPr>
        <w:t>采样小组，现场采样遵循标准操作流程。</w:t>
      </w:r>
    </w:p>
    <w:p>
      <w:pPr>
        <w:pStyle w:val="BodyText"/>
        <w:ind w:left="42" w:firstLine="442"/>
        <w:spacing w:before="182" w:line="290" w:lineRule="auto"/>
        <w:rPr>
          <w:rFonts w:ascii="FangSong" w:hAnsi="FangSong" w:eastAsia="FangSong" w:cs="FangSong"/>
          <w:sz w:val="24"/>
          <w:szCs w:val="24"/>
        </w:rPr>
      </w:pPr>
      <w:r>
        <w:rPr>
          <w:sz w:val="24"/>
          <w:szCs w:val="24"/>
        </w:rPr>
        <w:t>2</w:t>
      </w:r>
      <w:r>
        <w:rPr>
          <w:sz w:val="24"/>
          <w:szCs w:val="24"/>
          <w:spacing w:val="-26"/>
        </w:rPr>
        <w:t xml:space="preserve"> </w:t>
      </w:r>
      <w:r>
        <w:rPr>
          <w:rFonts w:ascii="FangSong" w:hAnsi="FangSong" w:eastAsia="FangSong" w:cs="FangSong"/>
          <w:sz w:val="24"/>
          <w:szCs w:val="24"/>
        </w:rPr>
        <w:t>、采样工具和设备应干燥、清洁，便于使用、清洗、保</w:t>
      </w:r>
      <w:r>
        <w:rPr>
          <w:rFonts w:ascii="FangSong" w:hAnsi="FangSong" w:eastAsia="FangSong" w:cs="FangSong"/>
          <w:sz w:val="24"/>
          <w:szCs w:val="24"/>
          <w:spacing w:val="-1"/>
        </w:rPr>
        <w:t>养、检查和维修，不能和待采样</w:t>
      </w:r>
      <w:r>
        <w:rPr>
          <w:rFonts w:ascii="FangSong" w:hAnsi="FangSong" w:eastAsia="FangSong" w:cs="FangSong"/>
          <w:sz w:val="24"/>
          <w:szCs w:val="24"/>
        </w:rPr>
        <w:t xml:space="preserve"> </w:t>
      </w:r>
      <w:r>
        <w:rPr>
          <w:rFonts w:ascii="FangSong" w:hAnsi="FangSong" w:eastAsia="FangSong" w:cs="FangSong"/>
          <w:sz w:val="24"/>
          <w:szCs w:val="24"/>
          <w:spacing w:val="-3"/>
        </w:rPr>
        <w:t>品产生任何反应，防止样品受到污染或变质。</w:t>
      </w:r>
    </w:p>
    <w:p>
      <w:pPr>
        <w:pStyle w:val="BodyText"/>
        <w:ind w:left="16" w:firstLine="473"/>
        <w:spacing w:before="181" w:line="314" w:lineRule="auto"/>
        <w:rPr>
          <w:rFonts w:ascii="FangSong" w:hAnsi="FangSong" w:eastAsia="FangSong" w:cs="FangSong"/>
          <w:sz w:val="24"/>
          <w:szCs w:val="24"/>
        </w:rPr>
      </w:pPr>
      <w:r>
        <w:rPr>
          <w:sz w:val="24"/>
          <w:szCs w:val="24"/>
        </w:rPr>
        <w:t>3</w:t>
      </w:r>
      <w:r>
        <w:rPr>
          <w:sz w:val="24"/>
          <w:szCs w:val="24"/>
          <w:spacing w:val="-26"/>
        </w:rPr>
        <w:t xml:space="preserve"> </w:t>
      </w:r>
      <w:r>
        <w:rPr>
          <w:rFonts w:ascii="FangSong" w:hAnsi="FangSong" w:eastAsia="FangSong" w:cs="FangSong"/>
          <w:sz w:val="24"/>
          <w:szCs w:val="24"/>
        </w:rPr>
        <w:t>、盛装样品的容器必须满足以下要求：容器</w:t>
      </w:r>
      <w:r>
        <w:rPr>
          <w:rFonts w:ascii="FangSong" w:hAnsi="FangSong" w:eastAsia="FangSong" w:cs="FangSong"/>
          <w:sz w:val="24"/>
          <w:szCs w:val="24"/>
          <w:spacing w:val="-1"/>
        </w:rPr>
        <w:t>材质不与样品物质发生反应，没有渗透性；</w:t>
      </w:r>
      <w:r>
        <w:rPr>
          <w:rFonts w:ascii="FangSong" w:hAnsi="FangSong" w:eastAsia="FangSong" w:cs="FangSong"/>
          <w:sz w:val="24"/>
          <w:szCs w:val="24"/>
        </w:rPr>
        <w:t xml:space="preserve"> </w:t>
      </w:r>
      <w:r>
        <w:rPr>
          <w:rFonts w:ascii="FangSong" w:hAnsi="FangSong" w:eastAsia="FangSong" w:cs="FangSong"/>
          <w:sz w:val="24"/>
          <w:szCs w:val="24"/>
          <w:spacing w:val="-3"/>
        </w:rPr>
        <w:t>使用前应洗净干燥，具有符合要求的盖塞；容器采用棕色瓶或用铝箔包裹的玻璃瓶，避免目标</w:t>
      </w:r>
      <w:r>
        <w:rPr>
          <w:rFonts w:ascii="FangSong" w:hAnsi="FangSong" w:eastAsia="FangSong" w:cs="FangSong"/>
          <w:sz w:val="24"/>
          <w:szCs w:val="24"/>
          <w:spacing w:val="11"/>
        </w:rPr>
        <w:t xml:space="preserve"> </w:t>
      </w:r>
      <w:r>
        <w:rPr>
          <w:rFonts w:ascii="FangSong" w:hAnsi="FangSong" w:eastAsia="FangSong" w:cs="FangSong"/>
          <w:sz w:val="24"/>
          <w:szCs w:val="24"/>
          <w:spacing w:val="-3"/>
        </w:rPr>
        <w:t>物质发生光解。</w:t>
      </w:r>
    </w:p>
    <w:p>
      <w:pPr>
        <w:pStyle w:val="BodyText"/>
        <w:ind w:left="18" w:firstLine="465"/>
        <w:spacing w:before="180" w:line="290" w:lineRule="auto"/>
        <w:rPr>
          <w:rFonts w:ascii="FangSong" w:hAnsi="FangSong" w:eastAsia="FangSong" w:cs="FangSong"/>
          <w:sz w:val="24"/>
          <w:szCs w:val="24"/>
        </w:rPr>
      </w:pPr>
      <w:r>
        <w:rPr>
          <w:sz w:val="24"/>
          <w:szCs w:val="24"/>
          <w:spacing w:val="-3"/>
        </w:rPr>
        <w:t>4</w:t>
      </w:r>
      <w:r>
        <w:rPr>
          <w:sz w:val="24"/>
          <w:szCs w:val="24"/>
          <w:spacing w:val="-26"/>
        </w:rPr>
        <w:t xml:space="preserve"> </w:t>
      </w:r>
      <w:r>
        <w:rPr>
          <w:rFonts w:ascii="FangSong" w:hAnsi="FangSong" w:eastAsia="FangSong" w:cs="FangSong"/>
          <w:sz w:val="24"/>
          <w:szCs w:val="24"/>
          <w:spacing w:val="-3"/>
        </w:rPr>
        <w:t>、防止采样过程中的交叉污染。采样时，应由</w:t>
      </w:r>
      <w:r>
        <w:rPr>
          <w:sz w:val="24"/>
          <w:szCs w:val="24"/>
          <w:spacing w:val="-3"/>
        </w:rPr>
        <w:t>2</w:t>
      </w:r>
      <w:r>
        <w:rPr>
          <w:rFonts w:ascii="FangSong" w:hAnsi="FangSong" w:eastAsia="FangSong" w:cs="FangSong"/>
          <w:sz w:val="24"/>
          <w:szCs w:val="24"/>
          <w:spacing w:val="-3"/>
        </w:rPr>
        <w:t>人以上在场</w:t>
      </w:r>
      <w:r>
        <w:rPr>
          <w:rFonts w:ascii="FangSong" w:hAnsi="FangSong" w:eastAsia="FangSong" w:cs="FangSong"/>
          <w:sz w:val="24"/>
          <w:szCs w:val="24"/>
          <w:spacing w:val="-4"/>
        </w:rPr>
        <w:t>进行操作。采样工具应保持清</w:t>
      </w:r>
      <w:r>
        <w:rPr>
          <w:rFonts w:ascii="FangSong" w:hAnsi="FangSong" w:eastAsia="FangSong" w:cs="FangSong"/>
          <w:sz w:val="24"/>
          <w:szCs w:val="24"/>
        </w:rPr>
        <w:t xml:space="preserve"> </w:t>
      </w:r>
      <w:r>
        <w:rPr>
          <w:rFonts w:ascii="FangSong" w:hAnsi="FangSong" w:eastAsia="FangSong" w:cs="FangSong"/>
          <w:sz w:val="24"/>
          <w:szCs w:val="24"/>
          <w:spacing w:val="-1"/>
        </w:rPr>
        <w:t>洁，必要时应用水和有机溶剂清洗，避免采集的样品间的交叉污染。</w:t>
      </w:r>
    </w:p>
    <w:p>
      <w:pPr>
        <w:pStyle w:val="BodyText"/>
        <w:ind w:left="17" w:firstLine="473"/>
        <w:spacing w:before="182" w:line="290" w:lineRule="auto"/>
        <w:rPr>
          <w:rFonts w:ascii="FangSong" w:hAnsi="FangSong" w:eastAsia="FangSong" w:cs="FangSong"/>
          <w:sz w:val="24"/>
          <w:szCs w:val="24"/>
        </w:rPr>
      </w:pPr>
      <w:r>
        <w:rPr>
          <w:sz w:val="24"/>
          <w:szCs w:val="24"/>
          <w:spacing w:val="-1"/>
        </w:rPr>
        <w:t>5</w:t>
      </w:r>
      <w:r>
        <w:rPr>
          <w:sz w:val="24"/>
          <w:szCs w:val="24"/>
          <w:spacing w:val="-8"/>
        </w:rPr>
        <w:t xml:space="preserve"> </w:t>
      </w:r>
      <w:r>
        <w:rPr>
          <w:rFonts w:ascii="FangSong" w:hAnsi="FangSong" w:eastAsia="FangSong" w:cs="FangSong"/>
          <w:sz w:val="24"/>
          <w:szCs w:val="24"/>
          <w:spacing w:val="-1"/>
        </w:rPr>
        <w:t>、现场做好点位的定位，采样过程的拍照记录及视频记录，并按规范要求填写采样记录</w:t>
      </w:r>
      <w:r>
        <w:rPr>
          <w:rFonts w:ascii="FangSong" w:hAnsi="FangSong" w:eastAsia="FangSong" w:cs="FangSong"/>
          <w:sz w:val="24"/>
          <w:szCs w:val="24"/>
        </w:rPr>
        <w:t xml:space="preserve"> </w:t>
      </w:r>
      <w:r>
        <w:rPr>
          <w:rFonts w:ascii="FangSong" w:hAnsi="FangSong" w:eastAsia="FangSong" w:cs="FangSong"/>
          <w:sz w:val="24"/>
          <w:szCs w:val="24"/>
          <w:spacing w:val="-1"/>
        </w:rPr>
        <w:t>表，包括样品的名称、采样点位、采样层次、采样量、采样日期、采样人员等信息。</w:t>
      </w:r>
    </w:p>
    <w:p>
      <w:pPr>
        <w:pStyle w:val="BodyText"/>
        <w:ind w:left="15" w:right="54" w:firstLine="474"/>
        <w:spacing w:before="183" w:line="291" w:lineRule="auto"/>
        <w:rPr>
          <w:rFonts w:ascii="FangSong" w:hAnsi="FangSong" w:eastAsia="FangSong" w:cs="FangSong"/>
          <w:sz w:val="24"/>
          <w:szCs w:val="24"/>
        </w:rPr>
      </w:pPr>
      <w:r>
        <w:rPr>
          <w:sz w:val="24"/>
          <w:szCs w:val="24"/>
          <w:spacing w:val="-2"/>
        </w:rPr>
        <w:t>6</w:t>
      </w:r>
      <w:r>
        <w:rPr>
          <w:sz w:val="24"/>
          <w:szCs w:val="24"/>
          <w:spacing w:val="-22"/>
        </w:rPr>
        <w:t xml:space="preserve"> </w:t>
      </w:r>
      <w:r>
        <w:rPr>
          <w:rFonts w:ascii="FangSong" w:hAnsi="FangSong" w:eastAsia="FangSong" w:cs="FangSong"/>
          <w:sz w:val="24"/>
          <w:szCs w:val="24"/>
          <w:spacing w:val="-2"/>
        </w:rPr>
        <w:t>、土壤和地下水采样时，均佩戴一次性丁腈手套；地下水采样设备使用一次性贝勒管，</w:t>
      </w:r>
      <w:r>
        <w:rPr>
          <w:rFonts w:ascii="FangSong" w:hAnsi="FangSong" w:eastAsia="FangSong" w:cs="FangSong"/>
          <w:sz w:val="24"/>
          <w:szCs w:val="24"/>
        </w:rPr>
        <w:t xml:space="preserve"> </w:t>
      </w:r>
      <w:r>
        <w:rPr>
          <w:rFonts w:ascii="FangSong" w:hAnsi="FangSong" w:eastAsia="FangSong" w:cs="FangSong"/>
          <w:sz w:val="24"/>
          <w:szCs w:val="24"/>
          <w:spacing w:val="-3"/>
        </w:rPr>
        <w:t>避免交叉污染。</w:t>
      </w:r>
    </w:p>
    <w:p>
      <w:pPr>
        <w:pStyle w:val="BodyText"/>
        <w:ind w:left="17" w:firstLine="471"/>
        <w:spacing w:before="179" w:line="313" w:lineRule="auto"/>
        <w:rPr>
          <w:rFonts w:ascii="FangSong" w:hAnsi="FangSong" w:eastAsia="FangSong" w:cs="FangSong"/>
          <w:sz w:val="24"/>
          <w:szCs w:val="24"/>
        </w:rPr>
      </w:pPr>
      <w:r>
        <w:rPr>
          <w:sz w:val="24"/>
          <w:szCs w:val="24"/>
        </w:rPr>
        <w:t>7</w:t>
      </w:r>
      <w:r>
        <w:rPr>
          <w:sz w:val="24"/>
          <w:szCs w:val="24"/>
          <w:spacing w:val="-26"/>
        </w:rPr>
        <w:t xml:space="preserve"> </w:t>
      </w:r>
      <w:r>
        <w:rPr>
          <w:rFonts w:ascii="FangSong" w:hAnsi="FangSong" w:eastAsia="FangSong" w:cs="FangSong"/>
          <w:sz w:val="24"/>
          <w:szCs w:val="24"/>
        </w:rPr>
        <w:t>、在采样过程中，在第一个钻孔开钻前进行设</w:t>
      </w:r>
      <w:r>
        <w:rPr>
          <w:rFonts w:ascii="FangSong" w:hAnsi="FangSong" w:eastAsia="FangSong" w:cs="FangSong"/>
          <w:sz w:val="24"/>
          <w:szCs w:val="24"/>
          <w:spacing w:val="-1"/>
        </w:rPr>
        <w:t>备清洗；进行连续多次钻孔的钻探设备进</w:t>
      </w:r>
      <w:r>
        <w:rPr>
          <w:rFonts w:ascii="FangSong" w:hAnsi="FangSong" w:eastAsia="FangSong" w:cs="FangSong"/>
          <w:sz w:val="24"/>
          <w:szCs w:val="24"/>
        </w:rPr>
        <w:t xml:space="preserve"> </w:t>
      </w:r>
      <w:r>
        <w:rPr>
          <w:rFonts w:ascii="FangSong" w:hAnsi="FangSong" w:eastAsia="FangSong" w:cs="FangSong"/>
          <w:sz w:val="24"/>
          <w:szCs w:val="24"/>
          <w:spacing w:val="-3"/>
        </w:rPr>
        <w:t>行清洗，在不同深度采样时，对钻探设备、取样装置进行清洗；与土壤接触的其他采样工具重</w:t>
      </w:r>
      <w:r>
        <w:rPr>
          <w:rFonts w:ascii="FangSong" w:hAnsi="FangSong" w:eastAsia="FangSong" w:cs="FangSong"/>
          <w:sz w:val="24"/>
          <w:szCs w:val="24"/>
          <w:spacing w:val="10"/>
        </w:rPr>
        <w:t xml:space="preserve"> </w:t>
      </w:r>
      <w:r>
        <w:rPr>
          <w:rFonts w:ascii="FangSong" w:hAnsi="FangSong" w:eastAsia="FangSong" w:cs="FangSong"/>
          <w:sz w:val="24"/>
          <w:szCs w:val="24"/>
          <w:spacing w:val="-1"/>
        </w:rPr>
        <w:t>复利用时也进行清洗以防止采样过程中的交叉污染。</w:t>
      </w:r>
    </w:p>
    <w:p>
      <w:pPr>
        <w:pStyle w:val="BodyText"/>
        <w:ind w:left="19" w:firstLine="474"/>
        <w:spacing w:before="182" w:line="325" w:lineRule="auto"/>
        <w:rPr>
          <w:rFonts w:ascii="FangSong" w:hAnsi="FangSong" w:eastAsia="FangSong" w:cs="FangSong"/>
          <w:sz w:val="24"/>
          <w:szCs w:val="24"/>
        </w:rPr>
      </w:pPr>
      <w:r>
        <w:rPr>
          <w:sz w:val="24"/>
          <w:szCs w:val="24"/>
          <w:spacing w:val="-1"/>
        </w:rPr>
        <w:t>8</w:t>
      </w:r>
      <w:r>
        <w:rPr>
          <w:sz w:val="24"/>
          <w:szCs w:val="24"/>
          <w:spacing w:val="-11"/>
        </w:rPr>
        <w:t xml:space="preserve"> </w:t>
      </w:r>
      <w:r>
        <w:rPr>
          <w:rFonts w:ascii="FangSong" w:hAnsi="FangSong" w:eastAsia="FangSong" w:cs="FangSong"/>
          <w:sz w:val="24"/>
          <w:szCs w:val="24"/>
          <w:spacing w:val="-1"/>
        </w:rPr>
        <w:t>、采样过程中要防止待采样品受到污染和发生变质，样品盛入容器后，在容器壁上应随</w:t>
      </w:r>
      <w:r>
        <w:rPr>
          <w:rFonts w:ascii="FangSong" w:hAnsi="FangSong" w:eastAsia="FangSong" w:cs="FangSong"/>
          <w:sz w:val="24"/>
          <w:szCs w:val="24"/>
        </w:rPr>
        <w:t xml:space="preserve"> </w:t>
      </w:r>
      <w:r>
        <w:rPr>
          <w:rFonts w:ascii="FangSong" w:hAnsi="FangSong" w:eastAsia="FangSong" w:cs="FangSong"/>
          <w:sz w:val="24"/>
          <w:szCs w:val="24"/>
          <w:spacing w:val="-3"/>
        </w:rPr>
        <w:t>即贴上标签；现场采样时详细填写现场记录单，包括采样土壤深度、质地、气味、地下水的颜</w:t>
      </w:r>
      <w:r>
        <w:rPr>
          <w:rFonts w:ascii="FangSong" w:hAnsi="FangSong" w:eastAsia="FangSong" w:cs="FangSong"/>
          <w:sz w:val="24"/>
          <w:szCs w:val="24"/>
          <w:spacing w:val="8"/>
        </w:rPr>
        <w:t xml:space="preserve"> </w:t>
      </w:r>
      <w:r>
        <w:rPr>
          <w:rFonts w:ascii="FangSong" w:hAnsi="FangSong" w:eastAsia="FangSong" w:cs="FangSong"/>
          <w:sz w:val="24"/>
          <w:szCs w:val="24"/>
          <w:spacing w:val="-3"/>
        </w:rPr>
        <w:t>色、快速检测数据等，以便为后续分析工作提供依据。为确保采集、运输、贮存过程中样品质</w:t>
      </w:r>
      <w:r>
        <w:rPr>
          <w:rFonts w:ascii="FangSong" w:hAnsi="FangSong" w:eastAsia="FangSong" w:cs="FangSong"/>
          <w:sz w:val="24"/>
          <w:szCs w:val="24"/>
          <w:spacing w:val="8"/>
        </w:rPr>
        <w:t xml:space="preserve"> </w:t>
      </w:r>
      <w:r>
        <w:rPr>
          <w:rFonts w:ascii="FangSong" w:hAnsi="FangSong" w:eastAsia="FangSong" w:cs="FangSong"/>
          <w:sz w:val="24"/>
          <w:szCs w:val="24"/>
          <w:spacing w:val="-1"/>
        </w:rPr>
        <w:t>量，依据技术规定要求，本项目在采样过程中，采集不低于</w:t>
      </w:r>
      <w:r>
        <w:rPr>
          <w:sz w:val="24"/>
          <w:szCs w:val="24"/>
          <w:spacing w:val="-1"/>
        </w:rPr>
        <w:t>10%</w:t>
      </w:r>
      <w:r>
        <w:rPr>
          <w:rFonts w:ascii="FangSong" w:hAnsi="FangSong" w:eastAsia="FangSong" w:cs="FangSong"/>
          <w:sz w:val="24"/>
          <w:szCs w:val="24"/>
          <w:spacing w:val="-1"/>
        </w:rPr>
        <w:t>的平行样。</w:t>
      </w:r>
    </w:p>
    <w:p>
      <w:pPr>
        <w:pStyle w:val="BodyText"/>
        <w:ind w:left="15" w:firstLine="474"/>
        <w:spacing w:before="182" w:line="290" w:lineRule="auto"/>
        <w:rPr>
          <w:rFonts w:ascii="FangSong" w:hAnsi="FangSong" w:eastAsia="FangSong" w:cs="FangSong"/>
          <w:sz w:val="24"/>
          <w:szCs w:val="24"/>
        </w:rPr>
      </w:pPr>
      <w:r>
        <w:rPr>
          <w:sz w:val="24"/>
          <w:szCs w:val="24"/>
        </w:rPr>
        <w:t>9</w:t>
      </w:r>
      <w:r>
        <w:rPr>
          <w:sz w:val="24"/>
          <w:szCs w:val="24"/>
          <w:spacing w:val="-26"/>
        </w:rPr>
        <w:t xml:space="preserve"> </w:t>
      </w:r>
      <w:r>
        <w:rPr>
          <w:rFonts w:ascii="FangSong" w:hAnsi="FangSong" w:eastAsia="FangSong" w:cs="FangSong"/>
          <w:sz w:val="24"/>
          <w:szCs w:val="24"/>
        </w:rPr>
        <w:t>、质量控制样品包括平行样，现场空白样，</w:t>
      </w:r>
      <w:r>
        <w:rPr>
          <w:rFonts w:ascii="FangSong" w:hAnsi="FangSong" w:eastAsia="FangSong" w:cs="FangSong"/>
          <w:sz w:val="24"/>
          <w:szCs w:val="24"/>
          <w:spacing w:val="-1"/>
        </w:rPr>
        <w:t>设备淋洗样和运输空白样，质控样品的分析</w:t>
      </w:r>
      <w:r>
        <w:rPr>
          <w:rFonts w:ascii="FangSong" w:hAnsi="FangSong" w:eastAsia="FangSong" w:cs="FangSong"/>
          <w:sz w:val="24"/>
          <w:szCs w:val="24"/>
        </w:rPr>
        <w:t xml:space="preserve"> </w:t>
      </w:r>
      <w:r>
        <w:rPr>
          <w:rFonts w:ascii="FangSong" w:hAnsi="FangSong" w:eastAsia="FangSong" w:cs="FangSong"/>
          <w:sz w:val="24"/>
          <w:szCs w:val="24"/>
          <w:spacing w:val="-1"/>
        </w:rPr>
        <w:t>数据可从采样到样品运输、贮存和数据分析等不同阶段反映数据质量。</w:t>
      </w:r>
    </w:p>
    <w:p>
      <w:pPr>
        <w:pStyle w:val="BodyText"/>
        <w:ind w:left="7"/>
        <w:spacing w:before="183" w:line="219" w:lineRule="auto"/>
        <w:outlineLvl w:val="2"/>
        <w:rPr>
          <w:rFonts w:ascii="FangSong" w:hAnsi="FangSong" w:eastAsia="FangSong" w:cs="FangSong"/>
          <w:sz w:val="24"/>
          <w:szCs w:val="24"/>
        </w:rPr>
      </w:pPr>
      <w:r>
        <w:rPr>
          <w:sz w:val="24"/>
          <w:szCs w:val="24"/>
          <w:b/>
          <w:bCs/>
          <w:spacing w:val="-2"/>
        </w:rPr>
        <w:t>9.3.3  </w:t>
      </w:r>
      <w:r>
        <w:rPr>
          <w:rFonts w:ascii="FangSong" w:hAnsi="FangSong" w:eastAsia="FangSong" w:cs="FangSong"/>
          <w:sz w:val="24"/>
          <w:szCs w:val="24"/>
          <w:b/>
          <w:bCs/>
          <w:spacing w:val="-2"/>
        </w:rPr>
        <w:t>样品流转质量控制</w:t>
      </w:r>
    </w:p>
    <w:p>
      <w:pPr>
        <w:ind w:left="496"/>
        <w:spacing w:before="183" w:line="219" w:lineRule="auto"/>
        <w:rPr>
          <w:rFonts w:ascii="FangSong" w:hAnsi="FangSong" w:eastAsia="FangSong" w:cs="FangSong"/>
          <w:sz w:val="24"/>
          <w:szCs w:val="24"/>
        </w:rPr>
      </w:pPr>
      <w:r>
        <w:rPr>
          <w:rFonts w:ascii="FangSong" w:hAnsi="FangSong" w:eastAsia="FangSong" w:cs="FangSong"/>
          <w:sz w:val="24"/>
          <w:szCs w:val="24"/>
          <w:spacing w:val="-1"/>
        </w:rPr>
        <w:t>样品流转过程中的质量控制工作主要包括：</w:t>
      </w:r>
    </w:p>
    <w:p>
      <w:pPr>
        <w:pStyle w:val="BodyText"/>
        <w:ind w:left="17" w:right="2" w:firstLine="483"/>
        <w:spacing w:before="185" w:line="290" w:lineRule="auto"/>
        <w:rPr>
          <w:rFonts w:ascii="FangSong" w:hAnsi="FangSong" w:eastAsia="FangSong" w:cs="FangSong"/>
          <w:sz w:val="24"/>
          <w:szCs w:val="24"/>
        </w:rPr>
      </w:pPr>
      <w:r>
        <w:rPr>
          <w:rFonts w:ascii="FangSong" w:hAnsi="FangSong" w:eastAsia="FangSong" w:cs="FangSong"/>
          <w:sz w:val="24"/>
          <w:szCs w:val="24"/>
        </w:rPr>
        <w:t>（</w:t>
      </w:r>
      <w:r>
        <w:rPr>
          <w:sz w:val="24"/>
          <w:szCs w:val="24"/>
        </w:rPr>
        <w:t>1</w:t>
      </w:r>
      <w:r>
        <w:rPr>
          <w:rFonts w:ascii="FangSong" w:hAnsi="FangSong" w:eastAsia="FangSong" w:cs="FangSong"/>
          <w:sz w:val="24"/>
          <w:szCs w:val="24"/>
        </w:rPr>
        <w:t>）装运前核对，在采样现场样品必须逐件与样品登记表、样品标签和采样记录进行核</w:t>
      </w:r>
      <w:r>
        <w:rPr>
          <w:rFonts w:ascii="FangSong" w:hAnsi="FangSong" w:eastAsia="FangSong" w:cs="FangSong"/>
          <w:sz w:val="24"/>
          <w:szCs w:val="24"/>
          <w:spacing w:val="2"/>
        </w:rPr>
        <w:t xml:space="preserve"> </w:t>
      </w:r>
      <w:r>
        <w:rPr>
          <w:rFonts w:ascii="FangSong" w:hAnsi="FangSong" w:eastAsia="FangSong" w:cs="FangSong"/>
          <w:sz w:val="24"/>
          <w:szCs w:val="24"/>
          <w:spacing w:val="-2"/>
        </w:rPr>
        <w:t>对，核对无误后分类装箱；</w:t>
      </w:r>
    </w:p>
    <w:p>
      <w:pPr>
        <w:pStyle w:val="BodyText"/>
        <w:ind w:left="500"/>
        <w:spacing w:before="181" w:line="219" w:lineRule="auto"/>
        <w:rPr>
          <w:rFonts w:ascii="FangSong" w:hAnsi="FangSong" w:eastAsia="FangSong" w:cs="FangSong"/>
          <w:sz w:val="24"/>
          <w:szCs w:val="24"/>
        </w:rPr>
      </w:pPr>
      <w:r>
        <w:rPr>
          <w:rFonts w:ascii="FangSong" w:hAnsi="FangSong" w:eastAsia="FangSong" w:cs="FangSong"/>
          <w:sz w:val="24"/>
          <w:szCs w:val="24"/>
          <w:spacing w:val="-1"/>
        </w:rPr>
        <w:t>（</w:t>
      </w:r>
      <w:r>
        <w:rPr>
          <w:sz w:val="24"/>
          <w:szCs w:val="24"/>
          <w:spacing w:val="-1"/>
        </w:rPr>
        <w:t>2</w:t>
      </w:r>
      <w:r>
        <w:rPr>
          <w:rFonts w:ascii="FangSong" w:hAnsi="FangSong" w:eastAsia="FangSong" w:cs="FangSong"/>
          <w:sz w:val="24"/>
          <w:szCs w:val="24"/>
          <w:spacing w:val="-1"/>
        </w:rPr>
        <w:t>）输中防损，运输过程中严防样品的损失、混淆和玷污。</w:t>
      </w:r>
    </w:p>
    <w:p>
      <w:pPr>
        <w:spacing w:line="219" w:lineRule="auto"/>
        <w:sectPr>
          <w:headerReference w:type="default" r:id="rId152"/>
          <w:footerReference w:type="default" r:id="rId153"/>
          <w:pgSz w:w="11906" w:h="16839"/>
          <w:pgMar w:top="1139" w:right="1079" w:bottom="1252" w:left="1080" w:header="831" w:footer="1090" w:gutter="0"/>
        </w:sectPr>
        <w:rPr>
          <w:rFonts w:ascii="FangSong" w:hAnsi="FangSong" w:eastAsia="FangSong" w:cs="FangSong"/>
          <w:sz w:val="24"/>
          <w:szCs w:val="24"/>
        </w:rPr>
      </w:pPr>
    </w:p>
    <w:p>
      <w:pPr>
        <w:spacing w:line="333" w:lineRule="auto"/>
        <w:rPr>
          <w:rFonts w:ascii="Arial"/>
          <w:sz w:val="21"/>
        </w:rPr>
      </w:pPr>
      <w:r/>
    </w:p>
    <w:p>
      <w:pPr>
        <w:pStyle w:val="BodyText"/>
        <w:ind w:left="21" w:right="41" w:firstLine="479"/>
        <w:spacing w:before="78" w:line="290" w:lineRule="auto"/>
        <w:rPr>
          <w:rFonts w:ascii="FangSong" w:hAnsi="FangSong" w:eastAsia="FangSong" w:cs="FangSong"/>
          <w:sz w:val="24"/>
          <w:szCs w:val="24"/>
        </w:rPr>
      </w:pPr>
      <w:r>
        <w:rPr>
          <w:rFonts w:ascii="FangSong" w:hAnsi="FangSong" w:eastAsia="FangSong" w:cs="FangSong"/>
          <w:sz w:val="24"/>
          <w:szCs w:val="24"/>
        </w:rPr>
        <w:t>（</w:t>
      </w:r>
      <w:r>
        <w:rPr>
          <w:sz w:val="24"/>
          <w:szCs w:val="24"/>
        </w:rPr>
        <w:t>3</w:t>
      </w:r>
      <w:r>
        <w:rPr>
          <w:rFonts w:ascii="FangSong" w:hAnsi="FangSong" w:eastAsia="FangSong" w:cs="FangSong"/>
          <w:sz w:val="24"/>
          <w:szCs w:val="24"/>
        </w:rPr>
        <w:t>）样品的交接，由样品管理和运输员将土壤样品送到检测实验室，送样者和接样者双</w:t>
      </w:r>
      <w:r>
        <w:rPr>
          <w:rFonts w:ascii="FangSong" w:hAnsi="FangSong" w:eastAsia="FangSong" w:cs="FangSong"/>
          <w:sz w:val="24"/>
          <w:szCs w:val="24"/>
          <w:spacing w:val="2"/>
        </w:rPr>
        <w:t xml:space="preserve"> </w:t>
      </w:r>
      <w:r>
        <w:rPr>
          <w:rFonts w:ascii="FangSong" w:hAnsi="FangSong" w:eastAsia="FangSong" w:cs="FangSong"/>
          <w:sz w:val="24"/>
          <w:szCs w:val="24"/>
          <w:spacing w:val="-1"/>
        </w:rPr>
        <w:t>方同时清点核实样品，并在样品交接单上签字确认，样品交接单由双方各存一份备查。</w:t>
      </w:r>
    </w:p>
    <w:p>
      <w:pPr>
        <w:pStyle w:val="BodyText"/>
        <w:ind w:left="16" w:right="38" w:firstLine="484"/>
        <w:spacing w:before="181" w:line="314" w:lineRule="auto"/>
        <w:rPr>
          <w:rFonts w:ascii="FangSong" w:hAnsi="FangSong" w:eastAsia="FangSong" w:cs="FangSong"/>
          <w:sz w:val="24"/>
          <w:szCs w:val="24"/>
        </w:rPr>
      </w:pPr>
      <w:r>
        <w:rPr>
          <w:rFonts w:ascii="FangSong" w:hAnsi="FangSong" w:eastAsia="FangSong" w:cs="FangSong"/>
          <w:sz w:val="24"/>
          <w:szCs w:val="24"/>
        </w:rPr>
        <w:t>（</w:t>
      </w:r>
      <w:r>
        <w:rPr>
          <w:sz w:val="24"/>
          <w:szCs w:val="24"/>
        </w:rPr>
        <w:t>4</w:t>
      </w:r>
      <w:r>
        <w:rPr>
          <w:rFonts w:ascii="FangSong" w:hAnsi="FangSong" w:eastAsia="FangSong" w:cs="FangSong"/>
          <w:sz w:val="24"/>
          <w:szCs w:val="24"/>
        </w:rPr>
        <w:t>）不得将现场测定后的剩余水样作为实验室分析样品送往实验室，水样装箱前应将水</w:t>
      </w:r>
      <w:r>
        <w:rPr>
          <w:rFonts w:ascii="FangSong" w:hAnsi="FangSong" w:eastAsia="FangSong" w:cs="FangSong"/>
          <w:sz w:val="24"/>
          <w:szCs w:val="24"/>
          <w:spacing w:val="2"/>
        </w:rPr>
        <w:t xml:space="preserve"> </w:t>
      </w:r>
      <w:r>
        <w:rPr>
          <w:rFonts w:ascii="FangSong" w:hAnsi="FangSong" w:eastAsia="FangSong" w:cs="FangSong"/>
          <w:sz w:val="24"/>
          <w:szCs w:val="24"/>
          <w:spacing w:val="-3"/>
        </w:rPr>
        <w:t>样容器内外盖盖紧，装箱时应用泡沫塑料或波纹纸板垫底和间隔防震。样品运输过程中应避免</w:t>
      </w:r>
      <w:r>
        <w:rPr>
          <w:rFonts w:ascii="FangSong" w:hAnsi="FangSong" w:eastAsia="FangSong" w:cs="FangSong"/>
          <w:sz w:val="24"/>
          <w:szCs w:val="24"/>
          <w:spacing w:val="11"/>
        </w:rPr>
        <w:t xml:space="preserve"> </w:t>
      </w:r>
      <w:r>
        <w:rPr>
          <w:rFonts w:ascii="FangSong" w:hAnsi="FangSong" w:eastAsia="FangSong" w:cs="FangSong"/>
          <w:sz w:val="24"/>
          <w:szCs w:val="24"/>
          <w:spacing w:val="-1"/>
        </w:rPr>
        <w:t>日光照射，气温异常偏高或偏低时还应采取适当保温措施。</w:t>
      </w:r>
    </w:p>
    <w:p>
      <w:pPr>
        <w:pStyle w:val="BodyText"/>
        <w:ind w:left="7"/>
        <w:spacing w:before="181" w:line="219" w:lineRule="auto"/>
        <w:outlineLvl w:val="2"/>
        <w:rPr>
          <w:rFonts w:ascii="FangSong" w:hAnsi="FangSong" w:eastAsia="FangSong" w:cs="FangSong"/>
          <w:sz w:val="24"/>
          <w:szCs w:val="24"/>
        </w:rPr>
      </w:pPr>
      <w:r>
        <w:rPr>
          <w:sz w:val="24"/>
          <w:szCs w:val="24"/>
          <w:b/>
          <w:bCs/>
          <w:spacing w:val="-2"/>
        </w:rPr>
        <w:t>9.3.4  </w:t>
      </w:r>
      <w:r>
        <w:rPr>
          <w:rFonts w:ascii="FangSong" w:hAnsi="FangSong" w:eastAsia="FangSong" w:cs="FangSong"/>
          <w:sz w:val="24"/>
          <w:szCs w:val="24"/>
          <w:b/>
          <w:bCs/>
          <w:spacing w:val="-2"/>
        </w:rPr>
        <w:t>样品制备质量控制</w:t>
      </w:r>
    </w:p>
    <w:p>
      <w:pPr>
        <w:ind w:left="13" w:right="38" w:firstLine="483"/>
        <w:spacing w:before="182" w:line="360" w:lineRule="auto"/>
        <w:jc w:val="both"/>
        <w:rPr>
          <w:rFonts w:ascii="FangSong" w:hAnsi="FangSong" w:eastAsia="FangSong" w:cs="FangSong"/>
          <w:sz w:val="24"/>
          <w:szCs w:val="24"/>
        </w:rPr>
      </w:pPr>
      <w:r>
        <w:rPr>
          <w:rFonts w:ascii="FangSong" w:hAnsi="FangSong" w:eastAsia="FangSong" w:cs="FangSong"/>
          <w:sz w:val="24"/>
          <w:szCs w:val="24"/>
          <w:spacing w:val="-3"/>
        </w:rPr>
        <w:t>样品制备过程分别在样品风干区和样品制样区进行，风干区和制样区相互独立，并进行了</w:t>
      </w:r>
      <w:r>
        <w:rPr>
          <w:rFonts w:ascii="FangSong" w:hAnsi="FangSong" w:eastAsia="FangSong" w:cs="FangSong"/>
          <w:sz w:val="24"/>
          <w:szCs w:val="24"/>
          <w:spacing w:val="5"/>
        </w:rPr>
        <w:t xml:space="preserve"> </w:t>
      </w:r>
      <w:r>
        <w:rPr>
          <w:rFonts w:ascii="FangSong" w:hAnsi="FangSong" w:eastAsia="FangSong" w:cs="FangSong"/>
          <w:sz w:val="24"/>
          <w:szCs w:val="24"/>
          <w:spacing w:val="-3"/>
        </w:rPr>
        <w:t>有效隔离，避免相互之间的影响。样品制备场所在通风、整洁、无扬尘、无易挥发化学物质的</w:t>
      </w:r>
      <w:r>
        <w:rPr>
          <w:rFonts w:ascii="FangSong" w:hAnsi="FangSong" w:eastAsia="FangSong" w:cs="FangSong"/>
          <w:sz w:val="24"/>
          <w:szCs w:val="24"/>
          <w:spacing w:val="15"/>
        </w:rPr>
        <w:t xml:space="preserve"> </w:t>
      </w:r>
      <w:r>
        <w:rPr>
          <w:rFonts w:ascii="FangSong" w:hAnsi="FangSong" w:eastAsia="FangSong" w:cs="FangSong"/>
          <w:sz w:val="24"/>
          <w:szCs w:val="24"/>
          <w:spacing w:val="-3"/>
        </w:rPr>
        <w:t>房间内进行，且每个制样操作岗位有独立的空间，避免样品之间相互干扰和影响。制样过程中</w:t>
      </w:r>
      <w:r>
        <w:rPr>
          <w:rFonts w:ascii="FangSong" w:hAnsi="FangSong" w:eastAsia="FangSong" w:cs="FangSong"/>
          <w:sz w:val="24"/>
          <w:szCs w:val="24"/>
          <w:spacing w:val="15"/>
        </w:rPr>
        <w:t xml:space="preserve"> </w:t>
      </w:r>
      <w:r>
        <w:rPr>
          <w:rFonts w:ascii="FangSong" w:hAnsi="FangSong" w:eastAsia="FangSong" w:cs="FangSong"/>
          <w:sz w:val="24"/>
          <w:szCs w:val="24"/>
          <w:spacing w:val="-2"/>
        </w:rPr>
        <w:t>的质量控制包括：</w:t>
      </w:r>
    </w:p>
    <w:p>
      <w:pPr>
        <w:pStyle w:val="BodyText"/>
        <w:ind w:left="508"/>
        <w:spacing w:line="220" w:lineRule="auto"/>
        <w:rPr>
          <w:rFonts w:ascii="FangSong" w:hAnsi="FangSong" w:eastAsia="FangSong" w:cs="FangSong"/>
          <w:sz w:val="24"/>
          <w:szCs w:val="24"/>
        </w:rPr>
      </w:pPr>
      <w:r>
        <w:rPr>
          <w:sz w:val="24"/>
          <w:szCs w:val="24"/>
          <w:spacing w:val="-3"/>
        </w:rPr>
        <w:t>1</w:t>
      </w:r>
      <w:r>
        <w:rPr>
          <w:sz w:val="24"/>
          <w:szCs w:val="24"/>
          <w:spacing w:val="-9"/>
        </w:rPr>
        <w:t xml:space="preserve"> </w:t>
      </w:r>
      <w:r>
        <w:rPr>
          <w:rFonts w:ascii="FangSong" w:hAnsi="FangSong" w:eastAsia="FangSong" w:cs="FangSong"/>
          <w:sz w:val="24"/>
          <w:szCs w:val="24"/>
          <w:spacing w:val="-3"/>
        </w:rPr>
        <w:t>、保持工作室的整洁，整个过程中必须戴一次性防护手套；</w:t>
      </w:r>
    </w:p>
    <w:p>
      <w:pPr>
        <w:pStyle w:val="BodyText"/>
        <w:ind w:left="485"/>
        <w:spacing w:before="181" w:line="219" w:lineRule="auto"/>
        <w:rPr>
          <w:rFonts w:ascii="FangSong" w:hAnsi="FangSong" w:eastAsia="FangSong" w:cs="FangSong"/>
          <w:sz w:val="24"/>
          <w:szCs w:val="24"/>
        </w:rPr>
      </w:pPr>
      <w:r>
        <w:rPr>
          <w:sz w:val="24"/>
          <w:szCs w:val="24"/>
          <w:spacing w:val="-2"/>
        </w:rPr>
        <w:t>2</w:t>
      </w:r>
      <w:r>
        <w:rPr>
          <w:sz w:val="24"/>
          <w:szCs w:val="24"/>
          <w:spacing w:val="-13"/>
        </w:rPr>
        <w:t xml:space="preserve"> </w:t>
      </w:r>
      <w:r>
        <w:rPr>
          <w:rFonts w:ascii="FangSong" w:hAnsi="FangSong" w:eastAsia="FangSong" w:cs="FangSong"/>
          <w:sz w:val="24"/>
          <w:szCs w:val="24"/>
          <w:spacing w:val="-2"/>
        </w:rPr>
        <w:t>、制样前认真核对样品名称与流转单中名称是否一一对应；</w:t>
      </w:r>
    </w:p>
    <w:p>
      <w:pPr>
        <w:pStyle w:val="BodyText"/>
        <w:ind w:left="489"/>
        <w:spacing w:before="184" w:line="219" w:lineRule="auto"/>
        <w:rPr>
          <w:rFonts w:ascii="FangSong" w:hAnsi="FangSong" w:eastAsia="FangSong" w:cs="FangSong"/>
          <w:sz w:val="24"/>
          <w:szCs w:val="24"/>
        </w:rPr>
      </w:pPr>
      <w:r>
        <w:rPr>
          <w:sz w:val="24"/>
          <w:szCs w:val="24"/>
          <w:spacing w:val="-2"/>
        </w:rPr>
        <w:t>3</w:t>
      </w:r>
      <w:r>
        <w:rPr>
          <w:sz w:val="24"/>
          <w:szCs w:val="24"/>
          <w:spacing w:val="-13"/>
        </w:rPr>
        <w:t xml:space="preserve"> </w:t>
      </w:r>
      <w:r>
        <w:rPr>
          <w:rFonts w:ascii="FangSong" w:hAnsi="FangSong" w:eastAsia="FangSong" w:cs="FangSong"/>
          <w:sz w:val="24"/>
          <w:szCs w:val="24"/>
          <w:spacing w:val="-2"/>
        </w:rPr>
        <w:t>、人员之间进行互相监督，避免研磨过程中样品散落、飞溅等；</w:t>
      </w:r>
    </w:p>
    <w:p>
      <w:pPr>
        <w:pStyle w:val="BodyText"/>
        <w:ind w:left="483"/>
        <w:spacing w:before="183" w:line="219" w:lineRule="auto"/>
        <w:rPr>
          <w:rFonts w:ascii="FangSong" w:hAnsi="FangSong" w:eastAsia="FangSong" w:cs="FangSong"/>
          <w:sz w:val="24"/>
          <w:szCs w:val="24"/>
        </w:rPr>
      </w:pPr>
      <w:r>
        <w:rPr>
          <w:sz w:val="24"/>
          <w:szCs w:val="24"/>
          <w:spacing w:val="-1"/>
        </w:rPr>
        <w:t>4</w:t>
      </w:r>
      <w:r>
        <w:rPr>
          <w:sz w:val="24"/>
          <w:szCs w:val="24"/>
          <w:spacing w:val="-26"/>
        </w:rPr>
        <w:t xml:space="preserve"> </w:t>
      </w:r>
      <w:r>
        <w:rPr>
          <w:rFonts w:ascii="FangSong" w:hAnsi="FangSong" w:eastAsia="FangSong" w:cs="FangSong"/>
          <w:sz w:val="24"/>
          <w:szCs w:val="24"/>
          <w:spacing w:val="-1"/>
        </w:rPr>
        <w:t>、制样工具在每处理一份样品后均进行擦抹（洗）干净，严</w:t>
      </w:r>
      <w:r>
        <w:rPr>
          <w:rFonts w:ascii="FangSong" w:hAnsi="FangSong" w:eastAsia="FangSong" w:cs="FangSong"/>
          <w:sz w:val="24"/>
          <w:szCs w:val="24"/>
          <w:spacing w:val="-2"/>
        </w:rPr>
        <w:t>防交叉污染；</w:t>
      </w:r>
    </w:p>
    <w:p>
      <w:pPr>
        <w:pStyle w:val="BodyText"/>
        <w:ind w:left="7"/>
        <w:spacing w:before="183" w:line="222" w:lineRule="auto"/>
        <w:outlineLvl w:val="2"/>
        <w:rPr>
          <w:rFonts w:ascii="FangSong" w:hAnsi="FangSong" w:eastAsia="FangSong" w:cs="FangSong"/>
          <w:sz w:val="24"/>
          <w:szCs w:val="24"/>
        </w:rPr>
      </w:pPr>
      <w:r>
        <w:rPr>
          <w:sz w:val="24"/>
          <w:szCs w:val="24"/>
          <w:b/>
          <w:bCs/>
          <w:spacing w:val="-2"/>
        </w:rPr>
        <w:t>9.3.5  </w:t>
      </w:r>
      <w:r>
        <w:rPr>
          <w:rFonts w:ascii="FangSong" w:hAnsi="FangSong" w:eastAsia="FangSong" w:cs="FangSong"/>
          <w:sz w:val="24"/>
          <w:szCs w:val="24"/>
          <w:b/>
          <w:bCs/>
          <w:spacing w:val="-2"/>
        </w:rPr>
        <w:t>实验室分析质量控制</w:t>
      </w:r>
    </w:p>
    <w:p>
      <w:pPr>
        <w:pStyle w:val="BodyText"/>
        <w:ind w:left="19" w:right="38" w:firstLine="477"/>
        <w:spacing w:before="181" w:line="358" w:lineRule="auto"/>
        <w:jc w:val="both"/>
        <w:rPr>
          <w:rFonts w:ascii="FangSong" w:hAnsi="FangSong" w:eastAsia="FangSong" w:cs="FangSong"/>
          <w:sz w:val="24"/>
          <w:szCs w:val="24"/>
        </w:rPr>
      </w:pPr>
      <w:r>
        <w:rPr>
          <w:rFonts w:ascii="FangSong" w:hAnsi="FangSong" w:eastAsia="FangSong" w:cs="FangSong"/>
          <w:sz w:val="24"/>
          <w:szCs w:val="24"/>
          <w:spacing w:val="-3"/>
        </w:rPr>
        <w:t>根据中华人民共和国环境保护部环办《重点行业企业用地调查质量保证与质量控制技术规</w:t>
      </w:r>
      <w:r>
        <w:rPr>
          <w:rFonts w:ascii="FangSong" w:hAnsi="FangSong" w:eastAsia="FangSong" w:cs="FangSong"/>
          <w:sz w:val="24"/>
          <w:szCs w:val="24"/>
          <w:spacing w:val="5"/>
        </w:rPr>
        <w:t xml:space="preserve"> </w:t>
      </w:r>
      <w:r>
        <w:rPr>
          <w:rFonts w:ascii="FangSong" w:hAnsi="FangSong" w:eastAsia="FangSong" w:cs="FangSong"/>
          <w:sz w:val="24"/>
          <w:szCs w:val="24"/>
          <w:spacing w:val="-1"/>
        </w:rPr>
        <w:t>定（试行）》（土壤函</w:t>
      </w:r>
      <w:r>
        <w:rPr>
          <w:sz w:val="24"/>
          <w:szCs w:val="24"/>
          <w:spacing w:val="-1"/>
        </w:rPr>
        <w:t>[2017]1896</w:t>
      </w:r>
      <w:r>
        <w:rPr>
          <w:rFonts w:ascii="FangSong" w:hAnsi="FangSong" w:eastAsia="FangSong" w:cs="FangSong"/>
          <w:sz w:val="24"/>
          <w:szCs w:val="24"/>
          <w:spacing w:val="-1"/>
        </w:rPr>
        <w:t>号</w:t>
      </w:r>
      <w:r>
        <w:rPr>
          <w:rFonts w:ascii="FangSong" w:hAnsi="FangSong" w:eastAsia="FangSong" w:cs="FangSong"/>
          <w:sz w:val="24"/>
          <w:szCs w:val="24"/>
          <w:spacing w:val="7"/>
        </w:rPr>
        <w:t>），</w:t>
      </w:r>
      <w:r>
        <w:rPr>
          <w:rFonts w:ascii="FangSong" w:hAnsi="FangSong" w:eastAsia="FangSong" w:cs="FangSong"/>
          <w:sz w:val="24"/>
          <w:szCs w:val="24"/>
          <w:spacing w:val="-1"/>
        </w:rPr>
        <w:t>在实验室内部实行质控程序，主要包括</w:t>
      </w:r>
      <w:r>
        <w:rPr>
          <w:rFonts w:ascii="FangSong" w:hAnsi="FangSong" w:eastAsia="FangSong" w:cs="FangSong"/>
          <w:sz w:val="24"/>
          <w:szCs w:val="24"/>
          <w:spacing w:val="-2"/>
        </w:rPr>
        <w:t>空白试验、定</w:t>
      </w:r>
      <w:r>
        <w:rPr>
          <w:rFonts w:ascii="FangSong" w:hAnsi="FangSong" w:eastAsia="FangSong" w:cs="FangSong"/>
          <w:sz w:val="24"/>
          <w:szCs w:val="24"/>
          <w:spacing w:val="1"/>
        </w:rPr>
        <w:t xml:space="preserve"> </w:t>
      </w:r>
      <w:r>
        <w:rPr>
          <w:rFonts w:ascii="FangSong" w:hAnsi="FangSong" w:eastAsia="FangSong" w:cs="FangSong"/>
          <w:sz w:val="24"/>
          <w:szCs w:val="24"/>
          <w:spacing w:val="-1"/>
        </w:rPr>
        <w:t>量校准、精密度控制、准确度控制等质控手段。</w:t>
      </w:r>
    </w:p>
    <w:p>
      <w:pPr>
        <w:pStyle w:val="BodyText"/>
        <w:ind w:left="508"/>
        <w:spacing w:before="7" w:line="224" w:lineRule="auto"/>
        <w:rPr>
          <w:rFonts w:ascii="FangSong" w:hAnsi="FangSong" w:eastAsia="FangSong" w:cs="FangSong"/>
          <w:sz w:val="24"/>
          <w:szCs w:val="24"/>
        </w:rPr>
      </w:pPr>
      <w:r>
        <w:rPr>
          <w:sz w:val="24"/>
          <w:szCs w:val="24"/>
          <w:spacing w:val="-11"/>
        </w:rPr>
        <w:t>1</w:t>
      </w:r>
      <w:r>
        <w:rPr>
          <w:sz w:val="24"/>
          <w:szCs w:val="24"/>
          <w:spacing w:val="-24"/>
        </w:rPr>
        <w:t xml:space="preserve"> </w:t>
      </w:r>
      <w:r>
        <w:rPr>
          <w:rFonts w:ascii="FangSong" w:hAnsi="FangSong" w:eastAsia="FangSong" w:cs="FangSong"/>
          <w:sz w:val="24"/>
          <w:szCs w:val="24"/>
          <w:spacing w:val="-11"/>
        </w:rPr>
        <w:t>、空白试验</w:t>
      </w:r>
    </w:p>
    <w:p>
      <w:pPr>
        <w:ind w:left="13" w:right="38" w:firstLine="491"/>
        <w:spacing w:before="176" w:line="360" w:lineRule="auto"/>
        <w:rPr>
          <w:rFonts w:ascii="FangSong" w:hAnsi="FangSong" w:eastAsia="FangSong" w:cs="FangSong"/>
          <w:sz w:val="24"/>
          <w:szCs w:val="24"/>
        </w:rPr>
      </w:pPr>
      <w:r>
        <w:rPr>
          <w:rFonts w:ascii="FangSong" w:hAnsi="FangSong" w:eastAsia="FangSong" w:cs="FangSong"/>
          <w:sz w:val="24"/>
          <w:szCs w:val="24"/>
          <w:spacing w:val="-3"/>
        </w:rPr>
        <w:t>每批次样品分析时，均进行空白试验。要求方法空白的检测值小于方法检出限，本</w:t>
      </w:r>
      <w:r>
        <w:rPr>
          <w:rFonts w:ascii="FangSong" w:hAnsi="FangSong" w:eastAsia="FangSong" w:cs="FangSong"/>
          <w:sz w:val="24"/>
          <w:szCs w:val="24"/>
          <w:spacing w:val="-4"/>
        </w:rPr>
        <w:t>项目所</w:t>
      </w:r>
      <w:r>
        <w:rPr>
          <w:rFonts w:ascii="FangSong" w:hAnsi="FangSong" w:eastAsia="FangSong" w:cs="FangSong"/>
          <w:sz w:val="24"/>
          <w:szCs w:val="24"/>
        </w:rPr>
        <w:t xml:space="preserve"> </w:t>
      </w:r>
      <w:r>
        <w:rPr>
          <w:rFonts w:ascii="FangSong" w:hAnsi="FangSong" w:eastAsia="FangSong" w:cs="FangSong"/>
          <w:sz w:val="24"/>
          <w:szCs w:val="24"/>
          <w:spacing w:val="-1"/>
        </w:rPr>
        <w:t>有方法空白的检出限均小于报告限值。</w:t>
      </w:r>
    </w:p>
    <w:p>
      <w:pPr>
        <w:ind w:left="15" w:firstLine="480"/>
        <w:spacing w:line="360" w:lineRule="auto"/>
        <w:jc w:val="both"/>
        <w:rPr>
          <w:rFonts w:ascii="FangSong" w:hAnsi="FangSong" w:eastAsia="FangSong" w:cs="FangSong"/>
          <w:sz w:val="24"/>
          <w:szCs w:val="24"/>
        </w:rPr>
      </w:pPr>
      <w:r>
        <w:rPr>
          <w:rFonts w:ascii="FangSong" w:hAnsi="FangSong" w:eastAsia="FangSong" w:cs="FangSong"/>
          <w:sz w:val="24"/>
          <w:szCs w:val="24"/>
          <w:spacing w:val="-2"/>
        </w:rPr>
        <w:t>用与采样同批次清洗或新购的采样瓶（广口瓶、吹扫捕集瓶、玻璃瓶等）进行空白试验，</w:t>
      </w:r>
      <w:r>
        <w:rPr>
          <w:rFonts w:ascii="FangSong" w:hAnsi="FangSong" w:eastAsia="FangSong" w:cs="FangSong"/>
          <w:sz w:val="24"/>
          <w:szCs w:val="24"/>
          <w:spacing w:val="6"/>
        </w:rPr>
        <w:t xml:space="preserve"> </w:t>
      </w:r>
      <w:r>
        <w:rPr>
          <w:rFonts w:ascii="FangSong" w:hAnsi="FangSong" w:eastAsia="FangSong" w:cs="FangSong"/>
          <w:sz w:val="24"/>
          <w:szCs w:val="24"/>
          <w:spacing w:val="-3"/>
        </w:rPr>
        <w:t>空白实验结果小于检出限或未检出时，样品测定结果方有效。检测结果表明，空白试验结果均</w:t>
      </w:r>
      <w:r>
        <w:rPr>
          <w:rFonts w:ascii="FangSong" w:hAnsi="FangSong" w:eastAsia="FangSong" w:cs="FangSong"/>
          <w:sz w:val="24"/>
          <w:szCs w:val="24"/>
          <w:spacing w:val="12"/>
        </w:rPr>
        <w:t xml:space="preserve"> </w:t>
      </w:r>
      <w:r>
        <w:rPr>
          <w:rFonts w:ascii="FangSong" w:hAnsi="FangSong" w:eastAsia="FangSong" w:cs="FangSong"/>
          <w:sz w:val="24"/>
          <w:szCs w:val="24"/>
          <w:spacing w:val="-3"/>
        </w:rPr>
        <w:t>小于检出限。</w:t>
      </w:r>
    </w:p>
    <w:p>
      <w:pPr>
        <w:pStyle w:val="BodyText"/>
        <w:ind w:left="485"/>
        <w:spacing w:before="1" w:line="221" w:lineRule="auto"/>
        <w:rPr>
          <w:rFonts w:ascii="FangSong" w:hAnsi="FangSong" w:eastAsia="FangSong" w:cs="FangSong"/>
          <w:sz w:val="24"/>
          <w:szCs w:val="24"/>
        </w:rPr>
      </w:pPr>
      <w:r>
        <w:rPr>
          <w:sz w:val="24"/>
          <w:szCs w:val="24"/>
          <w:spacing w:val="-7"/>
        </w:rPr>
        <w:t>2</w:t>
      </w:r>
      <w:r>
        <w:rPr>
          <w:sz w:val="24"/>
          <w:szCs w:val="24"/>
          <w:spacing w:val="-25"/>
        </w:rPr>
        <w:t xml:space="preserve"> </w:t>
      </w:r>
      <w:r>
        <w:rPr>
          <w:rFonts w:ascii="FangSong" w:hAnsi="FangSong" w:eastAsia="FangSong" w:cs="FangSong"/>
          <w:sz w:val="24"/>
          <w:szCs w:val="24"/>
          <w:spacing w:val="-7"/>
        </w:rPr>
        <w:t>、定量校准</w:t>
      </w:r>
    </w:p>
    <w:p>
      <w:pPr>
        <w:pStyle w:val="BodyText"/>
        <w:ind w:left="500"/>
        <w:spacing w:before="180" w:line="221" w:lineRule="auto"/>
        <w:rPr>
          <w:rFonts w:ascii="FangSong" w:hAnsi="FangSong" w:eastAsia="FangSong" w:cs="FangSong"/>
          <w:sz w:val="24"/>
          <w:szCs w:val="24"/>
        </w:rPr>
      </w:pPr>
      <w:r>
        <w:rPr>
          <w:rFonts w:ascii="FangSong" w:hAnsi="FangSong" w:eastAsia="FangSong" w:cs="FangSong"/>
          <w:sz w:val="24"/>
          <w:szCs w:val="24"/>
          <w:spacing w:val="-3"/>
        </w:rPr>
        <w:t>（</w:t>
      </w:r>
      <w:r>
        <w:rPr>
          <w:sz w:val="24"/>
          <w:szCs w:val="24"/>
          <w:spacing w:val="-3"/>
        </w:rPr>
        <w:t>1</w:t>
      </w:r>
      <w:r>
        <w:rPr>
          <w:rFonts w:ascii="FangSong" w:hAnsi="FangSong" w:eastAsia="FangSong" w:cs="FangSong"/>
          <w:sz w:val="24"/>
          <w:szCs w:val="24"/>
          <w:spacing w:val="-3"/>
        </w:rPr>
        <w:t>）标准物质</w:t>
      </w:r>
    </w:p>
    <w:p>
      <w:pPr>
        <w:pStyle w:val="BodyText"/>
        <w:ind w:left="13" w:right="38" w:firstLine="485"/>
        <w:spacing w:before="181" w:line="360" w:lineRule="auto"/>
        <w:rPr>
          <w:rFonts w:ascii="FangSong" w:hAnsi="FangSong" w:eastAsia="FangSong" w:cs="FangSong"/>
          <w:sz w:val="24"/>
          <w:szCs w:val="24"/>
        </w:rPr>
      </w:pPr>
      <w:r>
        <w:rPr>
          <w:rFonts w:ascii="FangSong" w:hAnsi="FangSong" w:eastAsia="FangSong" w:cs="FangSong"/>
          <w:sz w:val="24"/>
          <w:szCs w:val="24"/>
          <w:spacing w:val="-3"/>
        </w:rPr>
        <w:t>分析仪器校准首先选用有证标准物质。当没有有证标准物质时，也可用纯度较高（一般不</w:t>
      </w:r>
      <w:r>
        <w:rPr>
          <w:rFonts w:ascii="FangSong" w:hAnsi="FangSong" w:eastAsia="FangSong" w:cs="FangSong"/>
          <w:sz w:val="24"/>
          <w:szCs w:val="24"/>
          <w:spacing w:val="3"/>
        </w:rPr>
        <w:t xml:space="preserve"> </w:t>
      </w:r>
      <w:r>
        <w:rPr>
          <w:rFonts w:ascii="FangSong" w:hAnsi="FangSong" w:eastAsia="FangSong" w:cs="FangSong"/>
          <w:sz w:val="24"/>
          <w:szCs w:val="24"/>
          <w:spacing w:val="-2"/>
        </w:rPr>
        <w:t>低于</w:t>
      </w:r>
      <w:r>
        <w:rPr>
          <w:sz w:val="24"/>
          <w:szCs w:val="24"/>
          <w:spacing w:val="-2"/>
        </w:rPr>
        <w:t>98%</w:t>
      </w:r>
      <w:r>
        <w:rPr>
          <w:rFonts w:ascii="FangSong" w:hAnsi="FangSong" w:eastAsia="FangSong" w:cs="FangSong"/>
          <w:sz w:val="24"/>
          <w:szCs w:val="24"/>
          <w:spacing w:val="-2"/>
        </w:rPr>
        <w:t>）、性质稳定的化学试剂直接配制仪器校准用标准溶液。本项目分析仪器校准均选用</w:t>
      </w:r>
      <w:r>
        <w:rPr>
          <w:rFonts w:ascii="FangSong" w:hAnsi="FangSong" w:eastAsia="FangSong" w:cs="FangSong"/>
          <w:sz w:val="24"/>
          <w:szCs w:val="24"/>
          <w:spacing w:val="16"/>
        </w:rPr>
        <w:t xml:space="preserve"> </w:t>
      </w:r>
      <w:r>
        <w:rPr>
          <w:rFonts w:ascii="FangSong" w:hAnsi="FangSong" w:eastAsia="FangSong" w:cs="FangSong"/>
          <w:sz w:val="24"/>
          <w:szCs w:val="24"/>
          <w:spacing w:val="-2"/>
        </w:rPr>
        <w:t>有证标准物质。</w:t>
      </w:r>
    </w:p>
    <w:p>
      <w:pPr>
        <w:spacing w:line="360" w:lineRule="auto"/>
        <w:sectPr>
          <w:headerReference w:type="default" r:id="rId126"/>
          <w:footerReference w:type="default" r:id="rId154"/>
          <w:pgSz w:w="11906" w:h="16839"/>
          <w:pgMar w:top="1139" w:right="1040" w:bottom="1252" w:left="1080" w:header="831" w:footer="1090" w:gutter="0"/>
        </w:sectPr>
        <w:rPr>
          <w:rFonts w:ascii="FangSong" w:hAnsi="FangSong" w:eastAsia="FangSong" w:cs="FangSong"/>
          <w:sz w:val="24"/>
          <w:szCs w:val="24"/>
        </w:rPr>
      </w:pPr>
    </w:p>
    <w:p>
      <w:pPr>
        <w:spacing w:line="333" w:lineRule="auto"/>
        <w:rPr>
          <w:rFonts w:ascii="Arial"/>
          <w:sz w:val="21"/>
        </w:rPr>
      </w:pPr>
      <w:r/>
    </w:p>
    <w:p>
      <w:pPr>
        <w:pStyle w:val="BodyText"/>
        <w:ind w:left="500"/>
        <w:spacing w:before="78" w:line="222" w:lineRule="auto"/>
        <w:rPr>
          <w:rFonts w:ascii="FangSong" w:hAnsi="FangSong" w:eastAsia="FangSong" w:cs="FangSong"/>
          <w:sz w:val="24"/>
          <w:szCs w:val="24"/>
        </w:rPr>
      </w:pPr>
      <w:r>
        <w:rPr>
          <w:rFonts w:ascii="FangSong" w:hAnsi="FangSong" w:eastAsia="FangSong" w:cs="FangSong"/>
          <w:sz w:val="24"/>
          <w:szCs w:val="24"/>
          <w:spacing w:val="-3"/>
        </w:rPr>
        <w:t>（</w:t>
      </w:r>
      <w:r>
        <w:rPr>
          <w:sz w:val="24"/>
          <w:szCs w:val="24"/>
          <w:spacing w:val="-3"/>
        </w:rPr>
        <w:t>2</w:t>
      </w:r>
      <w:r>
        <w:rPr>
          <w:rFonts w:ascii="FangSong" w:hAnsi="FangSong" w:eastAsia="FangSong" w:cs="FangSong"/>
          <w:sz w:val="24"/>
          <w:szCs w:val="24"/>
          <w:spacing w:val="-3"/>
        </w:rPr>
        <w:t>）校准曲线</w:t>
      </w:r>
    </w:p>
    <w:p>
      <w:pPr>
        <w:pStyle w:val="BodyText"/>
        <w:ind w:left="15" w:right="72" w:firstLine="481"/>
        <w:spacing w:before="179" w:line="360" w:lineRule="auto"/>
        <w:rPr>
          <w:rFonts w:ascii="FangSong" w:hAnsi="FangSong" w:eastAsia="FangSong" w:cs="FangSong"/>
          <w:sz w:val="24"/>
          <w:szCs w:val="24"/>
        </w:rPr>
      </w:pPr>
      <w:r>
        <w:rPr>
          <w:rFonts w:ascii="FangSong" w:hAnsi="FangSong" w:eastAsia="FangSong" w:cs="FangSong"/>
          <w:sz w:val="24"/>
          <w:szCs w:val="24"/>
        </w:rPr>
        <w:t>采用校准曲线法进行定量分析时，至少使用</w:t>
      </w:r>
      <w:r>
        <w:rPr>
          <w:sz w:val="24"/>
          <w:szCs w:val="24"/>
        </w:rPr>
        <w:t>5</w:t>
      </w:r>
      <w:r>
        <w:rPr>
          <w:rFonts w:ascii="FangSong" w:hAnsi="FangSong" w:eastAsia="FangSong" w:cs="FangSong"/>
          <w:sz w:val="24"/>
          <w:szCs w:val="24"/>
        </w:rPr>
        <w:t>个</w:t>
      </w:r>
      <w:r>
        <w:rPr>
          <w:rFonts w:ascii="FangSong" w:hAnsi="FangSong" w:eastAsia="FangSong" w:cs="FangSong"/>
          <w:sz w:val="24"/>
          <w:szCs w:val="24"/>
          <w:spacing w:val="-1"/>
        </w:rPr>
        <w:t>浓度梯度的标准溶液（除空白外</w:t>
      </w:r>
      <w:r>
        <w:rPr>
          <w:rFonts w:ascii="FangSong" w:hAnsi="FangSong" w:eastAsia="FangSong" w:cs="FangSong"/>
          <w:sz w:val="24"/>
          <w:szCs w:val="24"/>
          <w:spacing w:val="10"/>
        </w:rPr>
        <w:t>），</w:t>
      </w:r>
      <w:r>
        <w:rPr>
          <w:rFonts w:ascii="FangSong" w:hAnsi="FangSong" w:eastAsia="FangSong" w:cs="FangSong"/>
          <w:sz w:val="24"/>
          <w:szCs w:val="24"/>
          <w:spacing w:val="-1"/>
        </w:rPr>
        <w:t>覆盖</w:t>
      </w:r>
      <w:r>
        <w:rPr>
          <w:rFonts w:ascii="FangSong" w:hAnsi="FangSong" w:eastAsia="FangSong" w:cs="FangSong"/>
          <w:sz w:val="24"/>
          <w:szCs w:val="24"/>
          <w:spacing w:val="1"/>
        </w:rPr>
        <w:t xml:space="preserve"> </w:t>
      </w:r>
      <w:r>
        <w:rPr>
          <w:rFonts w:ascii="FangSong" w:hAnsi="FangSong" w:eastAsia="FangSong" w:cs="FangSong"/>
          <w:sz w:val="24"/>
          <w:szCs w:val="24"/>
          <w:spacing w:val="-3"/>
        </w:rPr>
        <w:t>被测样品的浓度范围，且最低点浓度应接近方法测定下限的水平。分析测试方法有规定时，按</w:t>
      </w:r>
      <w:r>
        <w:rPr>
          <w:rFonts w:ascii="FangSong" w:hAnsi="FangSong" w:eastAsia="FangSong" w:cs="FangSong"/>
          <w:sz w:val="24"/>
          <w:szCs w:val="24"/>
          <w:spacing w:val="12"/>
        </w:rPr>
        <w:t xml:space="preserve"> </w:t>
      </w:r>
      <w:r>
        <w:rPr>
          <w:rFonts w:ascii="FangSong" w:hAnsi="FangSong" w:eastAsia="FangSong" w:cs="FangSong"/>
          <w:sz w:val="24"/>
          <w:szCs w:val="24"/>
          <w:spacing w:val="-2"/>
        </w:rPr>
        <w:t>分析测试方法的规定进行；分析测试方法无规定时，校准曲线相关系数要求为</w:t>
      </w:r>
      <w:r>
        <w:rPr>
          <w:sz w:val="24"/>
          <w:szCs w:val="24"/>
          <w:spacing w:val="-2"/>
        </w:rPr>
        <w:t>R</w:t>
      </w:r>
      <w:r>
        <w:rPr>
          <w:rFonts w:ascii="FangSong" w:hAnsi="FangSong" w:eastAsia="FangSong" w:cs="FangSong"/>
          <w:sz w:val="24"/>
          <w:szCs w:val="24"/>
          <w:spacing w:val="-2"/>
        </w:rPr>
        <w:t>＞</w:t>
      </w:r>
      <w:r>
        <w:rPr>
          <w:sz w:val="24"/>
          <w:szCs w:val="24"/>
          <w:spacing w:val="-2"/>
        </w:rPr>
        <w:t>0.999</w:t>
      </w:r>
      <w:r>
        <w:rPr>
          <w:rFonts w:ascii="FangSong" w:hAnsi="FangSong" w:eastAsia="FangSong" w:cs="FangSong"/>
          <w:sz w:val="24"/>
          <w:szCs w:val="24"/>
          <w:spacing w:val="-3"/>
        </w:rPr>
        <w:t>。本项</w:t>
      </w:r>
      <w:r>
        <w:rPr>
          <w:rFonts w:ascii="FangSong" w:hAnsi="FangSong" w:eastAsia="FangSong" w:cs="FangSong"/>
          <w:sz w:val="24"/>
          <w:szCs w:val="24"/>
        </w:rPr>
        <w:t xml:space="preserve"> </w:t>
      </w:r>
      <w:r>
        <w:rPr>
          <w:rFonts w:ascii="FangSong" w:hAnsi="FangSong" w:eastAsia="FangSong" w:cs="FangSong"/>
          <w:sz w:val="24"/>
          <w:szCs w:val="24"/>
          <w:spacing w:val="-1"/>
        </w:rPr>
        <w:t>目校准曲线相关系数均大于</w:t>
      </w:r>
      <w:r>
        <w:rPr>
          <w:sz w:val="24"/>
          <w:szCs w:val="24"/>
          <w:spacing w:val="-1"/>
        </w:rPr>
        <w:t>0.999</w:t>
      </w:r>
      <w:r>
        <w:rPr>
          <w:rFonts w:ascii="FangSong" w:hAnsi="FangSong" w:eastAsia="FangSong" w:cs="FangSong"/>
          <w:sz w:val="24"/>
          <w:szCs w:val="24"/>
          <w:spacing w:val="-1"/>
        </w:rPr>
        <w:t>。</w:t>
      </w:r>
    </w:p>
    <w:p>
      <w:pPr>
        <w:pStyle w:val="BodyText"/>
        <w:ind w:left="500"/>
        <w:spacing w:line="219" w:lineRule="auto"/>
        <w:rPr>
          <w:rFonts w:ascii="FangSong" w:hAnsi="FangSong" w:eastAsia="FangSong" w:cs="FangSong"/>
          <w:sz w:val="24"/>
          <w:szCs w:val="24"/>
        </w:rPr>
      </w:pPr>
      <w:r>
        <w:rPr>
          <w:rFonts w:ascii="FangSong" w:hAnsi="FangSong" w:eastAsia="FangSong" w:cs="FangSong"/>
          <w:sz w:val="24"/>
          <w:szCs w:val="24"/>
          <w:spacing w:val="-3"/>
        </w:rPr>
        <w:t>（</w:t>
      </w:r>
      <w:r>
        <w:rPr>
          <w:sz w:val="24"/>
          <w:szCs w:val="24"/>
          <w:spacing w:val="-3"/>
        </w:rPr>
        <w:t>3</w:t>
      </w:r>
      <w:r>
        <w:rPr>
          <w:rFonts w:ascii="FangSong" w:hAnsi="FangSong" w:eastAsia="FangSong" w:cs="FangSong"/>
          <w:sz w:val="24"/>
          <w:szCs w:val="24"/>
          <w:spacing w:val="-3"/>
        </w:rPr>
        <w:t>）仪器稳定性检查</w:t>
      </w:r>
    </w:p>
    <w:p>
      <w:pPr>
        <w:ind w:left="15" w:right="72" w:firstLine="480"/>
        <w:spacing w:before="182" w:line="360" w:lineRule="auto"/>
        <w:rPr>
          <w:rFonts w:ascii="FangSong" w:hAnsi="FangSong" w:eastAsia="FangSong" w:cs="FangSong"/>
          <w:sz w:val="24"/>
          <w:szCs w:val="24"/>
        </w:rPr>
      </w:pPr>
      <w:r>
        <w:rPr>
          <w:rFonts w:ascii="FangSong" w:hAnsi="FangSong" w:eastAsia="FangSong" w:cs="FangSong"/>
          <w:sz w:val="24"/>
          <w:szCs w:val="24"/>
          <w:spacing w:val="-3"/>
        </w:rPr>
        <w:t>本项目每次检测均检查检测仪器设备是否正常完好，其校准状态标识是否有效，并做好相</w:t>
      </w:r>
      <w:r>
        <w:rPr>
          <w:rFonts w:ascii="FangSong" w:hAnsi="FangSong" w:eastAsia="FangSong" w:cs="FangSong"/>
          <w:sz w:val="24"/>
          <w:szCs w:val="24"/>
          <w:spacing w:val="5"/>
        </w:rPr>
        <w:t xml:space="preserve"> </w:t>
      </w:r>
      <w:r>
        <w:rPr>
          <w:rFonts w:ascii="FangSong" w:hAnsi="FangSong" w:eastAsia="FangSong" w:cs="FangSong"/>
          <w:sz w:val="24"/>
          <w:szCs w:val="24"/>
          <w:spacing w:val="-3"/>
        </w:rPr>
        <w:t>关记录。检测人员均正确操作检测仪器设备，并如实记录检测原始观察数据或现象。本项目检</w:t>
      </w:r>
      <w:r>
        <w:rPr>
          <w:rFonts w:ascii="FangSong" w:hAnsi="FangSong" w:eastAsia="FangSong" w:cs="FangSong"/>
          <w:sz w:val="24"/>
          <w:szCs w:val="24"/>
          <w:spacing w:val="12"/>
        </w:rPr>
        <w:t xml:space="preserve"> </w:t>
      </w:r>
      <w:r>
        <w:rPr>
          <w:rFonts w:ascii="FangSong" w:hAnsi="FangSong" w:eastAsia="FangSong" w:cs="FangSong"/>
          <w:sz w:val="24"/>
          <w:szCs w:val="24"/>
          <w:spacing w:val="-1"/>
        </w:rPr>
        <w:t>测期间仪器设备均正常完好，校准状态有效，标识清晰，记录完整。</w:t>
      </w:r>
    </w:p>
    <w:p>
      <w:pPr>
        <w:pStyle w:val="BodyText"/>
        <w:ind w:left="489"/>
        <w:spacing w:before="1" w:line="221" w:lineRule="auto"/>
        <w:rPr>
          <w:rFonts w:ascii="FangSong" w:hAnsi="FangSong" w:eastAsia="FangSong" w:cs="FangSong"/>
          <w:sz w:val="24"/>
          <w:szCs w:val="24"/>
        </w:rPr>
      </w:pPr>
      <w:r>
        <w:rPr>
          <w:sz w:val="24"/>
          <w:szCs w:val="24"/>
          <w:spacing w:val="-7"/>
        </w:rPr>
        <w:t>3</w:t>
      </w:r>
      <w:r>
        <w:rPr>
          <w:sz w:val="24"/>
          <w:szCs w:val="24"/>
          <w:spacing w:val="-22"/>
        </w:rPr>
        <w:t xml:space="preserve"> </w:t>
      </w:r>
      <w:r>
        <w:rPr>
          <w:rFonts w:ascii="FangSong" w:hAnsi="FangSong" w:eastAsia="FangSong" w:cs="FangSong"/>
          <w:sz w:val="24"/>
          <w:szCs w:val="24"/>
          <w:spacing w:val="-7"/>
        </w:rPr>
        <w:t>、精密度控制</w:t>
      </w:r>
    </w:p>
    <w:p>
      <w:pPr>
        <w:pStyle w:val="BodyText"/>
        <w:ind w:left="15" w:firstLine="484"/>
        <w:spacing w:before="179" w:line="360" w:lineRule="auto"/>
        <w:rPr>
          <w:rFonts w:ascii="FangSong" w:hAnsi="FangSong" w:eastAsia="FangSong" w:cs="FangSong"/>
          <w:sz w:val="24"/>
          <w:szCs w:val="24"/>
        </w:rPr>
      </w:pPr>
      <w:r>
        <w:rPr>
          <w:rFonts w:ascii="FangSong" w:hAnsi="FangSong" w:eastAsia="FangSong" w:cs="FangSong"/>
          <w:sz w:val="24"/>
          <w:szCs w:val="24"/>
          <w:spacing w:val="-1"/>
        </w:rPr>
        <w:t>通过平行双样进行精密度控制。每批次样品分析时，每个检测项目（除挥发性有</w:t>
      </w:r>
      <w:r>
        <w:rPr>
          <w:rFonts w:ascii="FangSong" w:hAnsi="FangSong" w:eastAsia="FangSong" w:cs="FangSong"/>
          <w:sz w:val="24"/>
          <w:szCs w:val="24"/>
          <w:spacing w:val="-2"/>
        </w:rPr>
        <w:t>机物外）</w:t>
      </w:r>
      <w:r>
        <w:rPr>
          <w:rFonts w:ascii="FangSong" w:hAnsi="FangSong" w:eastAsia="FangSong" w:cs="FangSong"/>
          <w:sz w:val="24"/>
          <w:szCs w:val="24"/>
        </w:rPr>
        <w:t xml:space="preserve"> </w:t>
      </w:r>
      <w:r>
        <w:rPr>
          <w:rFonts w:ascii="FangSong" w:hAnsi="FangSong" w:eastAsia="FangSong" w:cs="FangSong"/>
          <w:sz w:val="24"/>
          <w:szCs w:val="24"/>
          <w:spacing w:val="-1"/>
        </w:rPr>
        <w:t>均做平行双样分析。在每批次分析样品中，每</w:t>
      </w:r>
      <w:r>
        <w:rPr>
          <w:sz w:val="24"/>
          <w:szCs w:val="24"/>
          <w:spacing w:val="-1"/>
        </w:rPr>
        <w:t>20</w:t>
      </w:r>
      <w:r>
        <w:rPr>
          <w:rFonts w:ascii="FangSong" w:hAnsi="FangSong" w:eastAsia="FangSong" w:cs="FangSong"/>
          <w:sz w:val="24"/>
          <w:szCs w:val="24"/>
          <w:spacing w:val="-1"/>
        </w:rPr>
        <w:t>个样品分析</w:t>
      </w:r>
      <w:r>
        <w:rPr>
          <w:sz w:val="24"/>
          <w:szCs w:val="24"/>
          <w:spacing w:val="-1"/>
        </w:rPr>
        <w:t>1</w:t>
      </w:r>
      <w:r>
        <w:rPr>
          <w:rFonts w:ascii="FangSong" w:hAnsi="FangSong" w:eastAsia="FangSong" w:cs="FangSong"/>
          <w:sz w:val="24"/>
          <w:szCs w:val="24"/>
          <w:spacing w:val="-1"/>
        </w:rPr>
        <w:t>个平行样；当批次样品数＜</w:t>
      </w:r>
      <w:r>
        <w:rPr>
          <w:sz w:val="24"/>
          <w:szCs w:val="24"/>
          <w:spacing w:val="-1"/>
        </w:rPr>
        <w:t>5</w:t>
      </w:r>
      <w:r>
        <w:rPr>
          <w:rFonts w:ascii="FangSong" w:hAnsi="FangSong" w:eastAsia="FangSong" w:cs="FangSong"/>
          <w:sz w:val="24"/>
          <w:szCs w:val="24"/>
          <w:spacing w:val="-1"/>
        </w:rPr>
        <w:t>时，</w:t>
      </w:r>
      <w:r>
        <w:rPr>
          <w:rFonts w:ascii="FangSong" w:hAnsi="FangSong" w:eastAsia="FangSong" w:cs="FangSong"/>
          <w:sz w:val="24"/>
          <w:szCs w:val="24"/>
          <w:spacing w:val="5"/>
        </w:rPr>
        <w:t xml:space="preserve"> </w:t>
      </w:r>
      <w:r>
        <w:rPr>
          <w:rFonts w:ascii="FangSong" w:hAnsi="FangSong" w:eastAsia="FangSong" w:cs="FangSong"/>
          <w:sz w:val="24"/>
          <w:szCs w:val="24"/>
          <w:spacing w:val="-1"/>
        </w:rPr>
        <w:t>至少随机抽取</w:t>
      </w:r>
      <w:r>
        <w:rPr>
          <w:sz w:val="24"/>
          <w:szCs w:val="24"/>
          <w:spacing w:val="-1"/>
        </w:rPr>
        <w:t>1</w:t>
      </w:r>
      <w:r>
        <w:rPr>
          <w:rFonts w:ascii="FangSong" w:hAnsi="FangSong" w:eastAsia="FangSong" w:cs="FangSong"/>
          <w:sz w:val="24"/>
          <w:szCs w:val="24"/>
          <w:spacing w:val="-1"/>
        </w:rPr>
        <w:t>个样品进行平行双样分析。</w:t>
      </w:r>
    </w:p>
    <w:p>
      <w:pPr>
        <w:pStyle w:val="BodyText"/>
        <w:ind w:left="16" w:right="33" w:firstLine="479"/>
        <w:spacing w:line="360" w:lineRule="auto"/>
        <w:jc w:val="both"/>
        <w:rPr>
          <w:rFonts w:ascii="FangSong" w:hAnsi="FangSong" w:eastAsia="FangSong" w:cs="FangSong"/>
          <w:sz w:val="24"/>
          <w:szCs w:val="24"/>
        </w:rPr>
      </w:pPr>
      <w:r>
        <w:rPr>
          <w:rFonts w:ascii="FangSong" w:hAnsi="FangSong" w:eastAsia="FangSong" w:cs="FangSong"/>
          <w:sz w:val="24"/>
          <w:szCs w:val="24"/>
          <w:spacing w:val="-1"/>
        </w:rPr>
        <w:t>若平行双样测定值（</w:t>
      </w:r>
      <w:r>
        <w:rPr>
          <w:sz w:val="24"/>
          <w:szCs w:val="24"/>
          <w:spacing w:val="-1"/>
        </w:rPr>
        <w:t>A</w:t>
      </w:r>
      <w:r>
        <w:rPr>
          <w:rFonts w:ascii="FangSong" w:hAnsi="FangSong" w:eastAsia="FangSong" w:cs="FangSong"/>
          <w:sz w:val="24"/>
          <w:szCs w:val="24"/>
          <w:spacing w:val="-1"/>
        </w:rPr>
        <w:t>，</w:t>
      </w:r>
      <w:r>
        <w:rPr>
          <w:sz w:val="24"/>
          <w:szCs w:val="24"/>
          <w:spacing w:val="-1"/>
        </w:rPr>
        <w:t>B</w:t>
      </w:r>
      <w:r>
        <w:rPr>
          <w:rFonts w:ascii="FangSong" w:hAnsi="FangSong" w:eastAsia="FangSong" w:cs="FangSong"/>
          <w:sz w:val="24"/>
          <w:szCs w:val="24"/>
          <w:spacing w:val="-1"/>
        </w:rPr>
        <w:t>）的相对偏差（</w:t>
      </w:r>
      <w:r>
        <w:rPr>
          <w:sz w:val="24"/>
          <w:szCs w:val="24"/>
          <w:spacing w:val="-1"/>
        </w:rPr>
        <w:t>RD</w:t>
      </w:r>
      <w:r>
        <w:rPr>
          <w:rFonts w:ascii="FangSong" w:hAnsi="FangSong" w:eastAsia="FangSong" w:cs="FangSong"/>
          <w:sz w:val="24"/>
          <w:szCs w:val="24"/>
          <w:spacing w:val="-1"/>
        </w:rPr>
        <w:t>）</w:t>
      </w:r>
      <w:r>
        <w:rPr>
          <w:rFonts w:ascii="FangSong" w:hAnsi="FangSong" w:eastAsia="FangSong" w:cs="FangSong"/>
          <w:sz w:val="24"/>
          <w:szCs w:val="24"/>
          <w:spacing w:val="-2"/>
        </w:rPr>
        <w:t>在允许范围内，则该平行双样的精密度控</w:t>
      </w:r>
      <w:r>
        <w:rPr>
          <w:rFonts w:ascii="FangSong" w:hAnsi="FangSong" w:eastAsia="FangSong" w:cs="FangSong"/>
          <w:sz w:val="24"/>
          <w:szCs w:val="24"/>
        </w:rPr>
        <w:t xml:space="preserve"> </w:t>
      </w:r>
      <w:r>
        <w:rPr>
          <w:rFonts w:ascii="FangSong" w:hAnsi="FangSong" w:eastAsia="FangSong" w:cs="FangSong"/>
          <w:sz w:val="24"/>
          <w:szCs w:val="24"/>
          <w:spacing w:val="-1"/>
        </w:rPr>
        <w:t>制为合格，否则为不合格。平行双样分析测试合格率要求应达到</w:t>
      </w:r>
      <w:r>
        <w:rPr>
          <w:sz w:val="24"/>
          <w:szCs w:val="24"/>
          <w:spacing w:val="-1"/>
        </w:rPr>
        <w:t>95%</w:t>
      </w:r>
      <w:r>
        <w:rPr>
          <w:sz w:val="24"/>
          <w:szCs w:val="24"/>
          <w:spacing w:val="-10"/>
        </w:rPr>
        <w:t xml:space="preserve"> </w:t>
      </w:r>
      <w:r>
        <w:rPr>
          <w:rFonts w:ascii="FangSong" w:hAnsi="FangSong" w:eastAsia="FangSong" w:cs="FangSong"/>
          <w:sz w:val="24"/>
          <w:szCs w:val="24"/>
          <w:spacing w:val="-1"/>
        </w:rPr>
        <w:t>。当合格率小于</w:t>
      </w:r>
      <w:r>
        <w:rPr>
          <w:sz w:val="24"/>
          <w:szCs w:val="24"/>
          <w:spacing w:val="-1"/>
        </w:rPr>
        <w:t>95%</w:t>
      </w:r>
      <w:r>
        <w:rPr>
          <w:rFonts w:ascii="FangSong" w:hAnsi="FangSong" w:eastAsia="FangSong" w:cs="FangSong"/>
          <w:sz w:val="24"/>
          <w:szCs w:val="24"/>
          <w:spacing w:val="-1"/>
        </w:rPr>
        <w:t>时，</w:t>
      </w:r>
      <w:r>
        <w:rPr>
          <w:rFonts w:ascii="FangSong" w:hAnsi="FangSong" w:eastAsia="FangSong" w:cs="FangSong"/>
          <w:sz w:val="24"/>
          <w:szCs w:val="24"/>
        </w:rPr>
        <w:t xml:space="preserve"> </w:t>
      </w:r>
      <w:r>
        <w:rPr>
          <w:rFonts w:ascii="FangSong" w:hAnsi="FangSong" w:eastAsia="FangSong" w:cs="FangSong"/>
          <w:sz w:val="24"/>
          <w:szCs w:val="24"/>
          <w:spacing w:val="-2"/>
        </w:rPr>
        <w:t>查明产生不合格结果的原因，采取适当的纠正和预防措施。除对不合格结果重新分析测试外，</w:t>
      </w:r>
      <w:r>
        <w:rPr>
          <w:rFonts w:ascii="FangSong" w:hAnsi="FangSong" w:eastAsia="FangSong" w:cs="FangSong"/>
          <w:sz w:val="24"/>
          <w:szCs w:val="24"/>
          <w:spacing w:val="9"/>
        </w:rPr>
        <w:t xml:space="preserve"> </w:t>
      </w:r>
      <w:r>
        <w:rPr>
          <w:rFonts w:ascii="FangSong" w:hAnsi="FangSong" w:eastAsia="FangSong" w:cs="FangSong"/>
          <w:sz w:val="24"/>
          <w:szCs w:val="24"/>
          <w:spacing w:val="-1"/>
        </w:rPr>
        <w:t>再增加</w:t>
      </w:r>
      <w:r>
        <w:rPr>
          <w:sz w:val="24"/>
          <w:szCs w:val="24"/>
          <w:spacing w:val="-1"/>
        </w:rPr>
        <w:t>5%</w:t>
      </w:r>
      <w:r>
        <w:rPr>
          <w:rFonts w:ascii="FangSong" w:hAnsi="FangSong" w:eastAsia="FangSong" w:cs="FangSong"/>
          <w:sz w:val="24"/>
          <w:szCs w:val="24"/>
          <w:spacing w:val="-1"/>
        </w:rPr>
        <w:t>～</w:t>
      </w:r>
      <w:r>
        <w:rPr>
          <w:sz w:val="24"/>
          <w:szCs w:val="24"/>
          <w:spacing w:val="-1"/>
        </w:rPr>
        <w:t>15%</w:t>
      </w:r>
      <w:r>
        <w:rPr>
          <w:rFonts w:ascii="FangSong" w:hAnsi="FangSong" w:eastAsia="FangSong" w:cs="FangSong"/>
          <w:sz w:val="24"/>
          <w:szCs w:val="24"/>
          <w:spacing w:val="-1"/>
        </w:rPr>
        <w:t>的平行双样分析比例，直至总合格率达到</w:t>
      </w:r>
      <w:r>
        <w:rPr>
          <w:sz w:val="24"/>
          <w:szCs w:val="24"/>
          <w:spacing w:val="-1"/>
        </w:rPr>
        <w:t>95%</w:t>
      </w:r>
      <w:r>
        <w:rPr>
          <w:rFonts w:ascii="FangSong" w:hAnsi="FangSong" w:eastAsia="FangSong" w:cs="FangSong"/>
          <w:sz w:val="24"/>
          <w:szCs w:val="24"/>
          <w:spacing w:val="-1"/>
        </w:rPr>
        <w:t>。</w:t>
      </w:r>
    </w:p>
    <w:p>
      <w:pPr>
        <w:pStyle w:val="BodyText"/>
        <w:ind w:left="483"/>
        <w:spacing w:line="222" w:lineRule="auto"/>
        <w:rPr>
          <w:rFonts w:ascii="FangSong" w:hAnsi="FangSong" w:eastAsia="FangSong" w:cs="FangSong"/>
          <w:sz w:val="24"/>
          <w:szCs w:val="24"/>
        </w:rPr>
      </w:pPr>
      <w:r>
        <w:rPr>
          <w:sz w:val="24"/>
          <w:szCs w:val="24"/>
          <w:spacing w:val="-6"/>
        </w:rPr>
        <w:t>4</w:t>
      </w:r>
      <w:r>
        <w:rPr>
          <w:sz w:val="24"/>
          <w:szCs w:val="24"/>
          <w:spacing w:val="-23"/>
        </w:rPr>
        <w:t xml:space="preserve"> </w:t>
      </w:r>
      <w:r>
        <w:rPr>
          <w:rFonts w:ascii="FangSong" w:hAnsi="FangSong" w:eastAsia="FangSong" w:cs="FangSong"/>
          <w:sz w:val="24"/>
          <w:szCs w:val="24"/>
          <w:spacing w:val="-6"/>
        </w:rPr>
        <w:t>、准确度控制</w:t>
      </w:r>
    </w:p>
    <w:p>
      <w:pPr>
        <w:pStyle w:val="BodyText"/>
        <w:ind w:left="500"/>
        <w:spacing w:before="180" w:line="221" w:lineRule="auto"/>
        <w:rPr>
          <w:rFonts w:ascii="FangSong" w:hAnsi="FangSong" w:eastAsia="FangSong" w:cs="FangSong"/>
          <w:sz w:val="24"/>
          <w:szCs w:val="24"/>
        </w:rPr>
      </w:pPr>
      <w:r>
        <w:rPr>
          <w:rFonts w:ascii="FangSong" w:hAnsi="FangSong" w:eastAsia="FangSong" w:cs="FangSong"/>
          <w:sz w:val="24"/>
          <w:szCs w:val="24"/>
          <w:spacing w:val="-2"/>
        </w:rPr>
        <w:t>（</w:t>
      </w:r>
      <w:r>
        <w:rPr>
          <w:sz w:val="24"/>
          <w:szCs w:val="24"/>
          <w:spacing w:val="-2"/>
        </w:rPr>
        <w:t>1</w:t>
      </w:r>
      <w:r>
        <w:rPr>
          <w:rFonts w:ascii="FangSong" w:hAnsi="FangSong" w:eastAsia="FangSong" w:cs="FangSong"/>
          <w:sz w:val="24"/>
          <w:szCs w:val="24"/>
          <w:spacing w:val="-2"/>
        </w:rPr>
        <w:t>）使用有证标准物质</w:t>
      </w:r>
    </w:p>
    <w:p>
      <w:pPr>
        <w:pStyle w:val="BodyText"/>
        <w:ind w:left="15" w:right="72" w:firstLine="506"/>
        <w:spacing w:before="180" w:line="360" w:lineRule="auto"/>
        <w:rPr>
          <w:rFonts w:ascii="FangSong" w:hAnsi="FangSong" w:eastAsia="FangSong" w:cs="FangSong"/>
          <w:sz w:val="24"/>
          <w:szCs w:val="24"/>
        </w:rPr>
      </w:pPr>
      <w:r>
        <w:rPr>
          <w:rFonts w:ascii="FangSong" w:hAnsi="FangSong" w:eastAsia="FangSong" w:cs="FangSong"/>
          <w:sz w:val="24"/>
          <w:szCs w:val="24"/>
          <w:spacing w:val="-3"/>
        </w:rPr>
        <w:t>当具备与被测样品基本相同或类似的有证标准</w:t>
      </w:r>
      <w:r>
        <w:rPr>
          <w:rFonts w:ascii="FangSong" w:hAnsi="FangSong" w:eastAsia="FangSong" w:cs="FangSong"/>
          <w:sz w:val="24"/>
          <w:szCs w:val="24"/>
          <w:spacing w:val="-4"/>
        </w:rPr>
        <w:t>物质时，应在每批样品分析时同步插入有证</w:t>
      </w:r>
      <w:r>
        <w:rPr>
          <w:rFonts w:ascii="FangSong" w:hAnsi="FangSong" w:eastAsia="FangSong" w:cs="FangSong"/>
          <w:sz w:val="24"/>
          <w:szCs w:val="24"/>
        </w:rPr>
        <w:t xml:space="preserve"> </w:t>
      </w:r>
      <w:r>
        <w:rPr>
          <w:rFonts w:ascii="FangSong" w:hAnsi="FangSong" w:eastAsia="FangSong" w:cs="FangSong"/>
          <w:sz w:val="24"/>
          <w:szCs w:val="24"/>
          <w:spacing w:val="1"/>
        </w:rPr>
        <w:t>标准物质样品进行测定。当批分析样品数≥</w:t>
      </w:r>
      <w:r>
        <w:rPr>
          <w:sz w:val="24"/>
          <w:szCs w:val="24"/>
          <w:spacing w:val="1"/>
        </w:rPr>
        <w:t>20</w:t>
      </w:r>
      <w:r>
        <w:rPr>
          <w:rFonts w:ascii="FangSong" w:hAnsi="FangSong" w:eastAsia="FangSong" w:cs="FangSong"/>
          <w:sz w:val="24"/>
          <w:szCs w:val="24"/>
          <w:spacing w:val="1"/>
        </w:rPr>
        <w:t>个时，按样品数</w:t>
      </w:r>
      <w:r>
        <w:rPr>
          <w:sz w:val="24"/>
          <w:szCs w:val="24"/>
          <w:spacing w:val="1"/>
        </w:rPr>
        <w:t>5%</w:t>
      </w:r>
      <w:r>
        <w:rPr>
          <w:rFonts w:ascii="FangSong" w:hAnsi="FangSong" w:eastAsia="FangSong" w:cs="FangSong"/>
          <w:sz w:val="24"/>
          <w:szCs w:val="24"/>
          <w:spacing w:val="1"/>
        </w:rPr>
        <w:t>比例插入标准物质样品；当</w:t>
      </w:r>
      <w:r>
        <w:rPr>
          <w:rFonts w:ascii="FangSong" w:hAnsi="FangSong" w:eastAsia="FangSong" w:cs="FangSong"/>
          <w:sz w:val="24"/>
          <w:szCs w:val="24"/>
          <w:spacing w:val="8"/>
        </w:rPr>
        <w:t xml:space="preserve"> </w:t>
      </w:r>
      <w:r>
        <w:rPr>
          <w:rFonts w:ascii="FangSong" w:hAnsi="FangSong" w:eastAsia="FangSong" w:cs="FangSong"/>
          <w:sz w:val="24"/>
          <w:szCs w:val="24"/>
        </w:rPr>
        <w:t>批分析样品数＜</w:t>
      </w:r>
      <w:r>
        <w:rPr>
          <w:sz w:val="24"/>
          <w:szCs w:val="24"/>
        </w:rPr>
        <w:t>20</w:t>
      </w:r>
      <w:r>
        <w:rPr>
          <w:rFonts w:ascii="FangSong" w:hAnsi="FangSong" w:eastAsia="FangSong" w:cs="FangSong"/>
          <w:sz w:val="24"/>
          <w:szCs w:val="24"/>
        </w:rPr>
        <w:t>个时，至少插入</w:t>
      </w:r>
      <w:r>
        <w:rPr>
          <w:sz w:val="24"/>
          <w:szCs w:val="24"/>
        </w:rPr>
        <w:t>1</w:t>
      </w:r>
      <w:r>
        <w:rPr>
          <w:rFonts w:ascii="FangSong" w:hAnsi="FangSong" w:eastAsia="FangSong" w:cs="FangSong"/>
          <w:sz w:val="24"/>
          <w:szCs w:val="24"/>
        </w:rPr>
        <w:t>个标准物质样品。当测定有证标准物质样品的结果落在保</w:t>
      </w:r>
      <w:r>
        <w:rPr>
          <w:rFonts w:ascii="FangSong" w:hAnsi="FangSong" w:eastAsia="FangSong" w:cs="FangSong"/>
          <w:sz w:val="24"/>
          <w:szCs w:val="24"/>
          <w:spacing w:val="7"/>
        </w:rPr>
        <w:t xml:space="preserve"> </w:t>
      </w:r>
      <w:r>
        <w:rPr>
          <w:rFonts w:ascii="FangSong" w:hAnsi="FangSong" w:eastAsia="FangSong" w:cs="FangSong"/>
          <w:sz w:val="24"/>
          <w:szCs w:val="24"/>
          <w:spacing w:val="-3"/>
        </w:rPr>
        <w:t>证值范围内时，判定该批样品分析测试准确度合格，但若不能落在保证值范围内则判定为不合</w:t>
      </w:r>
      <w:r>
        <w:rPr>
          <w:rFonts w:ascii="FangSong" w:hAnsi="FangSong" w:eastAsia="FangSong" w:cs="FangSong"/>
          <w:sz w:val="24"/>
          <w:szCs w:val="24"/>
          <w:spacing w:val="13"/>
        </w:rPr>
        <w:t xml:space="preserve"> </w:t>
      </w:r>
      <w:r>
        <w:rPr>
          <w:rFonts w:ascii="FangSong" w:hAnsi="FangSong" w:eastAsia="FangSong" w:cs="FangSong"/>
          <w:sz w:val="24"/>
          <w:szCs w:val="24"/>
          <w:spacing w:val="-1"/>
        </w:rPr>
        <w:t>格，并查明其原因，并对该批样品和该标准物质重新测定核查。</w:t>
      </w:r>
    </w:p>
    <w:p>
      <w:pPr>
        <w:pStyle w:val="BodyText"/>
        <w:ind w:left="500"/>
        <w:spacing w:before="1" w:line="222" w:lineRule="auto"/>
        <w:rPr>
          <w:rFonts w:ascii="FangSong" w:hAnsi="FangSong" w:eastAsia="FangSong" w:cs="FangSong"/>
          <w:sz w:val="24"/>
          <w:szCs w:val="24"/>
        </w:rPr>
      </w:pPr>
      <w:r>
        <w:rPr>
          <w:rFonts w:ascii="FangSong" w:hAnsi="FangSong" w:eastAsia="FangSong" w:cs="FangSong"/>
          <w:sz w:val="24"/>
          <w:szCs w:val="24"/>
          <w:spacing w:val="-3"/>
        </w:rPr>
        <w:t>（</w:t>
      </w:r>
      <w:r>
        <w:rPr>
          <w:sz w:val="24"/>
          <w:szCs w:val="24"/>
          <w:spacing w:val="-3"/>
        </w:rPr>
        <w:t>2</w:t>
      </w:r>
      <w:r>
        <w:rPr>
          <w:rFonts w:ascii="FangSong" w:hAnsi="FangSong" w:eastAsia="FangSong" w:cs="FangSong"/>
          <w:sz w:val="24"/>
          <w:szCs w:val="24"/>
          <w:spacing w:val="-3"/>
        </w:rPr>
        <w:t>）加标回收率</w:t>
      </w:r>
    </w:p>
    <w:p>
      <w:pPr>
        <w:ind w:left="15" w:right="72" w:firstLine="492"/>
        <w:spacing w:before="179" w:line="360" w:lineRule="auto"/>
        <w:rPr>
          <w:rFonts w:ascii="FangSong" w:hAnsi="FangSong" w:eastAsia="FangSong" w:cs="FangSong"/>
          <w:sz w:val="24"/>
          <w:szCs w:val="24"/>
        </w:rPr>
      </w:pPr>
      <w:r>
        <w:rPr>
          <w:rFonts w:ascii="FangSong" w:hAnsi="FangSong" w:eastAsia="FangSong" w:cs="FangSong"/>
          <w:sz w:val="24"/>
          <w:szCs w:val="24"/>
          <w:spacing w:val="-3"/>
        </w:rPr>
        <w:t>除土壤重金属指标外，没有合适的土壤或地下水有证标准物质或质控样品，本</w:t>
      </w:r>
      <w:r>
        <w:rPr>
          <w:rFonts w:ascii="FangSong" w:hAnsi="FangSong" w:eastAsia="FangSong" w:cs="FangSong"/>
          <w:sz w:val="24"/>
          <w:szCs w:val="24"/>
          <w:spacing w:val="-4"/>
        </w:rPr>
        <w:t>项目采用加</w:t>
      </w:r>
      <w:r>
        <w:rPr>
          <w:rFonts w:ascii="FangSong" w:hAnsi="FangSong" w:eastAsia="FangSong" w:cs="FangSong"/>
          <w:sz w:val="24"/>
          <w:szCs w:val="24"/>
        </w:rPr>
        <w:t xml:space="preserve"> </w:t>
      </w:r>
      <w:r>
        <w:rPr>
          <w:rFonts w:ascii="FangSong" w:hAnsi="FangSong" w:eastAsia="FangSong" w:cs="FangSong"/>
          <w:sz w:val="24"/>
          <w:szCs w:val="24"/>
          <w:spacing w:val="-1"/>
        </w:rPr>
        <w:t>标回收率试验来对准确度进行控制。</w:t>
      </w:r>
    </w:p>
    <w:p>
      <w:pPr>
        <w:pStyle w:val="BodyText"/>
        <w:ind w:left="15" w:right="75" w:firstLine="479"/>
        <w:spacing w:before="2" w:line="359" w:lineRule="auto"/>
        <w:rPr>
          <w:rFonts w:ascii="FangSong" w:hAnsi="FangSong" w:eastAsia="FangSong" w:cs="FangSong"/>
          <w:sz w:val="24"/>
          <w:szCs w:val="24"/>
        </w:rPr>
      </w:pPr>
      <w:r>
        <w:rPr>
          <w:rFonts w:ascii="FangSong" w:hAnsi="FangSong" w:eastAsia="FangSong" w:cs="FangSong"/>
          <w:sz w:val="24"/>
          <w:szCs w:val="24"/>
          <w:spacing w:val="2"/>
        </w:rPr>
        <w:t>加标率：每批次同类型分析样品中，随机抽取</w:t>
      </w:r>
      <w:r>
        <w:rPr>
          <w:sz w:val="24"/>
          <w:szCs w:val="24"/>
          <w:spacing w:val="2"/>
        </w:rPr>
        <w:t>10%~20%</w:t>
      </w:r>
      <w:r>
        <w:rPr>
          <w:rFonts w:ascii="FangSong" w:hAnsi="FangSong" w:eastAsia="FangSong" w:cs="FangSong"/>
          <w:sz w:val="24"/>
          <w:szCs w:val="24"/>
          <w:spacing w:val="2"/>
        </w:rPr>
        <w:t>的样品进行加标回收率</w:t>
      </w:r>
      <w:r>
        <w:rPr>
          <w:rFonts w:ascii="FangSong" w:hAnsi="FangSong" w:eastAsia="FangSong" w:cs="FangSong"/>
          <w:sz w:val="24"/>
          <w:szCs w:val="24"/>
          <w:spacing w:val="1"/>
        </w:rPr>
        <w:t>试验。当</w:t>
      </w:r>
      <w:r>
        <w:rPr>
          <w:rFonts w:ascii="FangSong" w:hAnsi="FangSong" w:eastAsia="FangSong" w:cs="FangSong"/>
          <w:sz w:val="24"/>
          <w:szCs w:val="24"/>
        </w:rPr>
        <w:t xml:space="preserve"> </w:t>
      </w:r>
      <w:r>
        <w:rPr>
          <w:rFonts w:ascii="FangSong" w:hAnsi="FangSong" w:eastAsia="FangSong" w:cs="FangSong"/>
          <w:sz w:val="24"/>
          <w:szCs w:val="24"/>
          <w:spacing w:val="-1"/>
        </w:rPr>
        <w:t>批次分析样品数不足</w:t>
      </w:r>
      <w:r>
        <w:rPr>
          <w:sz w:val="24"/>
          <w:szCs w:val="24"/>
          <w:spacing w:val="-1"/>
        </w:rPr>
        <w:t>10</w:t>
      </w:r>
      <w:r>
        <w:rPr>
          <w:rFonts w:ascii="FangSong" w:hAnsi="FangSong" w:eastAsia="FangSong" w:cs="FangSong"/>
          <w:sz w:val="24"/>
          <w:szCs w:val="24"/>
          <w:spacing w:val="-1"/>
        </w:rPr>
        <w:t>个时，每批同类型试样中应至少随机抽取</w:t>
      </w:r>
    </w:p>
    <w:p>
      <w:pPr>
        <w:spacing w:line="359" w:lineRule="auto"/>
        <w:sectPr>
          <w:headerReference w:type="default" r:id="rId155"/>
          <w:footerReference w:type="default" r:id="rId156"/>
          <w:pgSz w:w="11906" w:h="16839"/>
          <w:pgMar w:top="1139" w:right="1006" w:bottom="1252" w:left="1080" w:header="831" w:footer="1090" w:gutter="0"/>
        </w:sectPr>
        <w:rPr>
          <w:rFonts w:ascii="FangSong" w:hAnsi="FangSong" w:eastAsia="FangSong" w:cs="FangSong"/>
          <w:sz w:val="24"/>
          <w:szCs w:val="24"/>
        </w:rPr>
      </w:pPr>
    </w:p>
    <w:p>
      <w:pPr>
        <w:spacing w:line="334" w:lineRule="auto"/>
        <w:rPr>
          <w:rFonts w:ascii="Arial"/>
          <w:sz w:val="21"/>
        </w:rPr>
      </w:pPr>
      <w:r/>
    </w:p>
    <w:p>
      <w:pPr>
        <w:pStyle w:val="BodyText"/>
        <w:ind w:left="508"/>
        <w:spacing w:before="78" w:line="219" w:lineRule="auto"/>
        <w:rPr>
          <w:rFonts w:ascii="FangSong" w:hAnsi="FangSong" w:eastAsia="FangSong" w:cs="FangSong"/>
          <w:sz w:val="24"/>
          <w:szCs w:val="24"/>
        </w:rPr>
      </w:pPr>
      <w:r>
        <w:rPr>
          <w:sz w:val="24"/>
          <w:szCs w:val="24"/>
          <w:spacing w:val="-3"/>
        </w:rPr>
        <w:t>1</w:t>
      </w:r>
      <w:r>
        <w:rPr>
          <w:rFonts w:ascii="FangSong" w:hAnsi="FangSong" w:eastAsia="FangSong" w:cs="FangSong"/>
          <w:sz w:val="24"/>
          <w:szCs w:val="24"/>
          <w:spacing w:val="-3"/>
        </w:rPr>
        <w:t>个样品进行加标回收率试验。</w:t>
      </w:r>
    </w:p>
    <w:p>
      <w:pPr>
        <w:pStyle w:val="BodyText"/>
        <w:ind w:left="15" w:right="76" w:firstLine="479"/>
        <w:spacing w:before="181" w:line="360" w:lineRule="auto"/>
        <w:rPr>
          <w:rFonts w:ascii="FangSong" w:hAnsi="FangSong" w:eastAsia="FangSong" w:cs="FangSong"/>
          <w:sz w:val="24"/>
          <w:szCs w:val="24"/>
        </w:rPr>
      </w:pPr>
      <w:r>
        <w:rPr>
          <w:rFonts w:ascii="FangSong" w:hAnsi="FangSong" w:eastAsia="FangSong" w:cs="FangSong"/>
          <w:sz w:val="24"/>
          <w:szCs w:val="24"/>
          <w:spacing w:val="-3"/>
        </w:rPr>
        <w:t>加标量：加标量视被测组分含量而定，含量高的加入被</w:t>
      </w:r>
      <w:r>
        <w:rPr>
          <w:rFonts w:ascii="FangSong" w:hAnsi="FangSong" w:eastAsia="FangSong" w:cs="FangSong"/>
          <w:sz w:val="24"/>
          <w:szCs w:val="24"/>
          <w:spacing w:val="-4"/>
        </w:rPr>
        <w:t>测组分含量的</w:t>
      </w:r>
      <w:r>
        <w:rPr>
          <w:sz w:val="24"/>
          <w:szCs w:val="24"/>
          <w:spacing w:val="-4"/>
        </w:rPr>
        <w:t>0.5~</w:t>
      </w:r>
      <w:r>
        <w:rPr>
          <w:sz w:val="24"/>
          <w:szCs w:val="24"/>
          <w:spacing w:val="-32"/>
        </w:rPr>
        <w:t xml:space="preserve"> </w:t>
      </w:r>
      <w:r>
        <w:rPr>
          <w:sz w:val="24"/>
          <w:szCs w:val="24"/>
          <w:spacing w:val="-4"/>
        </w:rPr>
        <w:t>1.0</w:t>
      </w:r>
      <w:r>
        <w:rPr>
          <w:rFonts w:ascii="FangSong" w:hAnsi="FangSong" w:eastAsia="FangSong" w:cs="FangSong"/>
          <w:sz w:val="24"/>
          <w:szCs w:val="24"/>
          <w:spacing w:val="-4"/>
        </w:rPr>
        <w:t>倍，含量低的</w:t>
      </w:r>
      <w:r>
        <w:rPr>
          <w:rFonts w:ascii="FangSong" w:hAnsi="FangSong" w:eastAsia="FangSong" w:cs="FangSong"/>
          <w:sz w:val="24"/>
          <w:szCs w:val="24"/>
        </w:rPr>
        <w:t xml:space="preserve"> </w:t>
      </w:r>
      <w:r>
        <w:rPr>
          <w:rFonts w:ascii="FangSong" w:hAnsi="FangSong" w:eastAsia="FangSong" w:cs="FangSong"/>
          <w:sz w:val="24"/>
          <w:szCs w:val="24"/>
        </w:rPr>
        <w:t>加</w:t>
      </w:r>
      <w:r>
        <w:rPr>
          <w:sz w:val="24"/>
          <w:szCs w:val="24"/>
        </w:rPr>
        <w:t>2~3</w:t>
      </w:r>
      <w:r>
        <w:rPr>
          <w:rFonts w:ascii="FangSong" w:hAnsi="FangSong" w:eastAsia="FangSong" w:cs="FangSong"/>
          <w:sz w:val="24"/>
          <w:szCs w:val="24"/>
        </w:rPr>
        <w:t>倍，但加标后被测组分的总量不得超出方法的测定上限。加标浓度宜高，体积应</w:t>
      </w:r>
      <w:r>
        <w:rPr>
          <w:rFonts w:ascii="FangSong" w:hAnsi="FangSong" w:eastAsia="FangSong" w:cs="FangSong"/>
          <w:sz w:val="24"/>
          <w:szCs w:val="24"/>
          <w:spacing w:val="-1"/>
        </w:rPr>
        <w:t>小，不</w:t>
      </w:r>
      <w:r>
        <w:rPr>
          <w:rFonts w:ascii="FangSong" w:hAnsi="FangSong" w:eastAsia="FangSong" w:cs="FangSong"/>
          <w:sz w:val="24"/>
          <w:szCs w:val="24"/>
        </w:rPr>
        <w:t xml:space="preserve"> </w:t>
      </w:r>
      <w:r>
        <w:rPr>
          <w:rFonts w:ascii="FangSong" w:hAnsi="FangSong" w:eastAsia="FangSong" w:cs="FangSong"/>
          <w:sz w:val="24"/>
          <w:szCs w:val="24"/>
          <w:spacing w:val="-3"/>
        </w:rPr>
        <w:t>应超过原试样体积的</w:t>
      </w:r>
      <w:r>
        <w:rPr>
          <w:sz w:val="24"/>
          <w:szCs w:val="24"/>
          <w:spacing w:val="-3"/>
        </w:rPr>
        <w:t>1%</w:t>
      </w:r>
      <w:r>
        <w:rPr>
          <w:sz w:val="24"/>
          <w:szCs w:val="24"/>
          <w:spacing w:val="-11"/>
        </w:rPr>
        <w:t xml:space="preserve"> </w:t>
      </w:r>
      <w:r>
        <w:rPr>
          <w:rFonts w:ascii="FangSong" w:hAnsi="FangSong" w:eastAsia="FangSong" w:cs="FangSong"/>
          <w:sz w:val="24"/>
          <w:szCs w:val="24"/>
          <w:spacing w:val="-3"/>
        </w:rPr>
        <w:t>，否则需进行体积校正。</w:t>
      </w:r>
    </w:p>
    <w:p>
      <w:pPr>
        <w:pStyle w:val="BodyText"/>
        <w:ind w:left="16" w:right="76" w:firstLine="479"/>
        <w:spacing w:line="360" w:lineRule="auto"/>
        <w:jc w:val="both"/>
        <w:rPr>
          <w:rFonts w:ascii="FangSong" w:hAnsi="FangSong" w:eastAsia="FangSong" w:cs="FangSong"/>
          <w:sz w:val="24"/>
          <w:szCs w:val="24"/>
        </w:rPr>
      </w:pPr>
      <w:r>
        <w:rPr>
          <w:rFonts w:ascii="FangSong" w:hAnsi="FangSong" w:eastAsia="FangSong" w:cs="FangSong"/>
          <w:sz w:val="24"/>
          <w:szCs w:val="24"/>
          <w:spacing w:val="-3"/>
        </w:rPr>
        <w:t>基体加标：在空白样品和实际样品中加入已知量的标样，空白样品的加标浓度是方法检出</w:t>
      </w:r>
      <w:r>
        <w:rPr>
          <w:rFonts w:ascii="FangSong" w:hAnsi="FangSong" w:eastAsia="FangSong" w:cs="FangSong"/>
          <w:sz w:val="24"/>
          <w:szCs w:val="24"/>
          <w:spacing w:val="6"/>
        </w:rPr>
        <w:t xml:space="preserve"> </w:t>
      </w:r>
      <w:r>
        <w:rPr>
          <w:rFonts w:ascii="FangSong" w:hAnsi="FangSong" w:eastAsia="FangSong" w:cs="FangSong"/>
          <w:sz w:val="24"/>
          <w:szCs w:val="24"/>
          <w:spacing w:val="-1"/>
        </w:rPr>
        <w:t>限的</w:t>
      </w:r>
      <w:r>
        <w:rPr>
          <w:sz w:val="24"/>
          <w:szCs w:val="24"/>
          <w:spacing w:val="-1"/>
        </w:rPr>
        <w:t>3~</w:t>
      </w:r>
      <w:r>
        <w:rPr>
          <w:sz w:val="24"/>
          <w:szCs w:val="24"/>
          <w:spacing w:val="-28"/>
        </w:rPr>
        <w:t xml:space="preserve"> </w:t>
      </w:r>
      <w:r>
        <w:rPr>
          <w:sz w:val="24"/>
          <w:szCs w:val="24"/>
          <w:spacing w:val="-1"/>
        </w:rPr>
        <w:t>10</w:t>
      </w:r>
      <w:r>
        <w:rPr>
          <w:rFonts w:ascii="FangSong" w:hAnsi="FangSong" w:eastAsia="FangSong" w:cs="FangSong"/>
          <w:sz w:val="24"/>
          <w:szCs w:val="24"/>
          <w:spacing w:val="-1"/>
        </w:rPr>
        <w:t>倍，实际样品的加标浓度是样品浓度的</w:t>
      </w:r>
      <w:r>
        <w:rPr>
          <w:sz w:val="24"/>
          <w:szCs w:val="24"/>
          <w:spacing w:val="-1"/>
        </w:rPr>
        <w:t>1~3</w:t>
      </w:r>
      <w:r>
        <w:rPr>
          <w:rFonts w:ascii="FangSong" w:hAnsi="FangSong" w:eastAsia="FangSong" w:cs="FangSong"/>
          <w:sz w:val="24"/>
          <w:szCs w:val="24"/>
          <w:spacing w:val="-1"/>
        </w:rPr>
        <w:t>倍，根据标准的要求通过回收率判定质控</w:t>
      </w:r>
      <w:r>
        <w:rPr>
          <w:rFonts w:ascii="FangSong" w:hAnsi="FangSong" w:eastAsia="FangSong" w:cs="FangSong"/>
          <w:sz w:val="24"/>
          <w:szCs w:val="24"/>
        </w:rPr>
        <w:t xml:space="preserve"> </w:t>
      </w:r>
      <w:r>
        <w:rPr>
          <w:rFonts w:ascii="FangSong" w:hAnsi="FangSong" w:eastAsia="FangSong" w:cs="FangSong"/>
          <w:sz w:val="24"/>
          <w:szCs w:val="24"/>
          <w:spacing w:val="-3"/>
        </w:rPr>
        <w:t>是否合格。若基体加标回收率在规定的允许范围内，则该加标回收率试验样品的准确度控制为</w:t>
      </w:r>
      <w:r>
        <w:rPr>
          <w:rFonts w:ascii="FangSong" w:hAnsi="FangSong" w:eastAsia="FangSong" w:cs="FangSong"/>
          <w:sz w:val="24"/>
          <w:szCs w:val="24"/>
          <w:spacing w:val="11"/>
        </w:rPr>
        <w:t xml:space="preserve"> </w:t>
      </w:r>
      <w:r>
        <w:rPr>
          <w:rFonts w:ascii="FangSong" w:hAnsi="FangSong" w:eastAsia="FangSong" w:cs="FangSong"/>
          <w:sz w:val="24"/>
          <w:szCs w:val="24"/>
          <w:spacing w:val="-2"/>
        </w:rPr>
        <w:t>合格，否则为不合格。对基体加标回收率试验结果合格</w:t>
      </w:r>
      <w:r>
        <w:rPr>
          <w:rFonts w:ascii="FangSong" w:hAnsi="FangSong" w:eastAsia="FangSong" w:cs="FangSong"/>
          <w:sz w:val="24"/>
          <w:szCs w:val="24"/>
          <w:spacing w:val="-3"/>
        </w:rPr>
        <w:t>率的要求应达到</w:t>
      </w:r>
      <w:r>
        <w:rPr>
          <w:rFonts w:ascii="FangSong" w:hAnsi="FangSong" w:eastAsia="FangSong" w:cs="FangSong"/>
          <w:sz w:val="24"/>
          <w:szCs w:val="24"/>
          <w:spacing w:val="-3"/>
        </w:rPr>
        <w:t xml:space="preserve"> </w:t>
      </w:r>
      <w:r>
        <w:rPr>
          <w:sz w:val="24"/>
          <w:szCs w:val="24"/>
          <w:spacing w:val="-3"/>
        </w:rPr>
        <w:t>100%</w:t>
      </w:r>
      <w:r>
        <w:rPr>
          <w:sz w:val="24"/>
          <w:szCs w:val="24"/>
          <w:spacing w:val="-27"/>
        </w:rPr>
        <w:t xml:space="preserve"> </w:t>
      </w:r>
      <w:r>
        <w:rPr>
          <w:rFonts w:ascii="FangSong" w:hAnsi="FangSong" w:eastAsia="FangSong" w:cs="FangSong"/>
          <w:sz w:val="24"/>
          <w:szCs w:val="24"/>
          <w:spacing w:val="-3"/>
        </w:rPr>
        <w:t>。当出现不合格</w:t>
      </w:r>
      <w:r>
        <w:rPr>
          <w:rFonts w:ascii="FangSong" w:hAnsi="FangSong" w:eastAsia="FangSong" w:cs="FangSong"/>
          <w:sz w:val="24"/>
          <w:szCs w:val="24"/>
        </w:rPr>
        <w:t xml:space="preserve"> </w:t>
      </w:r>
      <w:r>
        <w:rPr>
          <w:rFonts w:ascii="FangSong" w:hAnsi="FangSong" w:eastAsia="FangSong" w:cs="FangSong"/>
          <w:sz w:val="24"/>
          <w:szCs w:val="24"/>
        </w:rPr>
        <w:t>结果时，查明其原因，</w:t>
      </w:r>
      <w:r>
        <w:rPr>
          <w:rFonts w:ascii="FangSong" w:hAnsi="FangSong" w:eastAsia="FangSong" w:cs="FangSong"/>
          <w:sz w:val="24"/>
          <w:szCs w:val="24"/>
        </w:rPr>
        <w:t xml:space="preserve"> </w:t>
      </w:r>
      <w:r>
        <w:rPr>
          <w:rFonts w:ascii="FangSong" w:hAnsi="FangSong" w:eastAsia="FangSong" w:cs="FangSong"/>
          <w:sz w:val="24"/>
          <w:szCs w:val="24"/>
        </w:rPr>
        <w:t>并采取适当的纠正和预防措</w:t>
      </w:r>
      <w:r>
        <w:rPr>
          <w:rFonts w:ascii="FangSong" w:hAnsi="FangSong" w:eastAsia="FangSong" w:cs="FangSong"/>
          <w:sz w:val="24"/>
          <w:szCs w:val="24"/>
          <w:spacing w:val="-1"/>
        </w:rPr>
        <w:t>施，并对该批次样品重新进行分析测试。</w:t>
      </w:r>
    </w:p>
    <w:p>
      <w:pPr>
        <w:pStyle w:val="BodyText"/>
        <w:ind w:left="7"/>
        <w:spacing w:before="1" w:line="219" w:lineRule="auto"/>
        <w:outlineLvl w:val="2"/>
        <w:rPr>
          <w:rFonts w:ascii="FangSong" w:hAnsi="FangSong" w:eastAsia="FangSong" w:cs="FangSong"/>
          <w:sz w:val="24"/>
          <w:szCs w:val="24"/>
        </w:rPr>
      </w:pPr>
      <w:r>
        <w:rPr>
          <w:sz w:val="24"/>
          <w:szCs w:val="24"/>
          <w:b/>
          <w:bCs/>
          <w:spacing w:val="-2"/>
        </w:rPr>
        <w:t>9.3.6  </w:t>
      </w:r>
      <w:r>
        <w:rPr>
          <w:rFonts w:ascii="FangSong" w:hAnsi="FangSong" w:eastAsia="FangSong" w:cs="FangSong"/>
          <w:sz w:val="24"/>
          <w:szCs w:val="24"/>
          <w:b/>
          <w:bCs/>
          <w:spacing w:val="-2"/>
        </w:rPr>
        <w:t>样品保存质量控制</w:t>
      </w:r>
    </w:p>
    <w:p>
      <w:pPr>
        <w:ind w:left="496"/>
        <w:spacing w:before="183" w:line="219" w:lineRule="auto"/>
        <w:rPr>
          <w:rFonts w:ascii="FangSong" w:hAnsi="FangSong" w:eastAsia="FangSong" w:cs="FangSong"/>
          <w:sz w:val="24"/>
          <w:szCs w:val="24"/>
        </w:rPr>
      </w:pPr>
      <w:r>
        <w:rPr>
          <w:rFonts w:ascii="FangSong" w:hAnsi="FangSong" w:eastAsia="FangSong" w:cs="FangSong"/>
          <w:sz w:val="24"/>
          <w:szCs w:val="24"/>
          <w:spacing w:val="-1"/>
        </w:rPr>
        <w:t>样品保存过程中的质量控制工作主要包括：</w:t>
      </w:r>
    </w:p>
    <w:p>
      <w:pPr>
        <w:pStyle w:val="BodyText"/>
        <w:ind w:left="500"/>
        <w:spacing w:before="183" w:line="219" w:lineRule="auto"/>
        <w:rPr>
          <w:rFonts w:ascii="FangSong" w:hAnsi="FangSong" w:eastAsia="FangSong" w:cs="FangSong"/>
          <w:sz w:val="24"/>
          <w:szCs w:val="24"/>
        </w:rPr>
      </w:pPr>
      <w:r>
        <w:rPr>
          <w:rFonts w:ascii="FangSong" w:hAnsi="FangSong" w:eastAsia="FangSong" w:cs="FangSong"/>
          <w:sz w:val="24"/>
          <w:szCs w:val="24"/>
          <w:spacing w:val="-1"/>
        </w:rPr>
        <w:t>（</w:t>
      </w:r>
      <w:r>
        <w:rPr>
          <w:sz w:val="24"/>
          <w:szCs w:val="24"/>
          <w:spacing w:val="-1"/>
        </w:rPr>
        <w:t>1</w:t>
      </w:r>
      <w:r>
        <w:rPr>
          <w:rFonts w:ascii="FangSong" w:hAnsi="FangSong" w:eastAsia="FangSong" w:cs="FangSong"/>
          <w:sz w:val="24"/>
          <w:szCs w:val="24"/>
          <w:spacing w:val="-1"/>
        </w:rPr>
        <w:t>）样品保存按样品名称、编号和粒径分类保存。</w:t>
      </w:r>
    </w:p>
    <w:p>
      <w:pPr>
        <w:pStyle w:val="BodyText"/>
        <w:ind w:left="500"/>
        <w:spacing w:before="183" w:line="219" w:lineRule="auto"/>
        <w:rPr>
          <w:rFonts w:ascii="FangSong" w:hAnsi="FangSong" w:eastAsia="FangSong" w:cs="FangSong"/>
          <w:sz w:val="24"/>
          <w:szCs w:val="24"/>
        </w:rPr>
      </w:pPr>
      <w:r>
        <w:rPr>
          <w:rFonts w:ascii="FangSong" w:hAnsi="FangSong" w:eastAsia="FangSong" w:cs="FangSong"/>
          <w:sz w:val="24"/>
          <w:szCs w:val="24"/>
          <w:spacing w:val="-1"/>
        </w:rPr>
        <w:t>（</w:t>
      </w:r>
      <w:r>
        <w:rPr>
          <w:sz w:val="24"/>
          <w:szCs w:val="24"/>
          <w:spacing w:val="-1"/>
        </w:rPr>
        <w:t>2</w:t>
      </w:r>
      <w:r>
        <w:rPr>
          <w:rFonts w:ascii="FangSong" w:hAnsi="FangSong" w:eastAsia="FangSong" w:cs="FangSong"/>
          <w:sz w:val="24"/>
          <w:szCs w:val="24"/>
          <w:spacing w:val="-1"/>
        </w:rPr>
        <w:t>）新鲜样品，用密封的聚乙烯或玻璃容器在</w:t>
      </w:r>
      <w:r>
        <w:rPr>
          <w:sz w:val="24"/>
          <w:szCs w:val="24"/>
          <w:spacing w:val="-1"/>
        </w:rPr>
        <w:t>4</w:t>
      </w:r>
      <w:r>
        <w:rPr>
          <w:rFonts w:ascii="FangSong" w:hAnsi="FangSong" w:eastAsia="FangSong" w:cs="FangSong"/>
          <w:sz w:val="24"/>
          <w:szCs w:val="24"/>
          <w:spacing w:val="-1"/>
        </w:rPr>
        <w:t>℃以下避光保存，样品要充满容器。</w:t>
      </w:r>
    </w:p>
    <w:p>
      <w:pPr>
        <w:pStyle w:val="BodyText"/>
        <w:ind w:left="500"/>
        <w:spacing w:before="184" w:line="219" w:lineRule="auto"/>
        <w:rPr>
          <w:rFonts w:ascii="FangSong" w:hAnsi="FangSong" w:eastAsia="FangSong" w:cs="FangSong"/>
          <w:sz w:val="24"/>
          <w:szCs w:val="24"/>
        </w:rPr>
      </w:pPr>
      <w:r>
        <w:rPr>
          <w:rFonts w:ascii="FangSong" w:hAnsi="FangSong" w:eastAsia="FangSong" w:cs="FangSong"/>
          <w:sz w:val="24"/>
          <w:szCs w:val="24"/>
          <w:spacing w:val="-2"/>
        </w:rPr>
        <w:t>（</w:t>
      </w:r>
      <w:r>
        <w:rPr>
          <w:sz w:val="24"/>
          <w:szCs w:val="24"/>
          <w:spacing w:val="-2"/>
        </w:rPr>
        <w:t>3</w:t>
      </w:r>
      <w:r>
        <w:rPr>
          <w:rFonts w:ascii="FangSong" w:hAnsi="FangSong" w:eastAsia="FangSong" w:cs="FangSong"/>
          <w:sz w:val="24"/>
          <w:szCs w:val="24"/>
          <w:spacing w:val="-2"/>
        </w:rPr>
        <w:t>）预留样品在样品库造册保存。</w:t>
      </w:r>
    </w:p>
    <w:p>
      <w:pPr>
        <w:pStyle w:val="BodyText"/>
        <w:ind w:left="500"/>
        <w:spacing w:before="183" w:line="219" w:lineRule="auto"/>
        <w:rPr>
          <w:rFonts w:ascii="FangSong" w:hAnsi="FangSong" w:eastAsia="FangSong" w:cs="FangSong"/>
          <w:sz w:val="24"/>
          <w:szCs w:val="24"/>
        </w:rPr>
      </w:pPr>
      <w:r>
        <w:rPr>
          <w:rFonts w:ascii="FangSong" w:hAnsi="FangSong" w:eastAsia="FangSong" w:cs="FangSong"/>
          <w:sz w:val="24"/>
          <w:szCs w:val="24"/>
          <w:spacing w:val="-1"/>
        </w:rPr>
        <w:t>（</w:t>
      </w:r>
      <w:r>
        <w:rPr>
          <w:sz w:val="24"/>
          <w:szCs w:val="24"/>
          <w:spacing w:val="-1"/>
        </w:rPr>
        <w:t>4</w:t>
      </w:r>
      <w:r>
        <w:rPr>
          <w:rFonts w:ascii="FangSong" w:hAnsi="FangSong" w:eastAsia="FangSong" w:cs="FangSong"/>
          <w:sz w:val="24"/>
          <w:szCs w:val="24"/>
          <w:spacing w:val="-1"/>
        </w:rPr>
        <w:t>）分析取用后的剩余样品，待测定全部完成数据报出后，也移交样品库保存。</w:t>
      </w:r>
    </w:p>
    <w:p>
      <w:pPr>
        <w:pStyle w:val="BodyText"/>
        <w:ind w:left="500"/>
        <w:spacing w:before="183" w:line="219" w:lineRule="auto"/>
        <w:rPr>
          <w:rFonts w:ascii="FangSong" w:hAnsi="FangSong" w:eastAsia="FangSong" w:cs="FangSong"/>
          <w:sz w:val="24"/>
          <w:szCs w:val="24"/>
        </w:rPr>
      </w:pPr>
      <w:r>
        <w:rPr>
          <w:rFonts w:ascii="FangSong" w:hAnsi="FangSong" w:eastAsia="FangSong" w:cs="FangSong"/>
          <w:sz w:val="24"/>
          <w:szCs w:val="24"/>
          <w:spacing w:val="-1"/>
        </w:rPr>
        <w:t>（</w:t>
      </w:r>
      <w:r>
        <w:rPr>
          <w:sz w:val="24"/>
          <w:szCs w:val="24"/>
          <w:spacing w:val="-1"/>
        </w:rPr>
        <w:t>5</w:t>
      </w:r>
      <w:r>
        <w:rPr>
          <w:rFonts w:ascii="FangSong" w:hAnsi="FangSong" w:eastAsia="FangSong" w:cs="FangSong"/>
          <w:sz w:val="24"/>
          <w:szCs w:val="24"/>
          <w:spacing w:val="-1"/>
        </w:rPr>
        <w:t>）分析取用后的剩余样品一般保留半年，预留样品一般保留</w:t>
      </w:r>
      <w:r>
        <w:rPr>
          <w:sz w:val="24"/>
          <w:szCs w:val="24"/>
          <w:spacing w:val="-1"/>
        </w:rPr>
        <w:t>2</w:t>
      </w:r>
      <w:r>
        <w:rPr>
          <w:rFonts w:ascii="FangSong" w:hAnsi="FangSong" w:eastAsia="FangSong" w:cs="FangSong"/>
          <w:sz w:val="24"/>
          <w:szCs w:val="24"/>
          <w:spacing w:val="-1"/>
        </w:rPr>
        <w:t>年。</w:t>
      </w:r>
    </w:p>
    <w:p>
      <w:pPr>
        <w:pStyle w:val="BodyText"/>
        <w:ind w:left="500"/>
        <w:spacing w:before="183" w:line="219" w:lineRule="auto"/>
        <w:rPr>
          <w:rFonts w:ascii="FangSong" w:hAnsi="FangSong" w:eastAsia="FangSong" w:cs="FangSong"/>
          <w:sz w:val="24"/>
          <w:szCs w:val="24"/>
        </w:rPr>
      </w:pPr>
      <w:r>
        <w:rPr>
          <w:rFonts w:ascii="FangSong" w:hAnsi="FangSong" w:eastAsia="FangSong" w:cs="FangSong"/>
          <w:sz w:val="24"/>
          <w:szCs w:val="24"/>
        </w:rPr>
        <w:t>（</w:t>
      </w:r>
      <w:r>
        <w:rPr>
          <w:sz w:val="24"/>
          <w:szCs w:val="24"/>
        </w:rPr>
        <w:t>6</w:t>
      </w:r>
      <w:r>
        <w:rPr>
          <w:rFonts w:ascii="FangSong" w:hAnsi="FangSong" w:eastAsia="FangSong" w:cs="FangSong"/>
          <w:sz w:val="24"/>
          <w:szCs w:val="24"/>
        </w:rPr>
        <w:t>）新鲜样品保存时间参照《土壤环境质量</w:t>
      </w:r>
      <w:r>
        <w:rPr>
          <w:rFonts w:ascii="FangSong" w:hAnsi="FangSong" w:eastAsia="FangSong" w:cs="FangSong"/>
          <w:sz w:val="24"/>
          <w:szCs w:val="24"/>
          <w:spacing w:val="-1"/>
        </w:rPr>
        <w:t>评价技术规范》（</w:t>
      </w:r>
      <w:r>
        <w:rPr>
          <w:sz w:val="24"/>
          <w:szCs w:val="24"/>
          <w:spacing w:val="-1"/>
        </w:rPr>
        <w:t>HJ/T166-2004</w:t>
      </w:r>
      <w:r>
        <w:rPr>
          <w:rFonts w:ascii="FangSong" w:hAnsi="FangSong" w:eastAsia="FangSong" w:cs="FangSong"/>
          <w:sz w:val="24"/>
          <w:szCs w:val="24"/>
          <w:spacing w:val="-1"/>
        </w:rPr>
        <w:t>）中。</w:t>
      </w:r>
    </w:p>
    <w:p>
      <w:pPr>
        <w:pStyle w:val="BodyText"/>
        <w:ind w:left="16" w:right="133" w:firstLine="484"/>
        <w:spacing w:before="183" w:line="290" w:lineRule="auto"/>
        <w:rPr>
          <w:rFonts w:ascii="FangSong" w:hAnsi="FangSong" w:eastAsia="FangSong" w:cs="FangSong"/>
          <w:sz w:val="24"/>
          <w:szCs w:val="24"/>
        </w:rPr>
      </w:pPr>
      <w:r>
        <w:rPr>
          <w:rFonts w:ascii="FangSong" w:hAnsi="FangSong" w:eastAsia="FangSong" w:cs="FangSong"/>
          <w:sz w:val="24"/>
          <w:szCs w:val="24"/>
          <w:spacing w:val="-1"/>
        </w:rPr>
        <w:t>（</w:t>
      </w:r>
      <w:r>
        <w:rPr>
          <w:sz w:val="24"/>
          <w:szCs w:val="24"/>
          <w:spacing w:val="-1"/>
        </w:rPr>
        <w:t>7</w:t>
      </w:r>
      <w:r>
        <w:rPr>
          <w:rFonts w:ascii="FangSong" w:hAnsi="FangSong" w:eastAsia="FangSong" w:cs="FangSong"/>
          <w:sz w:val="24"/>
          <w:szCs w:val="24"/>
          <w:spacing w:val="-1"/>
        </w:rPr>
        <w:t>）现场采样时详细填写现场观察的记录单，比如土层</w:t>
      </w:r>
      <w:r>
        <w:rPr>
          <w:rFonts w:ascii="FangSong" w:hAnsi="FangSong" w:eastAsia="FangSong" w:cs="FangSong"/>
          <w:sz w:val="24"/>
          <w:szCs w:val="24"/>
          <w:spacing w:val="-2"/>
        </w:rPr>
        <w:t>深度、土壤质地、气味、颜色，</w:t>
      </w:r>
      <w:r>
        <w:rPr>
          <w:rFonts w:ascii="FangSong" w:hAnsi="FangSong" w:eastAsia="FangSong" w:cs="FangSong"/>
          <w:sz w:val="24"/>
          <w:szCs w:val="24"/>
        </w:rPr>
        <w:t xml:space="preserve"> </w:t>
      </w:r>
      <w:r>
        <w:rPr>
          <w:rFonts w:ascii="FangSong" w:hAnsi="FangSong" w:eastAsia="FangSong" w:cs="FangSong"/>
          <w:sz w:val="24"/>
          <w:szCs w:val="24"/>
          <w:spacing w:val="-1"/>
        </w:rPr>
        <w:t>地下水的颜色、气味，气象条件等，以便为分析工作提供依据。</w:t>
      </w:r>
    </w:p>
    <w:p>
      <w:pPr>
        <w:pStyle w:val="BodyText"/>
        <w:ind w:left="19" w:firstLine="481"/>
        <w:spacing w:before="183" w:line="313" w:lineRule="auto"/>
        <w:rPr>
          <w:rFonts w:ascii="FangSong" w:hAnsi="FangSong" w:eastAsia="FangSong" w:cs="FangSong"/>
          <w:sz w:val="24"/>
          <w:szCs w:val="24"/>
        </w:rPr>
      </w:pPr>
      <w:r>
        <w:rPr>
          <w:rFonts w:ascii="FangSong" w:hAnsi="FangSong" w:eastAsia="FangSong" w:cs="FangSong"/>
          <w:sz w:val="24"/>
          <w:szCs w:val="24"/>
        </w:rPr>
        <w:t>（</w:t>
      </w:r>
      <w:r>
        <w:rPr>
          <w:sz w:val="24"/>
          <w:szCs w:val="24"/>
        </w:rPr>
        <w:t>8</w:t>
      </w:r>
      <w:r>
        <w:rPr>
          <w:rFonts w:ascii="FangSong" w:hAnsi="FangSong" w:eastAsia="FangSong" w:cs="FangSong"/>
          <w:sz w:val="24"/>
          <w:szCs w:val="24"/>
        </w:rPr>
        <w:t>）为确保采集、运输、贮存过程中的样品质量，本项目在现场采样过程中设定现场质</w:t>
      </w:r>
      <w:r>
        <w:rPr>
          <w:rFonts w:ascii="FangSong" w:hAnsi="FangSong" w:eastAsia="FangSong" w:cs="FangSong"/>
          <w:sz w:val="24"/>
          <w:szCs w:val="24"/>
          <w:spacing w:val="2"/>
        </w:rPr>
        <w:t xml:space="preserve"> </w:t>
      </w:r>
      <w:r>
        <w:rPr>
          <w:rFonts w:ascii="FangSong" w:hAnsi="FangSong" w:eastAsia="FangSong" w:cs="FangSong"/>
          <w:sz w:val="24"/>
          <w:szCs w:val="24"/>
          <w:spacing w:val="-6"/>
        </w:rPr>
        <w:t>量控制样品，主要为现场平行样和空白样，共采集</w:t>
      </w:r>
      <w:r>
        <w:rPr>
          <w:sz w:val="24"/>
          <w:szCs w:val="24"/>
          <w:spacing w:val="-6"/>
        </w:rPr>
        <w:t>1</w:t>
      </w:r>
      <w:r>
        <w:rPr>
          <w:rFonts w:ascii="FangSong" w:hAnsi="FangSong" w:eastAsia="FangSong" w:cs="FangSong"/>
          <w:sz w:val="24"/>
          <w:szCs w:val="24"/>
          <w:spacing w:val="-7"/>
        </w:rPr>
        <w:t>份现场土壤平行样、</w:t>
      </w:r>
      <w:r>
        <w:rPr>
          <w:sz w:val="24"/>
          <w:szCs w:val="24"/>
          <w:spacing w:val="-7"/>
        </w:rPr>
        <w:t>1</w:t>
      </w:r>
      <w:r>
        <w:rPr>
          <w:rFonts w:ascii="FangSong" w:hAnsi="FangSong" w:eastAsia="FangSong" w:cs="FangSong"/>
          <w:sz w:val="24"/>
          <w:szCs w:val="24"/>
          <w:spacing w:val="-7"/>
        </w:rPr>
        <w:t>份现场地下水平行样、</w:t>
      </w:r>
      <w:r>
        <w:rPr>
          <w:rFonts w:ascii="FangSong" w:hAnsi="FangSong" w:eastAsia="FangSong" w:cs="FangSong"/>
          <w:sz w:val="24"/>
          <w:szCs w:val="24"/>
        </w:rPr>
        <w:t xml:space="preserve"> </w:t>
      </w:r>
      <w:r>
        <w:rPr>
          <w:sz w:val="24"/>
          <w:szCs w:val="24"/>
          <w:spacing w:val="-1"/>
        </w:rPr>
        <w:t>1</w:t>
      </w:r>
      <w:r>
        <w:rPr>
          <w:rFonts w:ascii="FangSong" w:hAnsi="FangSong" w:eastAsia="FangSong" w:cs="FangSong"/>
          <w:sz w:val="24"/>
          <w:szCs w:val="24"/>
          <w:spacing w:val="-1"/>
        </w:rPr>
        <w:t>份现场空白样。每一批样品应至少测定一个全程序空白。</w:t>
      </w:r>
    </w:p>
    <w:p>
      <w:pPr>
        <w:pStyle w:val="BodyText"/>
        <w:ind w:left="500"/>
        <w:spacing w:before="183" w:line="219" w:lineRule="auto"/>
        <w:rPr>
          <w:rFonts w:ascii="FangSong" w:hAnsi="FangSong" w:eastAsia="FangSong" w:cs="FangSong"/>
          <w:sz w:val="24"/>
          <w:szCs w:val="24"/>
        </w:rPr>
      </w:pPr>
      <w:r>
        <w:rPr>
          <w:rFonts w:ascii="FangSong" w:hAnsi="FangSong" w:eastAsia="FangSong" w:cs="FangSong"/>
          <w:sz w:val="24"/>
          <w:szCs w:val="24"/>
          <w:spacing w:val="-2"/>
        </w:rPr>
        <w:t>（</w:t>
      </w:r>
      <w:r>
        <w:rPr>
          <w:sz w:val="24"/>
          <w:szCs w:val="24"/>
          <w:spacing w:val="-2"/>
        </w:rPr>
        <w:t>9</w:t>
      </w:r>
      <w:r>
        <w:rPr>
          <w:rFonts w:ascii="FangSong" w:hAnsi="FangSong" w:eastAsia="FangSong" w:cs="FangSong"/>
          <w:sz w:val="24"/>
          <w:szCs w:val="24"/>
          <w:spacing w:val="-2"/>
        </w:rPr>
        <w:t>）对检测实验室加设密码样。</w:t>
      </w:r>
    </w:p>
    <w:p>
      <w:pPr>
        <w:spacing w:line="219" w:lineRule="auto"/>
        <w:sectPr>
          <w:headerReference w:type="default" r:id="rId150"/>
          <w:footerReference w:type="default" r:id="rId157"/>
          <w:pgSz w:w="11906" w:h="16839"/>
          <w:pgMar w:top="1139" w:right="1002" w:bottom="1252" w:left="1080" w:header="831" w:footer="1090" w:gutter="0"/>
        </w:sectPr>
        <w:rPr>
          <w:rFonts w:ascii="FangSong" w:hAnsi="FangSong" w:eastAsia="FangSong" w:cs="FangSong"/>
          <w:sz w:val="24"/>
          <w:szCs w:val="24"/>
        </w:rPr>
      </w:pPr>
    </w:p>
    <w:p>
      <w:pPr>
        <w:spacing w:line="363" w:lineRule="auto"/>
        <w:rPr>
          <w:rFonts w:ascii="Arial"/>
          <w:sz w:val="21"/>
        </w:rPr>
      </w:pPr>
      <w:r/>
    </w:p>
    <w:p>
      <w:pPr>
        <w:pStyle w:val="BodyText"/>
        <w:ind w:left="20"/>
        <w:spacing w:before="98" w:line="223" w:lineRule="auto"/>
        <w:outlineLvl w:val="0"/>
        <w:rPr>
          <w:rFonts w:ascii="FangSong" w:hAnsi="FangSong" w:eastAsia="FangSong" w:cs="FangSong"/>
          <w:sz w:val="30"/>
          <w:szCs w:val="30"/>
        </w:rPr>
      </w:pPr>
      <w:bookmarkStart w:name="bookmark36" w:id="42"/>
      <w:bookmarkEnd w:id="42"/>
      <w:r>
        <w:rPr>
          <w:sz w:val="30"/>
          <w:szCs w:val="30"/>
          <w:b/>
          <w:bCs/>
          <w:spacing w:val="-9"/>
        </w:rPr>
        <w:t>10</w:t>
      </w:r>
      <w:r>
        <w:rPr>
          <w:sz w:val="30"/>
          <w:szCs w:val="30"/>
          <w:b/>
          <w:bCs/>
          <w:spacing w:val="15"/>
        </w:rPr>
        <w:t xml:space="preserve">  </w:t>
      </w:r>
      <w:r>
        <w:rPr>
          <w:rFonts w:ascii="FangSong" w:hAnsi="FangSong" w:eastAsia="FangSong" w:cs="FangSong"/>
          <w:sz w:val="30"/>
          <w:szCs w:val="30"/>
          <w:b/>
          <w:bCs/>
          <w:spacing w:val="-9"/>
        </w:rPr>
        <w:t>结论与措施</w:t>
      </w:r>
    </w:p>
    <w:p>
      <w:pPr>
        <w:pStyle w:val="BodyText"/>
        <w:ind w:left="19"/>
        <w:spacing w:before="270" w:line="224" w:lineRule="auto"/>
        <w:outlineLvl w:val="1"/>
        <w:rPr>
          <w:rFonts w:ascii="FangSong" w:hAnsi="FangSong" w:eastAsia="FangSong" w:cs="FangSong"/>
          <w:sz w:val="28"/>
          <w:szCs w:val="28"/>
        </w:rPr>
      </w:pPr>
      <w:bookmarkStart w:name="bookmark37" w:id="43"/>
      <w:bookmarkEnd w:id="43"/>
      <w:r>
        <w:rPr>
          <w:sz w:val="28"/>
          <w:szCs w:val="28"/>
          <w:b/>
          <w:bCs/>
          <w:spacing w:val="-7"/>
        </w:rPr>
        <w:t>10.1</w:t>
      </w:r>
      <w:r>
        <w:rPr>
          <w:sz w:val="28"/>
          <w:szCs w:val="28"/>
          <w:b/>
          <w:bCs/>
          <w:spacing w:val="13"/>
        </w:rPr>
        <w:t xml:space="preserve">  </w:t>
      </w:r>
      <w:r>
        <w:rPr>
          <w:rFonts w:ascii="FangSong" w:hAnsi="FangSong" w:eastAsia="FangSong" w:cs="FangSong"/>
          <w:sz w:val="28"/>
          <w:szCs w:val="28"/>
          <w:b/>
          <w:bCs/>
          <w:spacing w:val="-7"/>
        </w:rPr>
        <w:t>监测结论</w:t>
      </w:r>
    </w:p>
    <w:p>
      <w:pPr>
        <w:pStyle w:val="BodyText"/>
        <w:ind w:left="17" w:firstLine="484"/>
        <w:spacing w:before="223" w:line="337" w:lineRule="auto"/>
        <w:rPr>
          <w:rFonts w:ascii="FangSong" w:hAnsi="FangSong" w:eastAsia="FangSong" w:cs="FangSong"/>
          <w:sz w:val="24"/>
          <w:szCs w:val="24"/>
        </w:rPr>
      </w:pPr>
      <w:r>
        <w:rPr>
          <w:rFonts w:ascii="FangSong" w:hAnsi="FangSong" w:eastAsia="FangSong" w:cs="FangSong"/>
          <w:sz w:val="24"/>
          <w:szCs w:val="24"/>
        </w:rPr>
        <w:t>（</w:t>
      </w:r>
      <w:r>
        <w:rPr>
          <w:sz w:val="24"/>
          <w:szCs w:val="24"/>
        </w:rPr>
        <w:t>1</w:t>
      </w:r>
      <w:r>
        <w:rPr>
          <w:rFonts w:ascii="FangSong" w:hAnsi="FangSong" w:eastAsia="FangSong" w:cs="FangSong"/>
          <w:sz w:val="24"/>
          <w:szCs w:val="24"/>
        </w:rPr>
        <w:t>）根据自行监测方案，浙江环益资源利用股份有限公司土壤共布设</w:t>
      </w:r>
      <w:r>
        <w:rPr>
          <w:sz w:val="24"/>
          <w:szCs w:val="24"/>
        </w:rPr>
        <w:t>14</w:t>
      </w:r>
      <w:r>
        <w:rPr>
          <w:rFonts w:ascii="FangSong" w:hAnsi="FangSong" w:eastAsia="FangSong" w:cs="FangSong"/>
          <w:sz w:val="24"/>
          <w:szCs w:val="24"/>
        </w:rPr>
        <w:t>个土壤点位，采</w:t>
      </w:r>
      <w:r>
        <w:rPr>
          <w:rFonts w:ascii="FangSong" w:hAnsi="FangSong" w:eastAsia="FangSong" w:cs="FangSong"/>
          <w:sz w:val="24"/>
          <w:szCs w:val="24"/>
          <w:spacing w:val="4"/>
        </w:rPr>
        <w:t xml:space="preserve"> </w:t>
      </w:r>
      <w:r>
        <w:rPr>
          <w:rFonts w:ascii="FangSong" w:hAnsi="FangSong" w:eastAsia="FangSong" w:cs="FangSong"/>
          <w:sz w:val="24"/>
          <w:szCs w:val="24"/>
          <w:spacing w:val="-4"/>
        </w:rPr>
        <w:t>集</w:t>
      </w:r>
      <w:r>
        <w:rPr>
          <w:sz w:val="24"/>
          <w:szCs w:val="24"/>
          <w:spacing w:val="-4"/>
        </w:rPr>
        <w:t>14</w:t>
      </w:r>
      <w:r>
        <w:rPr>
          <w:rFonts w:ascii="FangSong" w:hAnsi="FangSong" w:eastAsia="FangSong" w:cs="FangSong"/>
          <w:sz w:val="24"/>
          <w:szCs w:val="24"/>
          <w:spacing w:val="-4"/>
        </w:rPr>
        <w:t>个土壤样品。</w:t>
      </w:r>
      <w:r>
        <w:rPr>
          <w:sz w:val="24"/>
          <w:szCs w:val="24"/>
          <w:spacing w:val="-4"/>
        </w:rPr>
        <w:t>pH</w:t>
      </w:r>
      <w:r>
        <w:rPr>
          <w:rFonts w:ascii="FangSong" w:hAnsi="FangSong" w:eastAsia="FangSong" w:cs="FangSong"/>
          <w:sz w:val="24"/>
          <w:szCs w:val="24"/>
          <w:spacing w:val="-4"/>
        </w:rPr>
        <w:t>值检测范围在</w:t>
      </w:r>
      <w:r>
        <w:rPr>
          <w:sz w:val="24"/>
          <w:szCs w:val="24"/>
          <w:spacing w:val="-4"/>
        </w:rPr>
        <w:t>4.85</w:t>
      </w:r>
      <w:r>
        <w:rPr>
          <w:rFonts w:ascii="FangSong" w:hAnsi="FangSong" w:eastAsia="FangSong" w:cs="FangSong"/>
          <w:sz w:val="24"/>
          <w:szCs w:val="24"/>
          <w:spacing w:val="-4"/>
        </w:rPr>
        <w:t>～</w:t>
      </w:r>
      <w:r>
        <w:rPr>
          <w:sz w:val="24"/>
          <w:szCs w:val="24"/>
          <w:spacing w:val="-4"/>
        </w:rPr>
        <w:t>6.36</w:t>
      </w:r>
      <w:r>
        <w:rPr>
          <w:rFonts w:ascii="FangSong" w:hAnsi="FangSong" w:eastAsia="FangSong" w:cs="FangSong"/>
          <w:sz w:val="24"/>
          <w:szCs w:val="24"/>
          <w:spacing w:val="-4"/>
        </w:rPr>
        <w:t>之间，土壤</w:t>
      </w:r>
      <w:r>
        <w:rPr>
          <w:rFonts w:ascii="FangSong" w:hAnsi="FangSong" w:eastAsia="FangSong" w:cs="FangSong"/>
          <w:sz w:val="24"/>
          <w:szCs w:val="24"/>
          <w:spacing w:val="-5"/>
        </w:rPr>
        <w:t>样品中的检测因子除砷、镉、铜、铅、</w:t>
      </w:r>
      <w:r>
        <w:rPr>
          <w:rFonts w:ascii="FangSong" w:hAnsi="FangSong" w:eastAsia="FangSong" w:cs="FangSong"/>
          <w:sz w:val="24"/>
          <w:szCs w:val="24"/>
        </w:rPr>
        <w:t xml:space="preserve"> </w:t>
      </w:r>
      <w:r>
        <w:rPr>
          <w:rFonts w:ascii="FangSong" w:hAnsi="FangSong" w:eastAsia="FangSong" w:cs="FangSong"/>
          <w:sz w:val="24"/>
          <w:szCs w:val="24"/>
          <w:spacing w:val="-3"/>
        </w:rPr>
        <w:t>汞、镍、锌、总铬、氟化物、石油烃（</w:t>
      </w:r>
      <w:r>
        <w:rPr>
          <w:sz w:val="24"/>
          <w:szCs w:val="24"/>
          <w:spacing w:val="-3"/>
        </w:rPr>
        <w:t>C</w:t>
      </w:r>
      <w:r>
        <w:rPr>
          <w:sz w:val="15"/>
          <w:szCs w:val="15"/>
          <w:spacing w:val="-3"/>
        </w:rPr>
        <w:t>10</w:t>
      </w:r>
      <w:r>
        <w:rPr>
          <w:sz w:val="24"/>
          <w:szCs w:val="24"/>
          <w:spacing w:val="-3"/>
        </w:rPr>
        <w:t>-C</w:t>
      </w:r>
      <w:r>
        <w:rPr>
          <w:sz w:val="15"/>
          <w:szCs w:val="15"/>
          <w:spacing w:val="-3"/>
          <w:position w:val="-1"/>
        </w:rPr>
        <w:t>40 </w:t>
      </w:r>
      <w:r>
        <w:rPr>
          <w:rFonts w:ascii="FangSong" w:hAnsi="FangSong" w:eastAsia="FangSong" w:cs="FangSong"/>
          <w:sz w:val="24"/>
          <w:szCs w:val="24"/>
          <w:spacing w:val="-3"/>
        </w:rPr>
        <w:t>）、二噁英外，其他因子均未检出，污染物检出</w:t>
      </w:r>
      <w:r>
        <w:rPr>
          <w:rFonts w:ascii="FangSong" w:hAnsi="FangSong" w:eastAsia="FangSong" w:cs="FangSong"/>
          <w:sz w:val="24"/>
          <w:szCs w:val="24"/>
          <w:spacing w:val="9"/>
        </w:rPr>
        <w:t xml:space="preserve"> </w:t>
      </w:r>
      <w:r>
        <w:rPr>
          <w:rFonts w:ascii="FangSong" w:hAnsi="FangSong" w:eastAsia="FangSong" w:cs="FangSong"/>
          <w:sz w:val="24"/>
          <w:szCs w:val="24"/>
          <w:spacing w:val="2"/>
        </w:rPr>
        <w:t>浓度低于《土壤环境质量建设用地土壤污染风险管控标准》（</w:t>
      </w:r>
      <w:r>
        <w:rPr>
          <w:sz w:val="24"/>
          <w:szCs w:val="24"/>
        </w:rPr>
        <w:t>GB</w:t>
      </w:r>
      <w:r>
        <w:rPr>
          <w:sz w:val="24"/>
          <w:szCs w:val="24"/>
          <w:spacing w:val="2"/>
        </w:rPr>
        <w:t>3660</w:t>
      </w:r>
      <w:r>
        <w:rPr>
          <w:sz w:val="24"/>
          <w:szCs w:val="24"/>
          <w:spacing w:val="1"/>
        </w:rPr>
        <w:t>0-2018</w:t>
      </w:r>
      <w:r>
        <w:rPr>
          <w:rFonts w:ascii="FangSong" w:hAnsi="FangSong" w:eastAsia="FangSong" w:cs="FangSong"/>
          <w:sz w:val="24"/>
          <w:szCs w:val="24"/>
          <w:spacing w:val="1"/>
        </w:rPr>
        <w:t>）第二类用地筛</w:t>
      </w:r>
      <w:r>
        <w:rPr>
          <w:rFonts w:ascii="FangSong" w:hAnsi="FangSong" w:eastAsia="FangSong" w:cs="FangSong"/>
          <w:sz w:val="24"/>
          <w:szCs w:val="24"/>
        </w:rPr>
        <w:t xml:space="preserve"> </w:t>
      </w:r>
      <w:r>
        <w:rPr>
          <w:rFonts w:ascii="FangSong" w:hAnsi="FangSong" w:eastAsia="FangSong" w:cs="FangSong"/>
          <w:sz w:val="24"/>
          <w:szCs w:val="24"/>
          <w:spacing w:val="-3"/>
        </w:rPr>
        <w:t>选值，其中其中总铬、锌、氟化物污染物检出浓度低于浙江省地方标准《建设用地土壤污染风</w:t>
      </w:r>
      <w:r>
        <w:rPr>
          <w:rFonts w:ascii="FangSong" w:hAnsi="FangSong" w:eastAsia="FangSong" w:cs="FangSong"/>
          <w:sz w:val="24"/>
          <w:szCs w:val="24"/>
          <w:spacing w:val="11"/>
        </w:rPr>
        <w:t xml:space="preserve"> </w:t>
      </w:r>
      <w:r>
        <w:rPr>
          <w:rFonts w:ascii="FangSong" w:hAnsi="FangSong" w:eastAsia="FangSong" w:cs="FangSong"/>
          <w:sz w:val="24"/>
          <w:szCs w:val="24"/>
          <w:spacing w:val="-1"/>
        </w:rPr>
        <w:t>险评估技术导则》（</w:t>
      </w:r>
      <w:r>
        <w:rPr>
          <w:sz w:val="24"/>
          <w:szCs w:val="24"/>
          <w:spacing w:val="-1"/>
        </w:rPr>
        <w:t>DB 33/T 892-2022</w:t>
      </w:r>
      <w:r>
        <w:rPr>
          <w:rFonts w:ascii="FangSong" w:hAnsi="FangSong" w:eastAsia="FangSong" w:cs="FangSong"/>
          <w:sz w:val="24"/>
          <w:szCs w:val="24"/>
          <w:spacing w:val="-1"/>
        </w:rPr>
        <w:t>）非敏感用地筛选值。</w:t>
      </w:r>
    </w:p>
    <w:p>
      <w:pPr>
        <w:pStyle w:val="BodyText"/>
        <w:ind w:right="2" w:firstLine="501"/>
        <w:spacing w:before="179" w:line="343" w:lineRule="auto"/>
        <w:rPr>
          <w:rFonts w:ascii="FangSong" w:hAnsi="FangSong" w:eastAsia="FangSong" w:cs="FangSong"/>
          <w:sz w:val="24"/>
          <w:szCs w:val="24"/>
        </w:rPr>
      </w:pPr>
      <w:r>
        <w:rPr>
          <w:rFonts w:ascii="FangSong" w:hAnsi="FangSong" w:eastAsia="FangSong" w:cs="FangSong"/>
          <w:sz w:val="24"/>
          <w:szCs w:val="24"/>
          <w:spacing w:val="-3"/>
        </w:rPr>
        <w:t>（</w:t>
      </w:r>
      <w:r>
        <w:rPr>
          <w:sz w:val="24"/>
          <w:szCs w:val="24"/>
          <w:spacing w:val="-3"/>
        </w:rPr>
        <w:t>2</w:t>
      </w:r>
      <w:r>
        <w:rPr>
          <w:rFonts w:ascii="FangSong" w:hAnsi="FangSong" w:eastAsia="FangSong" w:cs="FangSong"/>
          <w:sz w:val="24"/>
          <w:szCs w:val="24"/>
          <w:spacing w:val="-3"/>
        </w:rPr>
        <w:t>）根据自行监测方案，浙江环益资源利用股份有限公司地块内设置</w:t>
      </w:r>
      <w:r>
        <w:rPr>
          <w:sz w:val="24"/>
          <w:szCs w:val="24"/>
          <w:spacing w:val="-3"/>
        </w:rPr>
        <w:t>9</w:t>
      </w:r>
      <w:r>
        <w:rPr>
          <w:rFonts w:ascii="FangSong" w:hAnsi="FangSong" w:eastAsia="FangSong" w:cs="FangSong"/>
          <w:sz w:val="24"/>
          <w:szCs w:val="24"/>
          <w:spacing w:val="-3"/>
        </w:rPr>
        <w:t>个地下水点位（其</w:t>
      </w:r>
      <w:r>
        <w:rPr>
          <w:rFonts w:ascii="FangSong" w:hAnsi="FangSong" w:eastAsia="FangSong" w:cs="FangSong"/>
          <w:sz w:val="24"/>
          <w:szCs w:val="24"/>
          <w:spacing w:val="4"/>
        </w:rPr>
        <w:t xml:space="preserve"> </w:t>
      </w:r>
      <w:r>
        <w:rPr>
          <w:rFonts w:ascii="FangSong" w:hAnsi="FangSong" w:eastAsia="FangSong" w:cs="FangSong"/>
          <w:sz w:val="24"/>
          <w:szCs w:val="24"/>
          <w:spacing w:val="-2"/>
        </w:rPr>
        <w:t>中对照点</w:t>
      </w:r>
      <w:r>
        <w:rPr>
          <w:sz w:val="24"/>
          <w:szCs w:val="24"/>
          <w:spacing w:val="-2"/>
        </w:rPr>
        <w:t>1</w:t>
      </w:r>
      <w:r>
        <w:rPr>
          <w:rFonts w:ascii="FangSong" w:hAnsi="FangSong" w:eastAsia="FangSong" w:cs="FangSong"/>
          <w:sz w:val="24"/>
          <w:szCs w:val="24"/>
          <w:spacing w:val="-2"/>
        </w:rPr>
        <w:t>个</w:t>
      </w:r>
      <w:r>
        <w:rPr>
          <w:rFonts w:ascii="FangSong" w:hAnsi="FangSong" w:eastAsia="FangSong" w:cs="FangSong"/>
          <w:sz w:val="24"/>
          <w:szCs w:val="24"/>
          <w:spacing w:val="-4"/>
        </w:rPr>
        <w:t>），</w:t>
      </w:r>
      <w:r>
        <w:rPr>
          <w:rFonts w:ascii="FangSong" w:hAnsi="FangSong" w:eastAsia="FangSong" w:cs="FangSong"/>
          <w:sz w:val="24"/>
          <w:szCs w:val="24"/>
          <w:spacing w:val="-2"/>
        </w:rPr>
        <w:t>因监测期间部分点位无地下水，本年度地块内实际采集</w:t>
      </w:r>
      <w:r>
        <w:rPr>
          <w:sz w:val="24"/>
          <w:szCs w:val="24"/>
          <w:spacing w:val="-2"/>
        </w:rPr>
        <w:t>3</w:t>
      </w:r>
      <w:r>
        <w:rPr>
          <w:rFonts w:ascii="FangSong" w:hAnsi="FangSong" w:eastAsia="FangSong" w:cs="FangSong"/>
          <w:sz w:val="24"/>
          <w:szCs w:val="24"/>
          <w:spacing w:val="-2"/>
        </w:rPr>
        <w:t>个地</w:t>
      </w:r>
      <w:r>
        <w:rPr>
          <w:rFonts w:ascii="FangSong" w:hAnsi="FangSong" w:eastAsia="FangSong" w:cs="FangSong"/>
          <w:sz w:val="24"/>
          <w:szCs w:val="24"/>
          <w:spacing w:val="-3"/>
        </w:rPr>
        <w:t>下水点位（其中</w:t>
      </w:r>
      <w:r>
        <w:rPr>
          <w:rFonts w:ascii="FangSong" w:hAnsi="FangSong" w:eastAsia="FangSong" w:cs="FangSong"/>
          <w:sz w:val="24"/>
          <w:szCs w:val="24"/>
        </w:rPr>
        <w:t xml:space="preserve"> </w:t>
      </w:r>
      <w:r>
        <w:rPr>
          <w:rFonts w:ascii="FangSong" w:hAnsi="FangSong" w:eastAsia="FangSong" w:cs="FangSong"/>
          <w:sz w:val="24"/>
          <w:szCs w:val="24"/>
          <w:spacing w:val="1"/>
        </w:rPr>
        <w:t>对照点</w:t>
      </w:r>
      <w:r>
        <w:rPr>
          <w:sz w:val="24"/>
          <w:szCs w:val="24"/>
          <w:spacing w:val="1"/>
        </w:rPr>
        <w:t>1</w:t>
      </w:r>
      <w:r>
        <w:rPr>
          <w:rFonts w:ascii="FangSong" w:hAnsi="FangSong" w:eastAsia="FangSong" w:cs="FangSong"/>
          <w:sz w:val="24"/>
          <w:szCs w:val="24"/>
          <w:spacing w:val="1"/>
        </w:rPr>
        <w:t>个）。地下水样品中的检测因子中除色度、</w:t>
      </w:r>
      <w:r>
        <w:rPr>
          <w:rFonts w:ascii="FangSong" w:hAnsi="FangSong" w:eastAsia="FangSong" w:cs="FangSong"/>
          <w:sz w:val="24"/>
          <w:szCs w:val="24"/>
        </w:rPr>
        <w:t>挥发酚、阴离子表面活性剂、铝、铜、氰</w:t>
      </w:r>
      <w:r>
        <w:rPr>
          <w:rFonts w:ascii="FangSong" w:hAnsi="FangSong" w:eastAsia="FangSong" w:cs="FangSong"/>
          <w:sz w:val="24"/>
          <w:szCs w:val="24"/>
        </w:rPr>
        <w:t xml:space="preserve"> </w:t>
      </w:r>
      <w:r>
        <w:rPr>
          <w:rFonts w:ascii="FangSong" w:hAnsi="FangSong" w:eastAsia="FangSong" w:cs="FangSong"/>
          <w:sz w:val="24"/>
          <w:szCs w:val="24"/>
          <w:spacing w:val="-6"/>
        </w:rPr>
        <w:t>化物、汞、六价铬、铍、总铬、四氯化碳、氯仿</w:t>
      </w:r>
      <w:r>
        <w:rPr>
          <w:rFonts w:ascii="FangSong" w:hAnsi="FangSong" w:eastAsia="FangSong" w:cs="FangSong"/>
          <w:sz w:val="24"/>
          <w:szCs w:val="24"/>
          <w:spacing w:val="-7"/>
        </w:rPr>
        <w:t>、苯、甲苯、苯并</w:t>
      </w:r>
      <w:r>
        <w:rPr>
          <w:sz w:val="24"/>
          <w:szCs w:val="24"/>
          <w:spacing w:val="-7"/>
        </w:rPr>
        <w:t>[a]</w:t>
      </w:r>
      <w:r>
        <w:rPr>
          <w:rFonts w:ascii="FangSong" w:hAnsi="FangSong" w:eastAsia="FangSong" w:cs="FangSong"/>
          <w:sz w:val="24"/>
          <w:szCs w:val="24"/>
          <w:spacing w:val="-7"/>
        </w:rPr>
        <w:t>芘、烷基汞等均未检出外，</w:t>
      </w:r>
      <w:r>
        <w:rPr>
          <w:rFonts w:ascii="FangSong" w:hAnsi="FangSong" w:eastAsia="FangSong" w:cs="FangSong"/>
          <w:sz w:val="24"/>
          <w:szCs w:val="24"/>
        </w:rPr>
        <w:t xml:space="preserve"> </w:t>
      </w:r>
      <w:r>
        <w:rPr>
          <w:sz w:val="24"/>
          <w:szCs w:val="24"/>
          <w:spacing w:val="-2"/>
        </w:rPr>
        <w:t>pH</w:t>
      </w:r>
      <w:r>
        <w:rPr>
          <w:rFonts w:ascii="FangSong" w:hAnsi="FangSong" w:eastAsia="FangSong" w:cs="FangSong"/>
          <w:sz w:val="24"/>
          <w:szCs w:val="24"/>
          <w:spacing w:val="-2"/>
        </w:rPr>
        <w:t>值、臭和味、浊度、肉眼可见物、总硬度、溶解性总固体、硫酸盐、氯化物、铁、锰、锌、</w:t>
      </w:r>
      <w:r>
        <w:rPr>
          <w:rFonts w:ascii="FangSong" w:hAnsi="FangSong" w:eastAsia="FangSong" w:cs="FangSong"/>
          <w:sz w:val="24"/>
          <w:szCs w:val="24"/>
          <w:spacing w:val="10"/>
        </w:rPr>
        <w:t xml:space="preserve"> </w:t>
      </w:r>
      <w:r>
        <w:rPr>
          <w:rFonts w:ascii="FangSong" w:hAnsi="FangSong" w:eastAsia="FangSong" w:cs="FangSong"/>
          <w:sz w:val="24"/>
          <w:szCs w:val="24"/>
        </w:rPr>
        <w:t>高锰酸盐指数、氨氮、硫化物、钠、硝酸盐氮、</w:t>
      </w:r>
      <w:r>
        <w:rPr>
          <w:rFonts w:ascii="FangSong" w:hAnsi="FangSong" w:eastAsia="FangSong" w:cs="FangSong"/>
          <w:sz w:val="24"/>
          <w:szCs w:val="24"/>
          <w:spacing w:val="-1"/>
        </w:rPr>
        <w:t>亚硝酸盐氮、氟化物、碘化物、砷、硒、镉、</w:t>
      </w:r>
      <w:r>
        <w:rPr>
          <w:rFonts w:ascii="FangSong" w:hAnsi="FangSong" w:eastAsia="FangSong" w:cs="FangSong"/>
          <w:sz w:val="24"/>
          <w:szCs w:val="24"/>
        </w:rPr>
        <w:t xml:space="preserve"> </w:t>
      </w:r>
      <w:r>
        <w:rPr>
          <w:rFonts w:ascii="FangSong" w:hAnsi="FangSong" w:eastAsia="FangSong" w:cs="FangSong"/>
          <w:sz w:val="24"/>
          <w:szCs w:val="24"/>
          <w:spacing w:val="8"/>
        </w:rPr>
        <w:t>铅、钡镍总磷、可萃取性石油烃（</w:t>
      </w:r>
      <w:r>
        <w:rPr>
          <w:sz w:val="24"/>
          <w:szCs w:val="24"/>
          <w:spacing w:val="8"/>
        </w:rPr>
        <w:t>C</w:t>
      </w:r>
      <w:r>
        <w:rPr>
          <w:sz w:val="15"/>
          <w:szCs w:val="15"/>
          <w:spacing w:val="8"/>
        </w:rPr>
        <w:t>10</w:t>
      </w:r>
      <w:r>
        <w:rPr>
          <w:sz w:val="24"/>
          <w:szCs w:val="24"/>
          <w:spacing w:val="8"/>
        </w:rPr>
        <w:t>-C</w:t>
      </w:r>
      <w:r>
        <w:rPr>
          <w:sz w:val="15"/>
          <w:szCs w:val="15"/>
          <w:spacing w:val="8"/>
          <w:position w:val="-1"/>
        </w:rPr>
        <w:t>40 </w:t>
      </w:r>
      <w:r>
        <w:rPr>
          <w:rFonts w:ascii="FangSong" w:hAnsi="FangSong" w:eastAsia="FangSong" w:cs="FangSong"/>
          <w:sz w:val="24"/>
          <w:szCs w:val="24"/>
          <w:spacing w:val="8"/>
        </w:rPr>
        <w:t>）等检测指标有检出，满足《地下水质量标准》</w:t>
      </w:r>
      <w:r>
        <w:rPr>
          <w:rFonts w:ascii="FangSong" w:hAnsi="FangSong" w:eastAsia="FangSong" w:cs="FangSong"/>
          <w:sz w:val="24"/>
          <w:szCs w:val="24"/>
          <w:spacing w:val="4"/>
        </w:rPr>
        <w:t xml:space="preserve"> </w:t>
      </w:r>
      <w:r>
        <w:rPr>
          <w:rFonts w:ascii="FangSong" w:hAnsi="FangSong" w:eastAsia="FangSong" w:cs="FangSong"/>
          <w:sz w:val="24"/>
          <w:szCs w:val="24"/>
        </w:rPr>
        <w:t>（</w:t>
      </w:r>
      <w:r>
        <w:rPr>
          <w:sz w:val="24"/>
          <w:szCs w:val="24"/>
        </w:rPr>
        <w:t>GB/T14848-2017</w:t>
      </w:r>
      <w:r>
        <w:rPr>
          <w:rFonts w:ascii="FangSong" w:hAnsi="FangSong" w:eastAsia="FangSong" w:cs="FangSong"/>
          <w:sz w:val="24"/>
          <w:szCs w:val="24"/>
        </w:rPr>
        <w:t>）中的</w:t>
      </w:r>
      <w:r>
        <w:rPr>
          <w:sz w:val="24"/>
          <w:szCs w:val="24"/>
        </w:rPr>
        <w:t>Ⅳ</w:t>
      </w:r>
      <w:r>
        <w:rPr>
          <w:rFonts w:ascii="FangSong" w:hAnsi="FangSong" w:eastAsia="FangSong" w:cs="FangSong"/>
          <w:sz w:val="24"/>
          <w:szCs w:val="24"/>
        </w:rPr>
        <w:t>类标</w:t>
      </w:r>
      <w:r>
        <w:rPr>
          <w:rFonts w:ascii="FangSong" w:hAnsi="FangSong" w:eastAsia="FangSong" w:cs="FangSong"/>
          <w:sz w:val="24"/>
          <w:szCs w:val="24"/>
          <w:spacing w:val="-1"/>
        </w:rPr>
        <w:t>准。</w:t>
      </w:r>
    </w:p>
    <w:p>
      <w:pPr>
        <w:pStyle w:val="BodyText"/>
        <w:ind w:left="19"/>
        <w:spacing w:before="237" w:line="223" w:lineRule="auto"/>
        <w:outlineLvl w:val="1"/>
        <w:rPr>
          <w:rFonts w:ascii="FangSong" w:hAnsi="FangSong" w:eastAsia="FangSong" w:cs="FangSong"/>
          <w:sz w:val="28"/>
          <w:szCs w:val="28"/>
        </w:rPr>
      </w:pPr>
      <w:bookmarkStart w:name="bookmark38" w:id="44"/>
      <w:bookmarkEnd w:id="44"/>
      <w:r>
        <w:rPr>
          <w:sz w:val="28"/>
          <w:szCs w:val="28"/>
          <w:b/>
          <w:bCs/>
          <w:spacing w:val="-3"/>
        </w:rPr>
        <w:t>10.2  </w:t>
      </w:r>
      <w:r>
        <w:rPr>
          <w:rFonts w:ascii="FangSong" w:hAnsi="FangSong" w:eastAsia="FangSong" w:cs="FangSong"/>
          <w:sz w:val="28"/>
          <w:szCs w:val="28"/>
          <w:b/>
          <w:bCs/>
          <w:spacing w:val="-3"/>
        </w:rPr>
        <w:t>企业针对监测结果拟采取的主要措施及原因</w:t>
      </w:r>
    </w:p>
    <w:p>
      <w:pPr>
        <w:pStyle w:val="BodyText"/>
        <w:ind w:left="501"/>
        <w:spacing w:before="227" w:line="221" w:lineRule="auto"/>
        <w:rPr>
          <w:rFonts w:ascii="FangSong" w:hAnsi="FangSong" w:eastAsia="FangSong" w:cs="FangSong"/>
          <w:sz w:val="24"/>
          <w:szCs w:val="24"/>
        </w:rPr>
      </w:pPr>
      <w:r>
        <w:rPr>
          <w:rFonts w:ascii="FangSong" w:hAnsi="FangSong" w:eastAsia="FangSong" w:cs="FangSong"/>
          <w:sz w:val="24"/>
          <w:szCs w:val="24"/>
          <w:spacing w:val="-1"/>
        </w:rPr>
        <w:t>（</w:t>
      </w:r>
      <w:r>
        <w:rPr>
          <w:sz w:val="24"/>
          <w:szCs w:val="24"/>
          <w:spacing w:val="-1"/>
        </w:rPr>
        <w:t>1</w:t>
      </w:r>
      <w:r>
        <w:rPr>
          <w:rFonts w:ascii="FangSong" w:hAnsi="FangSong" w:eastAsia="FangSong" w:cs="FangSong"/>
          <w:sz w:val="24"/>
          <w:szCs w:val="24"/>
          <w:spacing w:val="-1"/>
        </w:rPr>
        <w:t>）本年度地下水监测指标及特征污染物未出现超标情况，故监测频次暂时不提高。</w:t>
      </w:r>
    </w:p>
    <w:p>
      <w:pPr>
        <w:pStyle w:val="BodyText"/>
        <w:ind w:left="19" w:right="76" w:firstLine="482"/>
        <w:spacing w:before="182" w:line="290" w:lineRule="auto"/>
        <w:rPr>
          <w:rFonts w:ascii="FangSong" w:hAnsi="FangSong" w:eastAsia="FangSong" w:cs="FangSong"/>
          <w:sz w:val="24"/>
          <w:szCs w:val="24"/>
        </w:rPr>
      </w:pPr>
      <w:r>
        <w:rPr>
          <w:rFonts w:ascii="FangSong" w:hAnsi="FangSong" w:eastAsia="FangSong" w:cs="FangSong"/>
          <w:sz w:val="24"/>
          <w:szCs w:val="24"/>
        </w:rPr>
        <w:t>（</w:t>
      </w:r>
      <w:r>
        <w:rPr>
          <w:sz w:val="24"/>
          <w:szCs w:val="24"/>
        </w:rPr>
        <w:t>2</w:t>
      </w:r>
      <w:r>
        <w:rPr>
          <w:rFonts w:ascii="FangSong" w:hAnsi="FangSong" w:eastAsia="FangSong" w:cs="FangSong"/>
          <w:sz w:val="24"/>
          <w:szCs w:val="24"/>
        </w:rPr>
        <w:t>）对于各重点区域内的设备及重点设施定期进行维护和保养，防止跑冒滴漏、防止污</w:t>
      </w:r>
      <w:r>
        <w:rPr>
          <w:rFonts w:ascii="FangSong" w:hAnsi="FangSong" w:eastAsia="FangSong" w:cs="FangSong"/>
          <w:sz w:val="24"/>
          <w:szCs w:val="24"/>
          <w:spacing w:val="4"/>
        </w:rPr>
        <w:t xml:space="preserve"> </w:t>
      </w:r>
      <w:r>
        <w:rPr>
          <w:rFonts w:ascii="FangSong" w:hAnsi="FangSong" w:eastAsia="FangSong" w:cs="FangSong"/>
          <w:sz w:val="24"/>
          <w:szCs w:val="24"/>
          <w:spacing w:val="-2"/>
        </w:rPr>
        <w:t>染物扩散渗入土壤或地下水造成污染。</w:t>
      </w:r>
    </w:p>
    <w:p>
      <w:pPr>
        <w:spacing w:line="290" w:lineRule="auto"/>
        <w:sectPr>
          <w:headerReference w:type="default" r:id="rId158"/>
          <w:footerReference w:type="default" r:id="rId159"/>
          <w:pgSz w:w="11906" w:h="16839"/>
          <w:pgMar w:top="1139" w:right="1002" w:bottom="1252" w:left="1079" w:header="831" w:footer="1090" w:gutter="0"/>
        </w:sectPr>
        <w:rPr>
          <w:rFonts w:ascii="FangSong" w:hAnsi="FangSong" w:eastAsia="FangSong" w:cs="FangSong"/>
          <w:sz w:val="24"/>
          <w:szCs w:val="24"/>
        </w:rPr>
      </w:pPr>
    </w:p>
    <w:p>
      <w:pPr>
        <w:ind w:left="233"/>
        <w:spacing w:before="283" w:line="223" w:lineRule="auto"/>
        <w:outlineLvl w:val="0"/>
        <w:rPr>
          <w:rFonts w:ascii="FangSong" w:hAnsi="FangSong" w:eastAsia="FangSong" w:cs="FangSong"/>
          <w:sz w:val="28"/>
          <w:szCs w:val="28"/>
        </w:rPr>
      </w:pPr>
      <w:bookmarkStart w:name="bookmark39" w:id="45"/>
      <w:bookmarkEnd w:id="45"/>
      <w:bookmarkStart w:name="bookmark40" w:id="46"/>
      <w:bookmarkEnd w:id="46"/>
      <w:r>
        <w:rPr>
          <w:rFonts w:ascii="FangSong" w:hAnsi="FangSong" w:eastAsia="FangSong" w:cs="FangSong"/>
          <w:sz w:val="28"/>
          <w:szCs w:val="28"/>
          <w:b/>
          <w:bCs/>
          <w:spacing w:val="-18"/>
        </w:rPr>
        <w:t>附件</w:t>
      </w:r>
    </w:p>
    <w:p>
      <w:pPr>
        <w:pStyle w:val="BodyText"/>
        <w:ind w:left="233"/>
        <w:spacing w:before="285" w:line="222" w:lineRule="auto"/>
        <w:outlineLvl w:val="1"/>
        <w:rPr>
          <w:rFonts w:ascii="FangSong" w:hAnsi="FangSong" w:eastAsia="FangSong" w:cs="FangSong"/>
          <w:sz w:val="28"/>
          <w:szCs w:val="28"/>
        </w:rPr>
      </w:pPr>
      <w:bookmarkStart w:name="bookmark49" w:id="47"/>
      <w:bookmarkEnd w:id="47"/>
      <w:r>
        <w:rPr>
          <w:rFonts w:ascii="FangSong" w:hAnsi="FangSong" w:eastAsia="FangSong" w:cs="FangSong"/>
          <w:sz w:val="28"/>
          <w:szCs w:val="28"/>
          <w:b/>
          <w:bCs/>
          <w:spacing w:val="-7"/>
        </w:rPr>
        <w:t>附件</w:t>
      </w:r>
      <w:r>
        <w:rPr>
          <w:sz w:val="28"/>
          <w:szCs w:val="28"/>
          <w:b/>
          <w:bCs/>
          <w:spacing w:val="-7"/>
        </w:rPr>
        <w:t>1</w:t>
      </w:r>
      <w:r>
        <w:rPr>
          <w:sz w:val="28"/>
          <w:szCs w:val="28"/>
          <w:b/>
          <w:bCs/>
          <w:spacing w:val="13"/>
        </w:rPr>
        <w:t xml:space="preserve">  </w:t>
      </w:r>
      <w:r>
        <w:rPr>
          <w:rFonts w:ascii="FangSong" w:hAnsi="FangSong" w:eastAsia="FangSong" w:cs="FangSong"/>
          <w:sz w:val="28"/>
          <w:szCs w:val="28"/>
          <w:b/>
          <w:bCs/>
          <w:spacing w:val="-7"/>
        </w:rPr>
        <w:t>重点监测单元清单</w:t>
      </w:r>
    </w:p>
    <w:p>
      <w:pPr>
        <w:spacing w:line="115" w:lineRule="exact"/>
        <w:rPr/>
      </w:pPr>
      <w:r/>
    </w:p>
    <w:tbl>
      <w:tblPr>
        <w:tblStyle w:val="TableNormal"/>
        <w:tblW w:w="1426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2"/>
        <w:gridCol w:w="2305"/>
        <w:gridCol w:w="1535"/>
        <w:gridCol w:w="1511"/>
        <w:gridCol w:w="1511"/>
        <w:gridCol w:w="1691"/>
        <w:gridCol w:w="1090"/>
        <w:gridCol w:w="806"/>
        <w:gridCol w:w="1428"/>
        <w:gridCol w:w="1709"/>
      </w:tblGrid>
      <w:tr>
        <w:trPr>
          <w:trHeight w:val="349" w:hRule="atLeast"/>
        </w:trPr>
        <w:tc>
          <w:tcPr>
            <w:tcW w:w="2987" w:type="dxa"/>
            <w:vAlign w:val="top"/>
            <w:gridSpan w:val="2"/>
          </w:tcPr>
          <w:p>
            <w:pPr>
              <w:pStyle w:val="TableText"/>
              <w:ind w:left="1086"/>
              <w:spacing w:before="68" w:line="229" w:lineRule="auto"/>
              <w:rPr/>
            </w:pPr>
            <w:r>
              <w:rPr>
                <w:spacing w:val="5"/>
              </w:rPr>
              <w:t>企业名称</w:t>
            </w:r>
          </w:p>
        </w:tc>
        <w:tc>
          <w:tcPr>
            <w:tcW w:w="4557" w:type="dxa"/>
            <w:vAlign w:val="top"/>
            <w:gridSpan w:val="3"/>
          </w:tcPr>
          <w:p>
            <w:pPr>
              <w:pStyle w:val="TableText"/>
              <w:ind w:left="821"/>
              <w:spacing w:before="68" w:line="231" w:lineRule="auto"/>
              <w:rPr/>
            </w:pPr>
            <w:r>
              <w:rPr>
                <w:spacing w:val="8"/>
              </w:rPr>
              <w:t>浙江环益资源利用股份有限公司</w:t>
            </w:r>
          </w:p>
        </w:tc>
        <w:tc>
          <w:tcPr>
            <w:tcW w:w="1691" w:type="dxa"/>
            <w:vAlign w:val="top"/>
          </w:tcPr>
          <w:p>
            <w:pPr>
              <w:pStyle w:val="TableText"/>
              <w:ind w:left="439"/>
              <w:spacing w:before="68" w:line="229" w:lineRule="auto"/>
              <w:rPr/>
            </w:pPr>
            <w:r>
              <w:rPr>
                <w:spacing w:val="5"/>
              </w:rPr>
              <w:t>所属行业</w:t>
            </w:r>
          </w:p>
        </w:tc>
        <w:tc>
          <w:tcPr>
            <w:tcW w:w="5033" w:type="dxa"/>
            <w:vAlign w:val="top"/>
            <w:gridSpan w:val="4"/>
          </w:tcPr>
          <w:p>
            <w:pPr>
              <w:pStyle w:val="TableText"/>
              <w:ind w:left="1092"/>
              <w:spacing w:before="68" w:line="229" w:lineRule="auto"/>
              <w:rPr>
                <w:rFonts w:ascii="Times New Roman" w:hAnsi="Times New Roman" w:eastAsia="Times New Roman" w:cs="Times New Roman"/>
              </w:rPr>
            </w:pPr>
            <w:r>
              <w:rPr>
                <w:spacing w:val="7"/>
              </w:rPr>
              <w:t>金属废料和碎屑加工处理</w:t>
            </w:r>
            <w:r>
              <w:rPr>
                <w:rFonts w:ascii="Times New Roman" w:hAnsi="Times New Roman" w:eastAsia="Times New Roman" w:cs="Times New Roman"/>
                <w:spacing w:val="7"/>
              </w:rPr>
              <w:t>C4210</w:t>
            </w:r>
          </w:p>
        </w:tc>
      </w:tr>
      <w:tr>
        <w:trPr>
          <w:trHeight w:val="549" w:hRule="atLeast"/>
        </w:trPr>
        <w:tc>
          <w:tcPr>
            <w:tcW w:w="682" w:type="dxa"/>
            <w:vAlign w:val="top"/>
          </w:tcPr>
          <w:p>
            <w:pPr>
              <w:pStyle w:val="TableText"/>
              <w:ind w:left="141"/>
              <w:spacing w:before="167" w:line="231" w:lineRule="auto"/>
              <w:rPr/>
            </w:pPr>
            <w:r>
              <w:rPr>
                <w:spacing w:val="2"/>
              </w:rPr>
              <w:t>序号</w:t>
            </w:r>
          </w:p>
        </w:tc>
        <w:tc>
          <w:tcPr>
            <w:tcW w:w="2305" w:type="dxa"/>
            <w:vAlign w:val="top"/>
          </w:tcPr>
          <w:p>
            <w:pPr>
              <w:pStyle w:val="TableText"/>
              <w:ind w:left="129" w:right="110" w:firstLine="91"/>
              <w:spacing w:before="32" w:line="234" w:lineRule="auto"/>
              <w:rPr/>
            </w:pPr>
            <w:r>
              <w:rPr>
                <w:spacing w:val="7"/>
              </w:rPr>
              <w:t>单元内需要监测的重</w:t>
            </w:r>
            <w:r>
              <w:rPr>
                <w:spacing w:val="3"/>
              </w:rPr>
              <w:t xml:space="preserve">  </w:t>
            </w:r>
            <w:r>
              <w:rPr>
                <w:spacing w:val="6"/>
              </w:rPr>
              <w:t>点场所、设施设备名称</w:t>
            </w:r>
          </w:p>
        </w:tc>
        <w:tc>
          <w:tcPr>
            <w:tcW w:w="1535" w:type="dxa"/>
            <w:vAlign w:val="top"/>
          </w:tcPr>
          <w:p>
            <w:pPr>
              <w:pStyle w:val="TableText"/>
              <w:ind w:left="571"/>
              <w:spacing w:before="168" w:line="230" w:lineRule="auto"/>
              <w:rPr/>
            </w:pPr>
            <w:r>
              <w:rPr>
                <w:spacing w:val="-1"/>
              </w:rPr>
              <w:t>功能</w:t>
            </w:r>
          </w:p>
        </w:tc>
        <w:tc>
          <w:tcPr>
            <w:tcW w:w="1511" w:type="dxa"/>
            <w:vAlign w:val="top"/>
          </w:tcPr>
          <w:p>
            <w:pPr>
              <w:pStyle w:val="TableText"/>
              <w:ind w:left="346" w:right="125" w:hanging="207"/>
              <w:spacing w:before="32" w:line="234" w:lineRule="auto"/>
              <w:rPr/>
            </w:pPr>
            <w:r>
              <w:rPr>
                <w:spacing w:val="6"/>
              </w:rPr>
              <w:t>涉及有毒有害</w:t>
            </w:r>
            <w:r>
              <w:rPr>
                <w:spacing w:val="4"/>
              </w:rPr>
              <w:t xml:space="preserve"> </w:t>
            </w:r>
            <w:r>
              <w:rPr>
                <w:spacing w:val="5"/>
              </w:rPr>
              <w:t>物质清单</w:t>
            </w:r>
          </w:p>
        </w:tc>
        <w:tc>
          <w:tcPr>
            <w:tcW w:w="1511" w:type="dxa"/>
            <w:vAlign w:val="top"/>
          </w:tcPr>
          <w:p>
            <w:pPr>
              <w:pStyle w:val="TableText"/>
              <w:ind w:left="249"/>
              <w:spacing w:before="168" w:line="229" w:lineRule="auto"/>
              <w:rPr/>
            </w:pPr>
            <w:r>
              <w:rPr>
                <w:spacing w:val="5"/>
              </w:rPr>
              <w:t>关注污染物</w:t>
            </w:r>
          </w:p>
        </w:tc>
        <w:tc>
          <w:tcPr>
            <w:tcW w:w="1691" w:type="dxa"/>
            <w:vAlign w:val="top"/>
          </w:tcPr>
          <w:p>
            <w:pPr>
              <w:pStyle w:val="TableText"/>
              <w:ind w:left="438"/>
              <w:spacing w:before="167" w:line="231" w:lineRule="auto"/>
              <w:rPr/>
            </w:pPr>
            <w:r>
              <w:rPr>
                <w:spacing w:val="6"/>
              </w:rPr>
              <w:t>设施坐标</w:t>
            </w:r>
          </w:p>
        </w:tc>
        <w:tc>
          <w:tcPr>
            <w:tcW w:w="1090" w:type="dxa"/>
            <w:vAlign w:val="top"/>
          </w:tcPr>
          <w:p>
            <w:pPr>
              <w:pStyle w:val="TableText"/>
              <w:ind w:left="138"/>
              <w:spacing w:before="31" w:line="232" w:lineRule="auto"/>
              <w:rPr/>
            </w:pPr>
            <w:r>
              <w:rPr>
                <w:spacing w:val="5"/>
              </w:rPr>
              <w:t>是否为隐</w:t>
            </w:r>
          </w:p>
          <w:p>
            <w:pPr>
              <w:pStyle w:val="TableText"/>
              <w:ind w:left="142"/>
              <w:spacing w:before="22" w:line="216" w:lineRule="auto"/>
              <w:rPr/>
            </w:pPr>
            <w:r>
              <w:rPr>
                <w:spacing w:val="4"/>
              </w:rPr>
              <w:t>蔽性设施</w:t>
            </w:r>
          </w:p>
        </w:tc>
        <w:tc>
          <w:tcPr>
            <w:tcW w:w="806" w:type="dxa"/>
            <w:vAlign w:val="top"/>
          </w:tcPr>
          <w:p>
            <w:pPr>
              <w:pStyle w:val="TableText"/>
              <w:ind w:left="210"/>
              <w:spacing w:before="31" w:line="229" w:lineRule="auto"/>
              <w:rPr/>
            </w:pPr>
            <w:r>
              <w:rPr>
                <w:spacing w:val="-1"/>
              </w:rPr>
              <w:t>单元</w:t>
            </w:r>
          </w:p>
          <w:p>
            <w:pPr>
              <w:pStyle w:val="TableText"/>
              <w:ind w:left="209"/>
              <w:spacing w:before="25" w:line="216" w:lineRule="auto"/>
              <w:rPr/>
            </w:pPr>
            <w:r>
              <w:rPr/>
              <w:t>类别</w:t>
            </w:r>
          </w:p>
        </w:tc>
        <w:tc>
          <w:tcPr>
            <w:tcW w:w="3137" w:type="dxa"/>
            <w:vAlign w:val="top"/>
            <w:gridSpan w:val="2"/>
          </w:tcPr>
          <w:p>
            <w:pPr>
              <w:pStyle w:val="TableText"/>
              <w:ind w:left="214"/>
              <w:spacing w:before="31" w:line="229" w:lineRule="auto"/>
              <w:rPr/>
            </w:pPr>
            <w:r>
              <w:rPr>
                <w:spacing w:val="8"/>
              </w:rPr>
              <w:t>该单元对应的监测点位编号及</w:t>
            </w:r>
          </w:p>
          <w:p>
            <w:pPr>
              <w:pStyle w:val="TableText"/>
              <w:ind w:left="1373"/>
              <w:spacing w:before="25" w:line="216" w:lineRule="auto"/>
              <w:rPr/>
            </w:pPr>
            <w:r>
              <w:rPr>
                <w:spacing w:val="-1"/>
              </w:rPr>
              <w:t>坐标</w:t>
            </w:r>
          </w:p>
        </w:tc>
      </w:tr>
      <w:tr>
        <w:trPr>
          <w:trHeight w:val="549" w:hRule="atLeast"/>
        </w:trPr>
        <w:tc>
          <w:tcPr>
            <w:tcW w:w="682"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pStyle w:val="TableText"/>
              <w:ind w:left="146"/>
              <w:spacing w:before="65" w:line="229" w:lineRule="auto"/>
              <w:rPr/>
            </w:pPr>
            <w:r>
              <w:rPr>
                <w:spacing w:val="-1"/>
              </w:rPr>
              <w:t>单元</w:t>
            </w:r>
          </w:p>
          <w:p>
            <w:pPr>
              <w:ind w:left="264"/>
              <w:spacing w:before="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A</w:t>
            </w:r>
          </w:p>
        </w:tc>
        <w:tc>
          <w:tcPr>
            <w:tcW w:w="2305"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pStyle w:val="TableText"/>
              <w:ind w:left="265" w:right="108" w:hanging="136"/>
              <w:spacing w:before="65" w:line="249" w:lineRule="auto"/>
              <w:rPr/>
            </w:pPr>
            <w:r>
              <w:rPr>
                <w:spacing w:val="6"/>
              </w:rPr>
              <w:t>阳极炉生产区（阳极炉</w:t>
            </w:r>
            <w:r>
              <w:rPr>
                <w:spacing w:val="1"/>
              </w:rPr>
              <w:t xml:space="preserve"> </w:t>
            </w:r>
            <w:r>
              <w:rPr>
                <w:spacing w:val="6"/>
              </w:rPr>
              <w:t>车间</w:t>
            </w:r>
            <w:r>
              <w:rPr>
                <w:rFonts w:ascii="Times New Roman" w:hAnsi="Times New Roman" w:eastAsia="Times New Roman" w:cs="Times New Roman"/>
                <w:spacing w:val="6"/>
              </w:rPr>
              <w:t>+</w:t>
            </w:r>
            <w:r>
              <w:rPr>
                <w:spacing w:val="6"/>
              </w:rPr>
              <w:t>烟气治理区）</w:t>
            </w:r>
          </w:p>
        </w:tc>
        <w:tc>
          <w:tcPr>
            <w:tcW w:w="1535"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pStyle w:val="TableText"/>
              <w:ind w:left="356" w:right="138" w:hanging="202"/>
              <w:spacing w:before="65" w:line="251" w:lineRule="auto"/>
              <w:rPr/>
            </w:pPr>
            <w:r>
              <w:rPr>
                <w:spacing w:val="6"/>
              </w:rPr>
              <w:t>重熔冶炼铸造</w:t>
            </w:r>
            <w:r>
              <w:rPr/>
              <w:t xml:space="preserve"> </w:t>
            </w:r>
            <w:r>
              <w:rPr>
                <w:spacing w:val="5"/>
              </w:rPr>
              <w:t>磨球产品</w:t>
            </w:r>
          </w:p>
        </w:tc>
        <w:tc>
          <w:tcPr>
            <w:tcW w:w="1511" w:type="dxa"/>
            <w:vAlign w:val="top"/>
            <w:vMerge w:val="restart"/>
            <w:tcBorders>
              <w:bottom w:val="nil"/>
            </w:tcBorders>
          </w:tcPr>
          <w:p>
            <w:pPr>
              <w:pStyle w:val="TableText"/>
              <w:ind w:left="139"/>
              <w:spacing w:before="177" w:line="226" w:lineRule="auto"/>
              <w:rPr/>
            </w:pPr>
            <w:r>
              <w:rPr>
                <w:spacing w:val="5"/>
              </w:rPr>
              <w:t>苯并芘、铜、</w:t>
            </w:r>
          </w:p>
          <w:p>
            <w:pPr>
              <w:pStyle w:val="TableText"/>
              <w:ind w:left="136"/>
              <w:spacing w:before="26" w:line="231" w:lineRule="auto"/>
              <w:rPr/>
            </w:pPr>
            <w:r>
              <w:rPr>
                <w:spacing w:val="5"/>
              </w:rPr>
              <w:t>铅、锌、镉、</w:t>
            </w:r>
          </w:p>
          <w:p>
            <w:pPr>
              <w:pStyle w:val="TableText"/>
              <w:ind w:left="138"/>
              <w:spacing w:before="23" w:line="229" w:lineRule="auto"/>
              <w:rPr/>
            </w:pPr>
            <w:r>
              <w:rPr>
                <w:spacing w:val="7"/>
              </w:rPr>
              <w:t>镍、砷、六价</w:t>
            </w:r>
          </w:p>
          <w:p>
            <w:pPr>
              <w:pStyle w:val="TableText"/>
              <w:ind w:left="137"/>
              <w:spacing w:before="25" w:line="230" w:lineRule="auto"/>
              <w:rPr/>
            </w:pPr>
            <w:r>
              <w:rPr>
                <w:spacing w:val="9"/>
              </w:rPr>
              <w:t>铬、铬、二噁</w:t>
            </w:r>
          </w:p>
          <w:p>
            <w:pPr>
              <w:pStyle w:val="TableText"/>
              <w:ind w:left="662"/>
              <w:spacing w:before="21" w:line="232" w:lineRule="auto"/>
              <w:rPr/>
            </w:pPr>
            <w:r>
              <w:rPr/>
              <w:t>英</w:t>
            </w:r>
          </w:p>
        </w:tc>
        <w:tc>
          <w:tcPr>
            <w:tcW w:w="1511" w:type="dxa"/>
            <w:vAlign w:val="top"/>
            <w:vMerge w:val="restart"/>
            <w:tcBorders>
              <w:bottom w:val="nil"/>
            </w:tcBorders>
          </w:tcPr>
          <w:p>
            <w:pPr>
              <w:pStyle w:val="TableText"/>
              <w:ind w:left="140"/>
              <w:spacing w:before="41" w:line="226" w:lineRule="auto"/>
              <w:rPr/>
            </w:pPr>
            <w:r>
              <w:rPr>
                <w:spacing w:val="5"/>
              </w:rPr>
              <w:t>苯并芘、铜、</w:t>
            </w:r>
          </w:p>
          <w:p>
            <w:pPr>
              <w:pStyle w:val="TableText"/>
              <w:ind w:left="137"/>
              <w:spacing w:before="26" w:line="231" w:lineRule="auto"/>
              <w:rPr/>
            </w:pPr>
            <w:r>
              <w:rPr>
                <w:spacing w:val="5"/>
              </w:rPr>
              <w:t>铅、锌、镉、</w:t>
            </w:r>
          </w:p>
          <w:p>
            <w:pPr>
              <w:pStyle w:val="TableText"/>
              <w:ind w:left="247" w:right="162" w:hanging="108"/>
              <w:spacing w:before="22" w:line="251" w:lineRule="auto"/>
              <w:rPr/>
            </w:pPr>
            <w:r>
              <w:rPr/>
              <w:t>镍、砷、氟、</w:t>
            </w:r>
            <w:r>
              <w:rPr>
                <w:spacing w:val="3"/>
              </w:rPr>
              <w:t xml:space="preserve"> </w:t>
            </w:r>
            <w:r>
              <w:rPr>
                <w:spacing w:val="8"/>
              </w:rPr>
              <w:t>氯化氢、二</w:t>
            </w:r>
          </w:p>
          <w:p>
            <w:pPr>
              <w:pStyle w:val="TableText"/>
              <w:ind w:left="347" w:right="124" w:hanging="202"/>
              <w:spacing w:before="2" w:line="238" w:lineRule="auto"/>
              <w:rPr/>
            </w:pPr>
            <w:r>
              <w:rPr>
                <w:spacing w:val="6"/>
              </w:rPr>
              <w:t>噁英、氨、六</w:t>
            </w:r>
            <w:r>
              <w:rPr/>
              <w:t xml:space="preserve"> </w:t>
            </w:r>
            <w:r>
              <w:rPr>
                <w:spacing w:val="7"/>
              </w:rPr>
              <w:t>价铬、铬</w:t>
            </w:r>
          </w:p>
        </w:tc>
        <w:tc>
          <w:tcPr>
            <w:tcW w:w="1691" w:type="dxa"/>
            <w:vAlign w:val="top"/>
            <w:vMerge w:val="restart"/>
            <w:tcBorders>
              <w:bottom w:val="nil"/>
            </w:tcBorders>
          </w:tcPr>
          <w:p>
            <w:pPr>
              <w:spacing w:line="258" w:lineRule="auto"/>
              <w:rPr>
                <w:rFonts w:ascii="Arial"/>
                <w:sz w:val="21"/>
              </w:rPr>
            </w:pPr>
            <w:r/>
          </w:p>
          <w:p>
            <w:pPr>
              <w:spacing w:line="259" w:lineRule="auto"/>
              <w:rPr>
                <w:rFonts w:ascii="Arial"/>
                <w:sz w:val="21"/>
              </w:rPr>
            </w:pPr>
            <w:r/>
          </w:p>
          <w:p>
            <w:pPr>
              <w:pStyle w:val="TableText"/>
              <w:ind w:left="197" w:right="135" w:hanging="36"/>
              <w:spacing w:before="65" w:line="251" w:lineRule="auto"/>
              <w:rPr/>
            </w:pPr>
            <w:r>
              <w:rPr>
                <w:rFonts w:ascii="Times New Roman" w:hAnsi="Times New Roman" w:eastAsia="Times New Roman" w:cs="Times New Roman"/>
                <w:spacing w:val="2"/>
              </w:rPr>
              <w:t>120°47'52.37"</w:t>
            </w:r>
            <w:r>
              <w:rPr>
                <w:spacing w:val="2"/>
              </w:rPr>
              <w:t>东</w:t>
            </w:r>
            <w:r>
              <w:rPr>
                <w:spacing w:val="12"/>
              </w:rPr>
              <w:t xml:space="preserve"> </w:t>
            </w:r>
            <w:r>
              <w:rPr>
                <w:rFonts w:ascii="Times New Roman" w:hAnsi="Times New Roman" w:eastAsia="Times New Roman" w:cs="Times New Roman"/>
                <w:spacing w:val="2"/>
              </w:rPr>
              <w:t>30°</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18'37.61"</w:t>
            </w:r>
            <w:r>
              <w:rPr>
                <w:spacing w:val="2"/>
              </w:rPr>
              <w:t>北</w:t>
            </w:r>
          </w:p>
        </w:tc>
        <w:tc>
          <w:tcPr>
            <w:tcW w:w="1090" w:type="dxa"/>
            <w:vAlign w:val="top"/>
            <w:vMerge w:val="restart"/>
            <w:tcBorders>
              <w:bottom w:val="nil"/>
            </w:tcBorders>
          </w:tcPr>
          <w:p>
            <w:pPr>
              <w:spacing w:line="326" w:lineRule="auto"/>
              <w:rPr>
                <w:rFonts w:ascii="Arial"/>
                <w:sz w:val="21"/>
              </w:rPr>
            </w:pPr>
            <w:r/>
          </w:p>
          <w:p>
            <w:pPr>
              <w:spacing w:line="327" w:lineRule="auto"/>
              <w:rPr>
                <w:rFonts w:ascii="Arial"/>
                <w:sz w:val="21"/>
              </w:rPr>
            </w:pPr>
            <w:r/>
          </w:p>
          <w:p>
            <w:pPr>
              <w:pStyle w:val="TableText"/>
              <w:ind w:left="459"/>
              <w:spacing w:before="65" w:line="233" w:lineRule="auto"/>
              <w:rPr/>
            </w:pPr>
            <w:r>
              <w:rPr/>
              <w:t>否</w:t>
            </w:r>
          </w:p>
        </w:tc>
        <w:tc>
          <w:tcPr>
            <w:tcW w:w="806" w:type="dxa"/>
            <w:vAlign w:val="top"/>
            <w:vMerge w:val="restart"/>
            <w:tcBorders>
              <w:bottom w:val="nil"/>
            </w:tcBorders>
          </w:tcPr>
          <w:p>
            <w:pPr>
              <w:spacing w:line="258" w:lineRule="auto"/>
              <w:rPr>
                <w:rFonts w:ascii="Arial"/>
                <w:sz w:val="21"/>
              </w:rPr>
            </w:pPr>
            <w:r/>
          </w:p>
          <w:p>
            <w:pPr>
              <w:spacing w:line="259" w:lineRule="auto"/>
              <w:rPr>
                <w:rFonts w:ascii="Arial"/>
                <w:sz w:val="21"/>
              </w:rPr>
            </w:pPr>
            <w:r/>
          </w:p>
          <w:p>
            <w:pPr>
              <w:pStyle w:val="TableText"/>
              <w:ind w:left="213"/>
              <w:spacing w:before="65" w:line="233" w:lineRule="auto"/>
              <w:rPr/>
            </w:pPr>
            <w:r>
              <w:rPr>
                <w:spacing w:val="2"/>
              </w:rPr>
              <w:t>二类</w:t>
            </w:r>
          </w:p>
          <w:p>
            <w:pPr>
              <w:pStyle w:val="TableText"/>
              <w:ind w:left="210"/>
              <w:spacing w:before="19" w:line="229" w:lineRule="auto"/>
              <w:rPr/>
            </w:pPr>
            <w:r>
              <w:rPr>
                <w:spacing w:val="-1"/>
              </w:rPr>
              <w:t>单元</w:t>
            </w:r>
          </w:p>
        </w:tc>
        <w:tc>
          <w:tcPr>
            <w:tcW w:w="1428" w:type="dxa"/>
            <w:vAlign w:val="top"/>
          </w:tcPr>
          <w:p>
            <w:pPr>
              <w:pStyle w:val="TableText"/>
              <w:ind w:left="327"/>
              <w:spacing w:before="168"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AT</w:t>
            </w:r>
            <w:r>
              <w:rPr>
                <w:rFonts w:ascii="Times New Roman" w:hAnsi="Times New Roman" w:eastAsia="Times New Roman" w:cs="Times New Roman"/>
                <w:spacing w:val="6"/>
              </w:rPr>
              <w:t>1</w:t>
            </w:r>
          </w:p>
        </w:tc>
        <w:tc>
          <w:tcPr>
            <w:tcW w:w="1709" w:type="dxa"/>
            <w:vAlign w:val="top"/>
          </w:tcPr>
          <w:p>
            <w:pPr>
              <w:pStyle w:val="TableText"/>
              <w:ind w:left="194" w:right="140" w:hanging="30"/>
              <w:spacing w:before="32" w:line="234" w:lineRule="auto"/>
              <w:rPr/>
            </w:pPr>
            <w:r>
              <w:rPr>
                <w:rFonts w:ascii="Times New Roman" w:hAnsi="Times New Roman" w:eastAsia="Times New Roman" w:cs="Times New Roman"/>
                <w:spacing w:val="2"/>
              </w:rPr>
              <w:t>119°45′33.21″</w:t>
            </w:r>
            <w:r>
              <w:rPr>
                <w:spacing w:val="2"/>
              </w:rPr>
              <w:t>东</w:t>
            </w:r>
            <w:r>
              <w:rPr>
                <w:spacing w:val="12"/>
              </w:rPr>
              <w:t xml:space="preserve"> </w:t>
            </w:r>
            <w:r>
              <w:rPr>
                <w:rFonts w:ascii="Times New Roman" w:hAnsi="Times New Roman" w:eastAsia="Times New Roman" w:cs="Times New Roman"/>
                <w:spacing w:val="4"/>
              </w:rPr>
              <w:t>29°50′38.98″</w:t>
            </w:r>
            <w:r>
              <w:rPr>
                <w:spacing w:val="4"/>
              </w:rPr>
              <w:t>北</w:t>
            </w:r>
          </w:p>
        </w:tc>
      </w:tr>
      <w:tr>
        <w:trPr>
          <w:trHeight w:val="549" w:hRule="atLeast"/>
        </w:trPr>
        <w:tc>
          <w:tcPr>
            <w:tcW w:w="682" w:type="dxa"/>
            <w:vAlign w:val="top"/>
            <w:vMerge w:val="continue"/>
            <w:tcBorders>
              <w:top w:val="nil"/>
              <w:bottom w:val="nil"/>
            </w:tcBorders>
          </w:tcPr>
          <w:p>
            <w:pPr>
              <w:rPr>
                <w:rFonts w:ascii="Arial"/>
                <w:sz w:val="21"/>
              </w:rPr>
            </w:pPr>
            <w:r/>
          </w:p>
        </w:tc>
        <w:tc>
          <w:tcPr>
            <w:tcW w:w="2305" w:type="dxa"/>
            <w:vAlign w:val="top"/>
            <w:vMerge w:val="continue"/>
            <w:tcBorders>
              <w:top w:val="nil"/>
              <w:bottom w:val="nil"/>
            </w:tcBorders>
          </w:tcPr>
          <w:p>
            <w:pPr>
              <w:rPr>
                <w:rFonts w:ascii="Arial"/>
                <w:sz w:val="21"/>
              </w:rPr>
            </w:pPr>
            <w:r/>
          </w:p>
        </w:tc>
        <w:tc>
          <w:tcPr>
            <w:tcW w:w="1535"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691" w:type="dxa"/>
            <w:vAlign w:val="top"/>
            <w:vMerge w:val="continue"/>
            <w:tcBorders>
              <w:top w:val="nil"/>
              <w:bottom w:val="nil"/>
            </w:tcBorders>
          </w:tcPr>
          <w:p>
            <w:pPr>
              <w:rPr>
                <w:rFonts w:ascii="Arial"/>
                <w:sz w:val="21"/>
              </w:rPr>
            </w:pPr>
            <w:r/>
          </w:p>
        </w:tc>
        <w:tc>
          <w:tcPr>
            <w:tcW w:w="1090" w:type="dxa"/>
            <w:vAlign w:val="top"/>
            <w:vMerge w:val="continue"/>
            <w:tcBorders>
              <w:top w:val="nil"/>
              <w:bottom w:val="nil"/>
            </w:tcBorders>
          </w:tcPr>
          <w:p>
            <w:pPr>
              <w:rPr>
                <w:rFonts w:ascii="Arial"/>
                <w:sz w:val="21"/>
              </w:rPr>
            </w:pPr>
            <w:r/>
          </w:p>
        </w:tc>
        <w:tc>
          <w:tcPr>
            <w:tcW w:w="806" w:type="dxa"/>
            <w:vAlign w:val="top"/>
            <w:vMerge w:val="continue"/>
            <w:tcBorders>
              <w:top w:val="nil"/>
              <w:bottom w:val="nil"/>
            </w:tcBorders>
          </w:tcPr>
          <w:p>
            <w:pPr>
              <w:rPr>
                <w:rFonts w:ascii="Arial"/>
                <w:sz w:val="21"/>
              </w:rPr>
            </w:pPr>
            <w:r/>
          </w:p>
        </w:tc>
        <w:tc>
          <w:tcPr>
            <w:tcW w:w="1428" w:type="dxa"/>
            <w:vAlign w:val="top"/>
          </w:tcPr>
          <w:p>
            <w:pPr>
              <w:pStyle w:val="TableText"/>
              <w:ind w:left="327"/>
              <w:spacing w:before="169"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AT</w:t>
            </w:r>
            <w:r>
              <w:rPr>
                <w:rFonts w:ascii="Times New Roman" w:hAnsi="Times New Roman" w:eastAsia="Times New Roman" w:cs="Times New Roman"/>
                <w:spacing w:val="6"/>
              </w:rPr>
              <w:t>2</w:t>
            </w:r>
          </w:p>
        </w:tc>
        <w:tc>
          <w:tcPr>
            <w:tcW w:w="1709" w:type="dxa"/>
            <w:vAlign w:val="top"/>
          </w:tcPr>
          <w:p>
            <w:pPr>
              <w:pStyle w:val="TableText"/>
              <w:ind w:left="194" w:right="140" w:hanging="30"/>
              <w:spacing w:before="34" w:line="233" w:lineRule="auto"/>
              <w:rPr/>
            </w:pPr>
            <w:r>
              <w:rPr>
                <w:rFonts w:ascii="Times New Roman" w:hAnsi="Times New Roman" w:eastAsia="Times New Roman" w:cs="Times New Roman"/>
                <w:spacing w:val="2"/>
              </w:rPr>
              <w:t>119°45′33.41″</w:t>
            </w:r>
            <w:r>
              <w:rPr>
                <w:spacing w:val="2"/>
              </w:rPr>
              <w:t>东</w:t>
            </w:r>
            <w:r>
              <w:rPr>
                <w:spacing w:val="12"/>
              </w:rPr>
              <w:t xml:space="preserve"> </w:t>
            </w:r>
            <w:r>
              <w:rPr>
                <w:rFonts w:ascii="Times New Roman" w:hAnsi="Times New Roman" w:eastAsia="Times New Roman" w:cs="Times New Roman"/>
                <w:spacing w:val="4"/>
              </w:rPr>
              <w:t>29°50′38.93″</w:t>
            </w:r>
            <w:r>
              <w:rPr>
                <w:spacing w:val="4"/>
              </w:rPr>
              <w:t>北</w:t>
            </w:r>
          </w:p>
        </w:tc>
      </w:tr>
      <w:tr>
        <w:trPr>
          <w:trHeight w:val="549" w:hRule="atLeast"/>
        </w:trPr>
        <w:tc>
          <w:tcPr>
            <w:tcW w:w="682" w:type="dxa"/>
            <w:vAlign w:val="top"/>
            <w:vMerge w:val="continue"/>
            <w:tcBorders>
              <w:top w:val="nil"/>
            </w:tcBorders>
          </w:tcPr>
          <w:p>
            <w:pPr>
              <w:rPr>
                <w:rFonts w:ascii="Arial"/>
                <w:sz w:val="21"/>
              </w:rPr>
            </w:pPr>
            <w:r/>
          </w:p>
        </w:tc>
        <w:tc>
          <w:tcPr>
            <w:tcW w:w="2305" w:type="dxa"/>
            <w:vAlign w:val="top"/>
            <w:vMerge w:val="continue"/>
            <w:tcBorders>
              <w:top w:val="nil"/>
            </w:tcBorders>
          </w:tcPr>
          <w:p>
            <w:pPr>
              <w:rPr>
                <w:rFonts w:ascii="Arial"/>
                <w:sz w:val="21"/>
              </w:rPr>
            </w:pPr>
            <w:r/>
          </w:p>
        </w:tc>
        <w:tc>
          <w:tcPr>
            <w:tcW w:w="1535"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691"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1428" w:type="dxa"/>
            <w:vAlign w:val="top"/>
          </w:tcPr>
          <w:p>
            <w:pPr>
              <w:pStyle w:val="TableText"/>
              <w:ind w:left="227"/>
              <w:spacing w:before="169" w:line="231" w:lineRule="auto"/>
              <w:rPr>
                <w:rFonts w:ascii="Times New Roman" w:hAnsi="Times New Roman" w:eastAsia="Times New Roman" w:cs="Times New Roman"/>
              </w:rPr>
            </w:pPr>
            <w:r>
              <w:rPr>
                <w:spacing w:val="7"/>
              </w:rPr>
              <w:t>地下水</w:t>
            </w:r>
            <w:r>
              <w:rPr>
                <w:rFonts w:ascii="Times New Roman" w:hAnsi="Times New Roman" w:eastAsia="Times New Roman" w:cs="Times New Roman"/>
              </w:rPr>
              <w:t>AS</w:t>
            </w:r>
            <w:r>
              <w:rPr>
                <w:rFonts w:ascii="Times New Roman" w:hAnsi="Times New Roman" w:eastAsia="Times New Roman" w:cs="Times New Roman"/>
                <w:spacing w:val="7"/>
              </w:rPr>
              <w:t>1</w:t>
            </w:r>
          </w:p>
        </w:tc>
        <w:tc>
          <w:tcPr>
            <w:tcW w:w="1709" w:type="dxa"/>
            <w:vAlign w:val="top"/>
          </w:tcPr>
          <w:p>
            <w:pPr>
              <w:pStyle w:val="TableText"/>
              <w:ind w:left="199" w:right="145" w:hanging="30"/>
              <w:spacing w:before="34" w:line="233" w:lineRule="auto"/>
              <w:rPr/>
            </w:pPr>
            <w:r>
              <w:rPr>
                <w:rFonts w:ascii="Times New Roman" w:hAnsi="Times New Roman" w:eastAsia="Times New Roman" w:cs="Times New Roman"/>
                <w:spacing w:val="1"/>
              </w:rPr>
              <w:t>119°45'34.</w:t>
            </w:r>
            <w:r>
              <w:rPr>
                <w:rFonts w:ascii="Times New Roman" w:hAnsi="Times New Roman" w:eastAsia="Times New Roman" w:cs="Times New Roman"/>
                <w:spacing w:val="-24"/>
              </w:rPr>
              <w:t xml:space="preserve"> </w:t>
            </w:r>
            <w:r>
              <w:rPr>
                <w:rFonts w:ascii="Times New Roman" w:hAnsi="Times New Roman" w:eastAsia="Times New Roman" w:cs="Times New Roman"/>
                <w:spacing w:val="1"/>
              </w:rPr>
              <w:t>11"</w:t>
            </w:r>
            <w:r>
              <w:rPr>
                <w:spacing w:val="1"/>
              </w:rPr>
              <w:t>东</w:t>
            </w:r>
            <w:r>
              <w:rPr/>
              <w:t xml:space="preserve"> </w:t>
            </w:r>
            <w:r>
              <w:rPr>
                <w:rFonts w:ascii="Times New Roman" w:hAnsi="Times New Roman" w:eastAsia="Times New Roman" w:cs="Times New Roman"/>
                <w:spacing w:val="4"/>
              </w:rPr>
              <w:t>29°50'40.57"</w:t>
            </w:r>
            <w:r>
              <w:rPr>
                <w:spacing w:val="4"/>
              </w:rPr>
              <w:t>北</w:t>
            </w:r>
          </w:p>
        </w:tc>
      </w:tr>
      <w:tr>
        <w:trPr>
          <w:trHeight w:val="549" w:hRule="atLeast"/>
        </w:trPr>
        <w:tc>
          <w:tcPr>
            <w:tcW w:w="682" w:type="dxa"/>
            <w:vAlign w:val="top"/>
            <w:vMerge w:val="restart"/>
            <w:tcBorders>
              <w:bottom w:val="nil"/>
            </w:tcBorders>
          </w:tcPr>
          <w:p>
            <w:pPr>
              <w:spacing w:line="268" w:lineRule="auto"/>
              <w:rPr>
                <w:rFonts w:ascii="Arial"/>
                <w:sz w:val="21"/>
              </w:rPr>
            </w:pPr>
            <w:r/>
          </w:p>
          <w:p>
            <w:pPr>
              <w:spacing w:line="268" w:lineRule="auto"/>
              <w:rPr>
                <w:rFonts w:ascii="Arial"/>
                <w:sz w:val="21"/>
              </w:rPr>
            </w:pPr>
            <w:r/>
          </w:p>
          <w:p>
            <w:pPr>
              <w:pStyle w:val="TableText"/>
              <w:ind w:left="146"/>
              <w:spacing w:before="65" w:line="229" w:lineRule="auto"/>
              <w:rPr/>
            </w:pPr>
            <w:r>
              <w:rPr>
                <w:spacing w:val="-1"/>
              </w:rPr>
              <w:t>单元</w:t>
            </w:r>
          </w:p>
          <w:p>
            <w:pPr>
              <w:ind w:left="270"/>
              <w:spacing w:before="4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B</w:t>
            </w:r>
          </w:p>
        </w:tc>
        <w:tc>
          <w:tcPr>
            <w:tcW w:w="2305"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pStyle w:val="TableText"/>
              <w:ind w:left="215"/>
              <w:spacing w:before="65" w:line="232" w:lineRule="auto"/>
              <w:rPr/>
            </w:pPr>
            <w:r>
              <w:rPr>
                <w:spacing w:val="8"/>
              </w:rPr>
              <w:t>事故池和初期雨水池</w:t>
            </w:r>
          </w:p>
          <w:p>
            <w:pPr>
              <w:pStyle w:val="TableText"/>
              <w:ind w:left="1073"/>
              <w:spacing w:before="22" w:line="242" w:lineRule="auto"/>
              <w:rPr/>
            </w:pPr>
            <w:r>
              <w:rPr/>
              <w:t>区</w:t>
            </w:r>
          </w:p>
        </w:tc>
        <w:tc>
          <w:tcPr>
            <w:tcW w:w="1535"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pStyle w:val="TableText"/>
              <w:ind w:left="252" w:right="138" w:hanging="105"/>
              <w:spacing w:before="65" w:line="252" w:lineRule="auto"/>
              <w:rPr/>
            </w:pPr>
            <w:r>
              <w:rPr>
                <w:spacing w:val="7"/>
              </w:rPr>
              <w:t>事故废水和初</w:t>
            </w:r>
            <w:r>
              <w:rPr/>
              <w:t xml:space="preserve"> </w:t>
            </w:r>
            <w:r>
              <w:rPr>
                <w:spacing w:val="7"/>
              </w:rPr>
              <w:t>期雨水收集</w:t>
            </w:r>
          </w:p>
        </w:tc>
        <w:tc>
          <w:tcPr>
            <w:tcW w:w="1511" w:type="dxa"/>
            <w:vAlign w:val="top"/>
            <w:vMerge w:val="restart"/>
            <w:tcBorders>
              <w:bottom w:val="nil"/>
            </w:tcBorders>
          </w:tcPr>
          <w:p>
            <w:pPr>
              <w:spacing w:line="385" w:lineRule="auto"/>
              <w:rPr>
                <w:rFonts w:ascii="Arial"/>
                <w:sz w:val="21"/>
              </w:rPr>
            </w:pPr>
            <w:r/>
          </w:p>
          <w:p>
            <w:pPr>
              <w:pStyle w:val="TableText"/>
              <w:ind w:left="138"/>
              <w:spacing w:before="65" w:line="231" w:lineRule="auto"/>
              <w:rPr/>
            </w:pPr>
            <w:r>
              <w:rPr>
                <w:spacing w:val="5"/>
              </w:rPr>
              <w:t>铜、铅、锌、</w:t>
            </w:r>
          </w:p>
          <w:p>
            <w:pPr>
              <w:pStyle w:val="TableText"/>
              <w:ind w:left="137"/>
              <w:spacing w:before="20" w:line="229" w:lineRule="auto"/>
              <w:rPr/>
            </w:pPr>
            <w:r>
              <w:rPr>
                <w:spacing w:val="5"/>
              </w:rPr>
              <w:t>镉、镍、砷、</w:t>
            </w:r>
          </w:p>
          <w:p>
            <w:pPr>
              <w:pStyle w:val="TableText"/>
              <w:ind w:left="663"/>
              <w:spacing w:before="23" w:line="230" w:lineRule="auto"/>
              <w:rPr/>
            </w:pPr>
            <w:r>
              <w:rPr/>
              <w:t>铬</w:t>
            </w:r>
          </w:p>
        </w:tc>
        <w:tc>
          <w:tcPr>
            <w:tcW w:w="1511" w:type="dxa"/>
            <w:vAlign w:val="top"/>
            <w:vMerge w:val="restart"/>
            <w:tcBorders>
              <w:bottom w:val="nil"/>
            </w:tcBorders>
          </w:tcPr>
          <w:p>
            <w:pPr>
              <w:spacing w:line="385" w:lineRule="auto"/>
              <w:rPr>
                <w:rFonts w:ascii="Arial"/>
                <w:sz w:val="21"/>
              </w:rPr>
            </w:pPr>
            <w:r/>
          </w:p>
          <w:p>
            <w:pPr>
              <w:pStyle w:val="TableText"/>
              <w:ind w:left="139"/>
              <w:spacing w:before="65" w:line="231" w:lineRule="auto"/>
              <w:rPr/>
            </w:pPr>
            <w:r>
              <w:rPr>
                <w:spacing w:val="5"/>
              </w:rPr>
              <w:t>铜、铅、锌、</w:t>
            </w:r>
          </w:p>
          <w:p>
            <w:pPr>
              <w:pStyle w:val="TableText"/>
              <w:ind w:left="138"/>
              <w:spacing w:before="20" w:line="229" w:lineRule="auto"/>
              <w:rPr/>
            </w:pPr>
            <w:r>
              <w:rPr>
                <w:spacing w:val="5"/>
              </w:rPr>
              <w:t>镉、镍、砷、</w:t>
            </w:r>
          </w:p>
          <w:p>
            <w:pPr>
              <w:pStyle w:val="TableText"/>
              <w:ind w:left="664"/>
              <w:spacing w:before="23" w:line="230" w:lineRule="auto"/>
              <w:rPr/>
            </w:pPr>
            <w:r>
              <w:rPr/>
              <w:t>铬</w:t>
            </w:r>
          </w:p>
        </w:tc>
        <w:tc>
          <w:tcPr>
            <w:tcW w:w="1691"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pStyle w:val="TableText"/>
              <w:ind w:left="197" w:right="135" w:hanging="36"/>
              <w:spacing w:before="65" w:line="253" w:lineRule="auto"/>
              <w:rPr/>
            </w:pPr>
            <w:r>
              <w:rPr>
                <w:rFonts w:ascii="Times New Roman" w:hAnsi="Times New Roman" w:eastAsia="Times New Roman" w:cs="Times New Roman"/>
                <w:spacing w:val="2"/>
              </w:rPr>
              <w:t>120°47'52.16"</w:t>
            </w:r>
            <w:r>
              <w:rPr>
                <w:spacing w:val="2"/>
              </w:rPr>
              <w:t>东</w:t>
            </w:r>
            <w:r>
              <w:rPr>
                <w:spacing w:val="12"/>
              </w:rPr>
              <w:t xml:space="preserve"> </w:t>
            </w:r>
            <w:r>
              <w:rPr>
                <w:rFonts w:ascii="Times New Roman" w:hAnsi="Times New Roman" w:eastAsia="Times New Roman" w:cs="Times New Roman"/>
                <w:spacing w:val="2"/>
              </w:rPr>
              <w:t>30°</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18'31.01"</w:t>
            </w:r>
            <w:r>
              <w:rPr>
                <w:spacing w:val="2"/>
              </w:rPr>
              <w:t>北</w:t>
            </w:r>
          </w:p>
        </w:tc>
        <w:tc>
          <w:tcPr>
            <w:tcW w:w="1090" w:type="dxa"/>
            <w:vAlign w:val="top"/>
            <w:vMerge w:val="restart"/>
            <w:tcBorders>
              <w:bottom w:val="nil"/>
            </w:tcBorders>
          </w:tcPr>
          <w:p>
            <w:pPr>
              <w:spacing w:line="249" w:lineRule="auto"/>
              <w:rPr>
                <w:rFonts w:ascii="Arial"/>
                <w:sz w:val="21"/>
              </w:rPr>
            </w:pPr>
            <w:r/>
          </w:p>
          <w:p>
            <w:pPr>
              <w:pStyle w:val="TableText"/>
              <w:ind w:left="138"/>
              <w:spacing w:before="65" w:line="228" w:lineRule="auto"/>
              <w:rPr/>
            </w:pPr>
            <w:r>
              <w:rPr>
                <w:spacing w:val="5"/>
              </w:rPr>
              <w:t>是，存在</w:t>
            </w:r>
          </w:p>
          <w:p>
            <w:pPr>
              <w:pStyle w:val="TableText"/>
              <w:ind w:left="148"/>
              <w:spacing w:before="24" w:line="230" w:lineRule="auto"/>
              <w:rPr/>
            </w:pPr>
            <w:r>
              <w:rPr/>
              <w:t>收集池</w:t>
            </w:r>
            <w:r>
              <w:rPr>
                <w:spacing w:val="20"/>
              </w:rPr>
              <w:t xml:space="preserve"> </w:t>
            </w:r>
            <w:r>
              <w:rPr/>
              <w:t>(</w:t>
            </w:r>
          </w:p>
          <w:p>
            <w:pPr>
              <w:pStyle w:val="TableText"/>
              <w:ind w:left="350" w:right="172" w:hanging="162"/>
              <w:spacing w:before="23" w:line="253" w:lineRule="auto"/>
              <w:rPr/>
            </w:pPr>
            <w:r>
              <w:rPr>
                <w:spacing w:val="5"/>
              </w:rPr>
              <w:t>埋深约</w:t>
            </w:r>
            <w:r>
              <w:rPr>
                <w:rFonts w:ascii="Times New Roman" w:hAnsi="Times New Roman" w:eastAsia="Times New Roman" w:cs="Times New Roman"/>
                <w:spacing w:val="5"/>
              </w:rPr>
              <w:t>3</w:t>
            </w:r>
            <w:r>
              <w:rPr>
                <w:rFonts w:ascii="Times New Roman" w:hAnsi="Times New Roman" w:eastAsia="Times New Roman" w:cs="Times New Roman"/>
                <w:spacing w:val="2"/>
              </w:rPr>
              <w:t xml:space="preserve"> </w:t>
            </w:r>
            <w:r>
              <w:rPr>
                <w:spacing w:val="-4"/>
              </w:rPr>
              <w:t>米）</w:t>
            </w:r>
          </w:p>
        </w:tc>
        <w:tc>
          <w:tcPr>
            <w:tcW w:w="806" w:type="dxa"/>
            <w:vAlign w:val="top"/>
            <w:vMerge w:val="restart"/>
            <w:tcBorders>
              <w:bottom w:val="nil"/>
            </w:tcBorders>
          </w:tcPr>
          <w:p>
            <w:pPr>
              <w:spacing w:line="259" w:lineRule="auto"/>
              <w:rPr>
                <w:rFonts w:ascii="Arial"/>
                <w:sz w:val="21"/>
              </w:rPr>
            </w:pPr>
            <w:r/>
          </w:p>
          <w:p>
            <w:pPr>
              <w:spacing w:line="260" w:lineRule="auto"/>
              <w:rPr>
                <w:rFonts w:ascii="Arial"/>
                <w:sz w:val="21"/>
              </w:rPr>
            </w:pPr>
            <w:r/>
          </w:p>
          <w:p>
            <w:pPr>
              <w:pStyle w:val="TableText"/>
              <w:ind w:left="209"/>
              <w:spacing w:before="65" w:line="233" w:lineRule="auto"/>
              <w:rPr/>
            </w:pPr>
            <w:r>
              <w:rPr/>
              <w:t>一类</w:t>
            </w:r>
          </w:p>
          <w:p>
            <w:pPr>
              <w:pStyle w:val="TableText"/>
              <w:ind w:left="210"/>
              <w:spacing w:before="21" w:line="229" w:lineRule="auto"/>
              <w:rPr/>
            </w:pPr>
            <w:r>
              <w:rPr>
                <w:spacing w:val="-1"/>
              </w:rPr>
              <w:t>单元</w:t>
            </w:r>
          </w:p>
        </w:tc>
        <w:tc>
          <w:tcPr>
            <w:tcW w:w="1428" w:type="dxa"/>
            <w:vAlign w:val="top"/>
          </w:tcPr>
          <w:p>
            <w:pPr>
              <w:pStyle w:val="TableText"/>
              <w:ind w:left="331"/>
              <w:spacing w:before="169"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BT</w:t>
            </w:r>
            <w:r>
              <w:rPr>
                <w:rFonts w:ascii="Times New Roman" w:hAnsi="Times New Roman" w:eastAsia="Times New Roman" w:cs="Times New Roman"/>
                <w:spacing w:val="6"/>
              </w:rPr>
              <w:t>1</w:t>
            </w:r>
          </w:p>
        </w:tc>
        <w:tc>
          <w:tcPr>
            <w:tcW w:w="1709" w:type="dxa"/>
            <w:vAlign w:val="top"/>
          </w:tcPr>
          <w:p>
            <w:pPr>
              <w:pStyle w:val="TableText"/>
              <w:ind w:left="194" w:right="140" w:hanging="30"/>
              <w:spacing w:before="36" w:line="232" w:lineRule="auto"/>
              <w:rPr/>
            </w:pPr>
            <w:r>
              <w:rPr>
                <w:rFonts w:ascii="Times New Roman" w:hAnsi="Times New Roman" w:eastAsia="Times New Roman" w:cs="Times New Roman"/>
                <w:spacing w:val="2"/>
              </w:rPr>
              <w:t>119°45′37.78″</w:t>
            </w:r>
            <w:r>
              <w:rPr>
                <w:spacing w:val="2"/>
              </w:rPr>
              <w:t>东</w:t>
            </w:r>
            <w:r>
              <w:rPr>
                <w:spacing w:val="12"/>
              </w:rPr>
              <w:t xml:space="preserve"> </w:t>
            </w:r>
            <w:r>
              <w:rPr>
                <w:rFonts w:ascii="Times New Roman" w:hAnsi="Times New Roman" w:eastAsia="Times New Roman" w:cs="Times New Roman"/>
                <w:spacing w:val="4"/>
              </w:rPr>
              <w:t>29°50′38.91″</w:t>
            </w:r>
            <w:r>
              <w:rPr>
                <w:spacing w:val="4"/>
              </w:rPr>
              <w:t>北</w:t>
            </w:r>
          </w:p>
        </w:tc>
      </w:tr>
      <w:tr>
        <w:trPr>
          <w:trHeight w:val="550" w:hRule="atLeast"/>
        </w:trPr>
        <w:tc>
          <w:tcPr>
            <w:tcW w:w="682" w:type="dxa"/>
            <w:vAlign w:val="top"/>
            <w:vMerge w:val="continue"/>
            <w:tcBorders>
              <w:top w:val="nil"/>
              <w:bottom w:val="nil"/>
            </w:tcBorders>
          </w:tcPr>
          <w:p>
            <w:pPr>
              <w:rPr>
                <w:rFonts w:ascii="Arial"/>
                <w:sz w:val="21"/>
              </w:rPr>
            </w:pPr>
            <w:r/>
          </w:p>
        </w:tc>
        <w:tc>
          <w:tcPr>
            <w:tcW w:w="2305" w:type="dxa"/>
            <w:vAlign w:val="top"/>
            <w:vMerge w:val="continue"/>
            <w:tcBorders>
              <w:top w:val="nil"/>
              <w:bottom w:val="nil"/>
            </w:tcBorders>
          </w:tcPr>
          <w:p>
            <w:pPr>
              <w:rPr>
                <w:rFonts w:ascii="Arial"/>
                <w:sz w:val="21"/>
              </w:rPr>
            </w:pPr>
            <w:r/>
          </w:p>
        </w:tc>
        <w:tc>
          <w:tcPr>
            <w:tcW w:w="1535"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691" w:type="dxa"/>
            <w:vAlign w:val="top"/>
            <w:vMerge w:val="continue"/>
            <w:tcBorders>
              <w:top w:val="nil"/>
              <w:bottom w:val="nil"/>
            </w:tcBorders>
          </w:tcPr>
          <w:p>
            <w:pPr>
              <w:rPr>
                <w:rFonts w:ascii="Arial"/>
                <w:sz w:val="21"/>
              </w:rPr>
            </w:pPr>
            <w:r/>
          </w:p>
        </w:tc>
        <w:tc>
          <w:tcPr>
            <w:tcW w:w="1090" w:type="dxa"/>
            <w:vAlign w:val="top"/>
            <w:vMerge w:val="continue"/>
            <w:tcBorders>
              <w:top w:val="nil"/>
              <w:bottom w:val="nil"/>
            </w:tcBorders>
          </w:tcPr>
          <w:p>
            <w:pPr>
              <w:rPr>
                <w:rFonts w:ascii="Arial"/>
                <w:sz w:val="21"/>
              </w:rPr>
            </w:pPr>
            <w:r/>
          </w:p>
        </w:tc>
        <w:tc>
          <w:tcPr>
            <w:tcW w:w="806" w:type="dxa"/>
            <w:vAlign w:val="top"/>
            <w:vMerge w:val="continue"/>
            <w:tcBorders>
              <w:top w:val="nil"/>
              <w:bottom w:val="nil"/>
            </w:tcBorders>
          </w:tcPr>
          <w:p>
            <w:pPr>
              <w:rPr>
                <w:rFonts w:ascii="Arial"/>
                <w:sz w:val="21"/>
              </w:rPr>
            </w:pPr>
            <w:r/>
          </w:p>
        </w:tc>
        <w:tc>
          <w:tcPr>
            <w:tcW w:w="1428" w:type="dxa"/>
            <w:vAlign w:val="top"/>
          </w:tcPr>
          <w:p>
            <w:pPr>
              <w:pStyle w:val="TableText"/>
              <w:ind w:left="331"/>
              <w:spacing w:before="170"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BT</w:t>
            </w:r>
            <w:r>
              <w:rPr>
                <w:rFonts w:ascii="Times New Roman" w:hAnsi="Times New Roman" w:eastAsia="Times New Roman" w:cs="Times New Roman"/>
                <w:spacing w:val="6"/>
              </w:rPr>
              <w:t>2</w:t>
            </w:r>
          </w:p>
        </w:tc>
        <w:tc>
          <w:tcPr>
            <w:tcW w:w="1709" w:type="dxa"/>
            <w:vAlign w:val="top"/>
          </w:tcPr>
          <w:p>
            <w:pPr>
              <w:pStyle w:val="TableText"/>
              <w:ind w:left="194" w:right="140" w:hanging="30"/>
              <w:spacing w:before="35" w:line="233" w:lineRule="auto"/>
              <w:rPr/>
            </w:pPr>
            <w:r>
              <w:rPr>
                <w:rFonts w:ascii="Times New Roman" w:hAnsi="Times New Roman" w:eastAsia="Times New Roman" w:cs="Times New Roman"/>
                <w:spacing w:val="2"/>
              </w:rPr>
              <w:t>119°45′36.68″</w:t>
            </w:r>
            <w:r>
              <w:rPr>
                <w:spacing w:val="2"/>
              </w:rPr>
              <w:t>东</w:t>
            </w:r>
            <w:r>
              <w:rPr>
                <w:spacing w:val="12"/>
              </w:rPr>
              <w:t xml:space="preserve"> </w:t>
            </w:r>
            <w:r>
              <w:rPr>
                <w:rFonts w:ascii="Times New Roman" w:hAnsi="Times New Roman" w:eastAsia="Times New Roman" w:cs="Times New Roman"/>
                <w:spacing w:val="4"/>
              </w:rPr>
              <w:t>29°50′40.36″</w:t>
            </w:r>
            <w:r>
              <w:rPr>
                <w:spacing w:val="4"/>
              </w:rPr>
              <w:t>北</w:t>
            </w:r>
          </w:p>
        </w:tc>
      </w:tr>
      <w:tr>
        <w:trPr>
          <w:trHeight w:val="550" w:hRule="atLeast"/>
        </w:trPr>
        <w:tc>
          <w:tcPr>
            <w:tcW w:w="682" w:type="dxa"/>
            <w:vAlign w:val="top"/>
            <w:vMerge w:val="continue"/>
            <w:tcBorders>
              <w:top w:val="nil"/>
            </w:tcBorders>
          </w:tcPr>
          <w:p>
            <w:pPr>
              <w:rPr>
                <w:rFonts w:ascii="Arial"/>
                <w:sz w:val="21"/>
              </w:rPr>
            </w:pPr>
            <w:r/>
          </w:p>
        </w:tc>
        <w:tc>
          <w:tcPr>
            <w:tcW w:w="2305" w:type="dxa"/>
            <w:vAlign w:val="top"/>
            <w:vMerge w:val="continue"/>
            <w:tcBorders>
              <w:top w:val="nil"/>
            </w:tcBorders>
          </w:tcPr>
          <w:p>
            <w:pPr>
              <w:rPr>
                <w:rFonts w:ascii="Arial"/>
                <w:sz w:val="21"/>
              </w:rPr>
            </w:pPr>
            <w:r/>
          </w:p>
        </w:tc>
        <w:tc>
          <w:tcPr>
            <w:tcW w:w="1535"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691"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1428" w:type="dxa"/>
            <w:vAlign w:val="top"/>
          </w:tcPr>
          <w:p>
            <w:pPr>
              <w:pStyle w:val="TableText"/>
              <w:ind w:left="231"/>
              <w:spacing w:before="169" w:line="231" w:lineRule="auto"/>
              <w:rPr>
                <w:rFonts w:ascii="Times New Roman" w:hAnsi="Times New Roman" w:eastAsia="Times New Roman" w:cs="Times New Roman"/>
              </w:rPr>
            </w:pPr>
            <w:r>
              <w:rPr>
                <w:spacing w:val="7"/>
              </w:rPr>
              <w:t>地下水</w:t>
            </w:r>
            <w:r>
              <w:rPr>
                <w:rFonts w:ascii="Times New Roman" w:hAnsi="Times New Roman" w:eastAsia="Times New Roman" w:cs="Times New Roman"/>
              </w:rPr>
              <w:t>BS</w:t>
            </w:r>
            <w:r>
              <w:rPr>
                <w:rFonts w:ascii="Times New Roman" w:hAnsi="Times New Roman" w:eastAsia="Times New Roman" w:cs="Times New Roman"/>
                <w:spacing w:val="7"/>
              </w:rPr>
              <w:t>1</w:t>
            </w:r>
          </w:p>
        </w:tc>
        <w:tc>
          <w:tcPr>
            <w:tcW w:w="1709" w:type="dxa"/>
            <w:vAlign w:val="top"/>
          </w:tcPr>
          <w:p>
            <w:pPr>
              <w:pStyle w:val="TableText"/>
              <w:ind w:left="199" w:right="145" w:hanging="30"/>
              <w:spacing w:before="35" w:line="233" w:lineRule="auto"/>
              <w:rPr/>
            </w:pPr>
            <w:r>
              <w:rPr>
                <w:rFonts w:ascii="Times New Roman" w:hAnsi="Times New Roman" w:eastAsia="Times New Roman" w:cs="Times New Roman"/>
                <w:spacing w:val="2"/>
              </w:rPr>
              <w:t>119°45'36.92"</w:t>
            </w:r>
            <w:r>
              <w:rPr>
                <w:spacing w:val="2"/>
              </w:rPr>
              <w:t>东</w:t>
            </w:r>
            <w:r>
              <w:rPr>
                <w:spacing w:val="12"/>
              </w:rPr>
              <w:t xml:space="preserve"> </w:t>
            </w:r>
            <w:r>
              <w:rPr>
                <w:rFonts w:ascii="Times New Roman" w:hAnsi="Times New Roman" w:eastAsia="Times New Roman" w:cs="Times New Roman"/>
                <w:spacing w:val="4"/>
              </w:rPr>
              <w:t>29°50'40.32"</w:t>
            </w:r>
            <w:r>
              <w:rPr>
                <w:spacing w:val="4"/>
              </w:rPr>
              <w:t>北</w:t>
            </w:r>
          </w:p>
        </w:tc>
      </w:tr>
      <w:tr>
        <w:trPr>
          <w:trHeight w:val="550" w:hRule="atLeast"/>
        </w:trPr>
        <w:tc>
          <w:tcPr>
            <w:tcW w:w="682" w:type="dxa"/>
            <w:vAlign w:val="top"/>
            <w:vMerge w:val="restart"/>
            <w:tcBorders>
              <w:bottom w:val="nil"/>
            </w:tcBorders>
          </w:tcPr>
          <w:p>
            <w:pPr>
              <w:spacing w:line="267" w:lineRule="auto"/>
              <w:rPr>
                <w:rFonts w:ascii="Arial"/>
                <w:sz w:val="21"/>
              </w:rPr>
            </w:pPr>
            <w:r/>
          </w:p>
          <w:p>
            <w:pPr>
              <w:spacing w:line="268" w:lineRule="auto"/>
              <w:rPr>
                <w:rFonts w:ascii="Arial"/>
                <w:sz w:val="21"/>
              </w:rPr>
            </w:pPr>
            <w:r/>
          </w:p>
          <w:p>
            <w:pPr>
              <w:pStyle w:val="TableText"/>
              <w:ind w:left="146"/>
              <w:spacing w:before="65" w:line="229" w:lineRule="auto"/>
              <w:rPr/>
            </w:pPr>
            <w:r>
              <w:rPr>
                <w:spacing w:val="-1"/>
              </w:rPr>
              <w:t>单元</w:t>
            </w:r>
          </w:p>
          <w:p>
            <w:pPr>
              <w:ind w:left="274"/>
              <w:spacing w:before="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C</w:t>
            </w:r>
          </w:p>
        </w:tc>
        <w:tc>
          <w:tcPr>
            <w:tcW w:w="2305"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pStyle w:val="TableText"/>
              <w:ind w:left="220"/>
              <w:spacing w:before="65" w:line="228" w:lineRule="auto"/>
              <w:rPr/>
            </w:pPr>
            <w:r>
              <w:rPr>
                <w:spacing w:val="7"/>
              </w:rPr>
              <w:t>原料仓库及原制球车</w:t>
            </w:r>
          </w:p>
          <w:p>
            <w:pPr>
              <w:pStyle w:val="TableText"/>
              <w:ind w:left="1075"/>
              <w:spacing w:before="23" w:line="232" w:lineRule="auto"/>
              <w:rPr/>
            </w:pPr>
            <w:r>
              <w:rPr/>
              <w:t>间</w:t>
            </w:r>
          </w:p>
        </w:tc>
        <w:tc>
          <w:tcPr>
            <w:tcW w:w="1535" w:type="dxa"/>
            <w:vAlign w:val="top"/>
            <w:vMerge w:val="restart"/>
            <w:tcBorders>
              <w:bottom w:val="nil"/>
            </w:tcBorders>
          </w:tcPr>
          <w:p>
            <w:pPr>
              <w:pStyle w:val="TableText"/>
              <w:ind w:left="151"/>
              <w:spacing w:before="180" w:line="228" w:lineRule="auto"/>
              <w:rPr/>
            </w:pPr>
            <w:r>
              <w:rPr>
                <w:spacing w:val="6"/>
              </w:rPr>
              <w:t>原料仓库贮存</w:t>
            </w:r>
          </w:p>
          <w:p>
            <w:pPr>
              <w:pStyle w:val="TableText"/>
              <w:ind w:left="147"/>
              <w:spacing w:before="24" w:line="229" w:lineRule="auto"/>
              <w:rPr/>
            </w:pPr>
            <w:r>
              <w:rPr>
                <w:spacing w:val="7"/>
              </w:rPr>
              <w:t>从外单位收集</w:t>
            </w:r>
          </w:p>
          <w:p>
            <w:pPr>
              <w:pStyle w:val="TableText"/>
              <w:ind w:left="160"/>
              <w:spacing w:before="23" w:line="229" w:lineRule="auto"/>
              <w:rPr/>
            </w:pPr>
            <w:r>
              <w:rPr>
                <w:spacing w:val="5"/>
              </w:rPr>
              <w:t>的含金属废物</w:t>
            </w:r>
          </w:p>
          <w:p>
            <w:pPr>
              <w:pStyle w:val="TableText"/>
              <w:ind w:left="162"/>
              <w:spacing w:before="25" w:line="228" w:lineRule="auto"/>
              <w:rPr/>
            </w:pPr>
            <w:r>
              <w:rPr>
                <w:spacing w:val="-7"/>
              </w:rPr>
              <w:t>,</w:t>
            </w:r>
            <w:r>
              <w:rPr>
                <w:spacing w:val="70"/>
              </w:rPr>
              <w:t xml:space="preserve"> </w:t>
            </w:r>
            <w:r>
              <w:rPr>
                <w:spacing w:val="-7"/>
              </w:rPr>
              <w:t>原制球车间</w:t>
            </w:r>
          </w:p>
          <w:p>
            <w:pPr>
              <w:pStyle w:val="TableText"/>
              <w:ind w:left="489"/>
              <w:spacing w:before="26" w:line="232" w:lineRule="auto"/>
              <w:rPr/>
            </w:pPr>
            <w:r>
              <w:rPr>
                <w:spacing w:val="-4"/>
              </w:rPr>
              <w:t>已停用</w:t>
            </w:r>
          </w:p>
        </w:tc>
        <w:tc>
          <w:tcPr>
            <w:tcW w:w="1511" w:type="dxa"/>
            <w:vAlign w:val="top"/>
            <w:vMerge w:val="restart"/>
            <w:tcBorders>
              <w:bottom w:val="nil"/>
            </w:tcBorders>
          </w:tcPr>
          <w:p>
            <w:pPr>
              <w:spacing w:line="384" w:lineRule="auto"/>
              <w:rPr>
                <w:rFonts w:ascii="Arial"/>
                <w:sz w:val="21"/>
              </w:rPr>
            </w:pPr>
            <w:r/>
          </w:p>
          <w:p>
            <w:pPr>
              <w:pStyle w:val="TableText"/>
              <w:ind w:left="138"/>
              <w:spacing w:before="65" w:line="231" w:lineRule="auto"/>
              <w:rPr/>
            </w:pPr>
            <w:r>
              <w:rPr>
                <w:spacing w:val="5"/>
              </w:rPr>
              <w:t>铜、铅、锌、</w:t>
            </w:r>
          </w:p>
          <w:p>
            <w:pPr>
              <w:pStyle w:val="TableText"/>
              <w:ind w:left="137"/>
              <w:spacing w:before="20" w:line="229" w:lineRule="auto"/>
              <w:rPr/>
            </w:pPr>
            <w:r>
              <w:rPr>
                <w:spacing w:val="5"/>
              </w:rPr>
              <w:t>镉、镍、砷、</w:t>
            </w:r>
          </w:p>
          <w:p>
            <w:pPr>
              <w:pStyle w:val="TableText"/>
              <w:ind w:left="663"/>
              <w:spacing w:before="25" w:line="230" w:lineRule="auto"/>
              <w:rPr/>
            </w:pPr>
            <w:r>
              <w:rPr/>
              <w:t>铬</w:t>
            </w:r>
          </w:p>
        </w:tc>
        <w:tc>
          <w:tcPr>
            <w:tcW w:w="1511" w:type="dxa"/>
            <w:vAlign w:val="top"/>
            <w:vMerge w:val="restart"/>
            <w:tcBorders>
              <w:bottom w:val="nil"/>
            </w:tcBorders>
          </w:tcPr>
          <w:p>
            <w:pPr>
              <w:spacing w:line="384" w:lineRule="auto"/>
              <w:rPr>
                <w:rFonts w:ascii="Arial"/>
                <w:sz w:val="21"/>
              </w:rPr>
            </w:pPr>
            <w:r/>
          </w:p>
          <w:p>
            <w:pPr>
              <w:pStyle w:val="TableText"/>
              <w:ind w:left="139"/>
              <w:spacing w:before="65" w:line="231" w:lineRule="auto"/>
              <w:rPr/>
            </w:pPr>
            <w:r>
              <w:rPr>
                <w:spacing w:val="5"/>
              </w:rPr>
              <w:t>铜、铅、锌、</w:t>
            </w:r>
          </w:p>
          <w:p>
            <w:pPr>
              <w:pStyle w:val="TableText"/>
              <w:ind w:left="138"/>
              <w:spacing w:before="20" w:line="229" w:lineRule="auto"/>
              <w:rPr/>
            </w:pPr>
            <w:r>
              <w:rPr>
                <w:spacing w:val="5"/>
              </w:rPr>
              <w:t>镉、镍、砷、</w:t>
            </w:r>
          </w:p>
          <w:p>
            <w:pPr>
              <w:pStyle w:val="TableText"/>
              <w:ind w:left="664"/>
              <w:spacing w:before="25" w:line="230" w:lineRule="auto"/>
              <w:rPr/>
            </w:pPr>
            <w:r>
              <w:rPr/>
              <w:t>铬</w:t>
            </w:r>
          </w:p>
        </w:tc>
        <w:tc>
          <w:tcPr>
            <w:tcW w:w="1691" w:type="dxa"/>
            <w:vAlign w:val="top"/>
            <w:vMerge w:val="restart"/>
            <w:tcBorders>
              <w:bottom w:val="nil"/>
            </w:tcBorders>
          </w:tcPr>
          <w:p>
            <w:pPr>
              <w:spacing w:line="259" w:lineRule="auto"/>
              <w:rPr>
                <w:rFonts w:ascii="Arial"/>
                <w:sz w:val="21"/>
              </w:rPr>
            </w:pPr>
            <w:r/>
          </w:p>
          <w:p>
            <w:pPr>
              <w:spacing w:line="260" w:lineRule="auto"/>
              <w:rPr>
                <w:rFonts w:ascii="Arial"/>
                <w:sz w:val="21"/>
              </w:rPr>
            </w:pPr>
            <w:r/>
          </w:p>
          <w:p>
            <w:pPr>
              <w:pStyle w:val="TableText"/>
              <w:ind w:left="197" w:right="135" w:hanging="36"/>
              <w:spacing w:before="65" w:line="251" w:lineRule="auto"/>
              <w:rPr/>
            </w:pPr>
            <w:r>
              <w:rPr>
                <w:rFonts w:ascii="Times New Roman" w:hAnsi="Times New Roman" w:eastAsia="Times New Roman" w:cs="Times New Roman"/>
                <w:spacing w:val="2"/>
              </w:rPr>
              <w:t>120°47'50.62"</w:t>
            </w:r>
            <w:r>
              <w:rPr>
                <w:spacing w:val="2"/>
              </w:rPr>
              <w:t>东</w:t>
            </w:r>
            <w:r>
              <w:rPr>
                <w:spacing w:val="12"/>
              </w:rPr>
              <w:t xml:space="preserve"> </w:t>
            </w:r>
            <w:r>
              <w:rPr>
                <w:rFonts w:ascii="Times New Roman" w:hAnsi="Times New Roman" w:eastAsia="Times New Roman" w:cs="Times New Roman"/>
                <w:spacing w:val="2"/>
              </w:rPr>
              <w:t>30°</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18'24.92"</w:t>
            </w:r>
            <w:r>
              <w:rPr>
                <w:spacing w:val="2"/>
              </w:rPr>
              <w:t>北</w:t>
            </w:r>
          </w:p>
        </w:tc>
        <w:tc>
          <w:tcPr>
            <w:tcW w:w="1090" w:type="dxa"/>
            <w:vAlign w:val="top"/>
            <w:vMerge w:val="restart"/>
            <w:tcBorders>
              <w:bottom w:val="nil"/>
            </w:tcBorders>
          </w:tcPr>
          <w:p>
            <w:pPr>
              <w:spacing w:line="327" w:lineRule="auto"/>
              <w:rPr>
                <w:rFonts w:ascii="Arial"/>
                <w:sz w:val="21"/>
              </w:rPr>
            </w:pPr>
            <w:r/>
          </w:p>
          <w:p>
            <w:pPr>
              <w:spacing w:line="327" w:lineRule="auto"/>
              <w:rPr>
                <w:rFonts w:ascii="Arial"/>
                <w:sz w:val="21"/>
              </w:rPr>
            </w:pPr>
            <w:r/>
          </w:p>
          <w:p>
            <w:pPr>
              <w:pStyle w:val="TableText"/>
              <w:ind w:left="459"/>
              <w:spacing w:before="65" w:line="233" w:lineRule="auto"/>
              <w:rPr/>
            </w:pPr>
            <w:r>
              <w:rPr/>
              <w:t>否</w:t>
            </w:r>
          </w:p>
        </w:tc>
        <w:tc>
          <w:tcPr>
            <w:tcW w:w="806"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pStyle w:val="TableText"/>
              <w:ind w:left="213"/>
              <w:spacing w:before="65" w:line="233" w:lineRule="auto"/>
              <w:rPr/>
            </w:pPr>
            <w:r>
              <w:rPr>
                <w:spacing w:val="2"/>
              </w:rPr>
              <w:t>二类</w:t>
            </w:r>
          </w:p>
          <w:p>
            <w:pPr>
              <w:pStyle w:val="TableText"/>
              <w:ind w:left="210"/>
              <w:spacing w:before="19" w:line="229" w:lineRule="auto"/>
              <w:rPr/>
            </w:pPr>
            <w:r>
              <w:rPr>
                <w:spacing w:val="-1"/>
              </w:rPr>
              <w:t>单元</w:t>
            </w:r>
          </w:p>
        </w:tc>
        <w:tc>
          <w:tcPr>
            <w:tcW w:w="1428" w:type="dxa"/>
            <w:vAlign w:val="top"/>
          </w:tcPr>
          <w:p>
            <w:pPr>
              <w:pStyle w:val="TableText"/>
              <w:ind w:left="331"/>
              <w:spacing w:before="169"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CT</w:t>
            </w:r>
            <w:r>
              <w:rPr>
                <w:rFonts w:ascii="Times New Roman" w:hAnsi="Times New Roman" w:eastAsia="Times New Roman" w:cs="Times New Roman"/>
                <w:spacing w:val="6"/>
              </w:rPr>
              <w:t>1</w:t>
            </w:r>
          </w:p>
        </w:tc>
        <w:tc>
          <w:tcPr>
            <w:tcW w:w="1709" w:type="dxa"/>
            <w:vAlign w:val="top"/>
          </w:tcPr>
          <w:p>
            <w:pPr>
              <w:pStyle w:val="TableText"/>
              <w:ind w:left="194" w:right="140" w:hanging="30"/>
              <w:spacing w:before="35" w:line="233" w:lineRule="auto"/>
              <w:rPr/>
            </w:pPr>
            <w:r>
              <w:rPr>
                <w:rFonts w:ascii="Times New Roman" w:hAnsi="Times New Roman" w:eastAsia="Times New Roman" w:cs="Times New Roman"/>
                <w:spacing w:val="2"/>
              </w:rPr>
              <w:t>119°45′39.92″</w:t>
            </w:r>
            <w:r>
              <w:rPr>
                <w:spacing w:val="2"/>
              </w:rPr>
              <w:t>东</w:t>
            </w:r>
            <w:r>
              <w:rPr>
                <w:spacing w:val="12"/>
              </w:rPr>
              <w:t xml:space="preserve"> </w:t>
            </w:r>
            <w:r>
              <w:rPr>
                <w:rFonts w:ascii="Times New Roman" w:hAnsi="Times New Roman" w:eastAsia="Times New Roman" w:cs="Times New Roman"/>
                <w:spacing w:val="4"/>
              </w:rPr>
              <w:t>29°50′32.64″</w:t>
            </w:r>
            <w:r>
              <w:rPr>
                <w:spacing w:val="4"/>
              </w:rPr>
              <w:t>北</w:t>
            </w:r>
          </w:p>
        </w:tc>
      </w:tr>
      <w:tr>
        <w:trPr>
          <w:trHeight w:val="549" w:hRule="atLeast"/>
        </w:trPr>
        <w:tc>
          <w:tcPr>
            <w:tcW w:w="682" w:type="dxa"/>
            <w:vAlign w:val="top"/>
            <w:vMerge w:val="continue"/>
            <w:tcBorders>
              <w:top w:val="nil"/>
              <w:bottom w:val="nil"/>
            </w:tcBorders>
          </w:tcPr>
          <w:p>
            <w:pPr>
              <w:rPr>
                <w:rFonts w:ascii="Arial"/>
                <w:sz w:val="21"/>
              </w:rPr>
            </w:pPr>
            <w:r/>
          </w:p>
        </w:tc>
        <w:tc>
          <w:tcPr>
            <w:tcW w:w="2305" w:type="dxa"/>
            <w:vAlign w:val="top"/>
            <w:vMerge w:val="continue"/>
            <w:tcBorders>
              <w:top w:val="nil"/>
              <w:bottom w:val="nil"/>
            </w:tcBorders>
          </w:tcPr>
          <w:p>
            <w:pPr>
              <w:rPr>
                <w:rFonts w:ascii="Arial"/>
                <w:sz w:val="21"/>
              </w:rPr>
            </w:pPr>
            <w:r/>
          </w:p>
        </w:tc>
        <w:tc>
          <w:tcPr>
            <w:tcW w:w="1535"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691" w:type="dxa"/>
            <w:vAlign w:val="top"/>
            <w:vMerge w:val="continue"/>
            <w:tcBorders>
              <w:top w:val="nil"/>
              <w:bottom w:val="nil"/>
            </w:tcBorders>
          </w:tcPr>
          <w:p>
            <w:pPr>
              <w:rPr>
                <w:rFonts w:ascii="Arial"/>
                <w:sz w:val="21"/>
              </w:rPr>
            </w:pPr>
            <w:r/>
          </w:p>
        </w:tc>
        <w:tc>
          <w:tcPr>
            <w:tcW w:w="1090" w:type="dxa"/>
            <w:vAlign w:val="top"/>
            <w:vMerge w:val="continue"/>
            <w:tcBorders>
              <w:top w:val="nil"/>
              <w:bottom w:val="nil"/>
            </w:tcBorders>
          </w:tcPr>
          <w:p>
            <w:pPr>
              <w:rPr>
                <w:rFonts w:ascii="Arial"/>
                <w:sz w:val="21"/>
              </w:rPr>
            </w:pPr>
            <w:r/>
          </w:p>
        </w:tc>
        <w:tc>
          <w:tcPr>
            <w:tcW w:w="806" w:type="dxa"/>
            <w:vAlign w:val="top"/>
            <w:vMerge w:val="continue"/>
            <w:tcBorders>
              <w:top w:val="nil"/>
              <w:bottom w:val="nil"/>
            </w:tcBorders>
          </w:tcPr>
          <w:p>
            <w:pPr>
              <w:rPr>
                <w:rFonts w:ascii="Arial"/>
                <w:sz w:val="21"/>
              </w:rPr>
            </w:pPr>
            <w:r/>
          </w:p>
        </w:tc>
        <w:tc>
          <w:tcPr>
            <w:tcW w:w="1428" w:type="dxa"/>
            <w:vAlign w:val="top"/>
          </w:tcPr>
          <w:p>
            <w:pPr>
              <w:pStyle w:val="TableText"/>
              <w:ind w:left="331"/>
              <w:spacing w:before="168"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CT</w:t>
            </w:r>
            <w:r>
              <w:rPr>
                <w:rFonts w:ascii="Times New Roman" w:hAnsi="Times New Roman" w:eastAsia="Times New Roman" w:cs="Times New Roman"/>
                <w:spacing w:val="6"/>
              </w:rPr>
              <w:t>2</w:t>
            </w:r>
          </w:p>
        </w:tc>
        <w:tc>
          <w:tcPr>
            <w:tcW w:w="1709" w:type="dxa"/>
            <w:vAlign w:val="top"/>
          </w:tcPr>
          <w:p>
            <w:pPr>
              <w:pStyle w:val="TableText"/>
              <w:ind w:left="194" w:right="140" w:hanging="30"/>
              <w:spacing w:before="34" w:line="233" w:lineRule="auto"/>
              <w:rPr/>
            </w:pPr>
            <w:r>
              <w:rPr>
                <w:rFonts w:ascii="Times New Roman" w:hAnsi="Times New Roman" w:eastAsia="Times New Roman" w:cs="Times New Roman"/>
                <w:spacing w:val="2"/>
              </w:rPr>
              <w:t>119°45′35.93″</w:t>
            </w:r>
            <w:r>
              <w:rPr>
                <w:spacing w:val="2"/>
              </w:rPr>
              <w:t>东</w:t>
            </w:r>
            <w:r>
              <w:rPr>
                <w:spacing w:val="12"/>
              </w:rPr>
              <w:t xml:space="preserve"> </w:t>
            </w:r>
            <w:r>
              <w:rPr>
                <w:rFonts w:ascii="Times New Roman" w:hAnsi="Times New Roman" w:eastAsia="Times New Roman" w:cs="Times New Roman"/>
                <w:spacing w:val="4"/>
              </w:rPr>
              <w:t>29°50′33.41″</w:t>
            </w:r>
            <w:r>
              <w:rPr>
                <w:spacing w:val="4"/>
              </w:rPr>
              <w:t>北</w:t>
            </w:r>
          </w:p>
        </w:tc>
      </w:tr>
      <w:tr>
        <w:trPr>
          <w:trHeight w:val="549" w:hRule="atLeast"/>
        </w:trPr>
        <w:tc>
          <w:tcPr>
            <w:tcW w:w="682" w:type="dxa"/>
            <w:vAlign w:val="top"/>
            <w:vMerge w:val="continue"/>
            <w:tcBorders>
              <w:top w:val="nil"/>
            </w:tcBorders>
          </w:tcPr>
          <w:p>
            <w:pPr>
              <w:rPr>
                <w:rFonts w:ascii="Arial"/>
                <w:sz w:val="21"/>
              </w:rPr>
            </w:pPr>
            <w:r/>
          </w:p>
        </w:tc>
        <w:tc>
          <w:tcPr>
            <w:tcW w:w="2305" w:type="dxa"/>
            <w:vAlign w:val="top"/>
            <w:vMerge w:val="continue"/>
            <w:tcBorders>
              <w:top w:val="nil"/>
            </w:tcBorders>
          </w:tcPr>
          <w:p>
            <w:pPr>
              <w:rPr>
                <w:rFonts w:ascii="Arial"/>
                <w:sz w:val="21"/>
              </w:rPr>
            </w:pPr>
            <w:r/>
          </w:p>
        </w:tc>
        <w:tc>
          <w:tcPr>
            <w:tcW w:w="1535"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691"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1428" w:type="dxa"/>
            <w:vAlign w:val="top"/>
          </w:tcPr>
          <w:p>
            <w:pPr>
              <w:pStyle w:val="TableText"/>
              <w:ind w:left="231"/>
              <w:spacing w:before="170" w:line="231" w:lineRule="auto"/>
              <w:rPr>
                <w:rFonts w:ascii="Times New Roman" w:hAnsi="Times New Roman" w:eastAsia="Times New Roman" w:cs="Times New Roman"/>
              </w:rPr>
            </w:pPr>
            <w:r>
              <w:rPr>
                <w:spacing w:val="7"/>
              </w:rPr>
              <w:t>地下水</w:t>
            </w:r>
            <w:r>
              <w:rPr>
                <w:rFonts w:ascii="Times New Roman" w:hAnsi="Times New Roman" w:eastAsia="Times New Roman" w:cs="Times New Roman"/>
              </w:rPr>
              <w:t>CS</w:t>
            </w:r>
            <w:r>
              <w:rPr>
                <w:rFonts w:ascii="Times New Roman" w:hAnsi="Times New Roman" w:eastAsia="Times New Roman" w:cs="Times New Roman"/>
                <w:spacing w:val="7"/>
              </w:rPr>
              <w:t>1</w:t>
            </w:r>
          </w:p>
        </w:tc>
        <w:tc>
          <w:tcPr>
            <w:tcW w:w="1709" w:type="dxa"/>
            <w:vAlign w:val="top"/>
          </w:tcPr>
          <w:p>
            <w:pPr>
              <w:pStyle w:val="TableText"/>
              <w:ind w:left="199" w:right="145" w:hanging="30"/>
              <w:spacing w:before="34" w:line="233" w:lineRule="auto"/>
              <w:rPr/>
            </w:pPr>
            <w:r>
              <w:rPr>
                <w:rFonts w:ascii="Times New Roman" w:hAnsi="Times New Roman" w:eastAsia="Times New Roman" w:cs="Times New Roman"/>
                <w:spacing w:val="2"/>
              </w:rPr>
              <w:t>119°45'39.74"</w:t>
            </w:r>
            <w:r>
              <w:rPr>
                <w:spacing w:val="2"/>
              </w:rPr>
              <w:t>东</w:t>
            </w:r>
            <w:r>
              <w:rPr>
                <w:spacing w:val="12"/>
              </w:rPr>
              <w:t xml:space="preserve"> </w:t>
            </w:r>
            <w:r>
              <w:rPr>
                <w:rFonts w:ascii="Times New Roman" w:hAnsi="Times New Roman" w:eastAsia="Times New Roman" w:cs="Times New Roman"/>
                <w:spacing w:val="4"/>
              </w:rPr>
              <w:t>29°50'32.52"</w:t>
            </w:r>
            <w:r>
              <w:rPr>
                <w:spacing w:val="4"/>
              </w:rPr>
              <w:t>北</w:t>
            </w:r>
          </w:p>
        </w:tc>
      </w:tr>
      <w:tr>
        <w:trPr>
          <w:trHeight w:val="550" w:hRule="atLeast"/>
        </w:trPr>
        <w:tc>
          <w:tcPr>
            <w:tcW w:w="682" w:type="dxa"/>
            <w:vAlign w:val="top"/>
            <w:vMerge w:val="restart"/>
            <w:tcBorders>
              <w:bottom w:val="nil"/>
            </w:tcBorders>
          </w:tcPr>
          <w:p>
            <w:pPr>
              <w:spacing w:line="268" w:lineRule="auto"/>
              <w:rPr>
                <w:rFonts w:ascii="Arial"/>
                <w:sz w:val="21"/>
              </w:rPr>
            </w:pPr>
            <w:r/>
          </w:p>
          <w:p>
            <w:pPr>
              <w:spacing w:line="269" w:lineRule="auto"/>
              <w:rPr>
                <w:rFonts w:ascii="Arial"/>
                <w:sz w:val="21"/>
              </w:rPr>
            </w:pPr>
            <w:r/>
          </w:p>
          <w:p>
            <w:pPr>
              <w:pStyle w:val="TableText"/>
              <w:ind w:left="146"/>
              <w:spacing w:before="65" w:line="229" w:lineRule="auto"/>
              <w:rPr/>
            </w:pPr>
            <w:r>
              <w:rPr>
                <w:spacing w:val="-1"/>
              </w:rPr>
              <w:t>单元</w:t>
            </w:r>
          </w:p>
          <w:p>
            <w:pPr>
              <w:ind w:left="266"/>
              <w:spacing w:before="4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D</w:t>
            </w:r>
          </w:p>
        </w:tc>
        <w:tc>
          <w:tcPr>
            <w:tcW w:w="2305" w:type="dxa"/>
            <w:vAlign w:val="top"/>
            <w:vMerge w:val="restart"/>
            <w:tcBorders>
              <w:bottom w:val="nil"/>
            </w:tcBorders>
          </w:tcPr>
          <w:p>
            <w:pPr>
              <w:spacing w:line="384" w:lineRule="auto"/>
              <w:rPr>
                <w:rFonts w:ascii="Arial"/>
                <w:sz w:val="21"/>
              </w:rPr>
            </w:pPr>
            <w:r/>
          </w:p>
          <w:p>
            <w:pPr>
              <w:pStyle w:val="TableText"/>
              <w:ind w:left="637"/>
              <w:spacing w:before="65" w:line="232" w:lineRule="auto"/>
              <w:rPr/>
            </w:pPr>
            <w:r>
              <w:rPr>
                <w:spacing w:val="6"/>
              </w:rPr>
              <w:t>铜渣选矿区</w:t>
            </w:r>
          </w:p>
          <w:p>
            <w:pPr>
              <w:pStyle w:val="TableText"/>
              <w:ind w:left="852" w:right="108" w:hanging="730"/>
              <w:spacing w:before="23" w:line="249" w:lineRule="auto"/>
              <w:rPr/>
            </w:pPr>
            <w:r>
              <w:rPr>
                <w:spacing w:val="6"/>
              </w:rPr>
              <w:t>（脱水、磨浮、粉碎筛</w:t>
            </w:r>
            <w:r>
              <w:rPr>
                <w:spacing w:val="8"/>
              </w:rPr>
              <w:t xml:space="preserve"> </w:t>
            </w:r>
            <w:r>
              <w:rPr>
                <w:spacing w:val="-1"/>
              </w:rPr>
              <w:t>车间）</w:t>
            </w:r>
          </w:p>
        </w:tc>
        <w:tc>
          <w:tcPr>
            <w:tcW w:w="1535" w:type="dxa"/>
            <w:vAlign w:val="top"/>
            <w:vMerge w:val="restart"/>
            <w:tcBorders>
              <w:bottom w:val="nil"/>
            </w:tcBorders>
          </w:tcPr>
          <w:p>
            <w:pPr>
              <w:pStyle w:val="TableText"/>
              <w:ind w:left="149"/>
              <w:spacing w:before="61" w:line="229" w:lineRule="auto"/>
              <w:rPr/>
            </w:pPr>
            <w:r>
              <w:rPr>
                <w:spacing w:val="7"/>
              </w:rPr>
              <w:t>对废弃物提纯</w:t>
            </w:r>
          </w:p>
          <w:p>
            <w:pPr>
              <w:pStyle w:val="TableText"/>
              <w:ind w:left="165"/>
              <w:spacing w:before="22" w:line="232" w:lineRule="auto"/>
              <w:rPr/>
            </w:pPr>
            <w:r>
              <w:rPr>
                <w:spacing w:val="4"/>
              </w:rPr>
              <w:t>区产生的冶炼</w:t>
            </w:r>
          </w:p>
          <w:p>
            <w:pPr>
              <w:pStyle w:val="TableText"/>
              <w:ind w:left="149"/>
              <w:spacing w:before="20" w:line="229" w:lineRule="auto"/>
              <w:rPr/>
            </w:pPr>
            <w:r>
              <w:rPr>
                <w:spacing w:val="7"/>
              </w:rPr>
              <w:t>炉渣进行选矿</w:t>
            </w:r>
          </w:p>
          <w:p>
            <w:pPr>
              <w:pStyle w:val="TableText"/>
              <w:ind w:left="162"/>
              <w:spacing w:before="24" w:line="231" w:lineRule="auto"/>
              <w:rPr/>
            </w:pPr>
            <w:r>
              <w:rPr>
                <w:spacing w:val="-9"/>
              </w:rPr>
              <w:t>,</w:t>
            </w:r>
            <w:r>
              <w:rPr>
                <w:spacing w:val="82"/>
              </w:rPr>
              <w:t xml:space="preserve"> </w:t>
            </w:r>
            <w:r>
              <w:rPr>
                <w:spacing w:val="-9"/>
              </w:rPr>
              <w:t>以获取铜精</w:t>
            </w:r>
          </w:p>
          <w:p>
            <w:pPr>
              <w:pStyle w:val="TableText"/>
              <w:ind w:left="462"/>
              <w:spacing w:before="21" w:line="232" w:lineRule="auto"/>
              <w:rPr/>
            </w:pPr>
            <w:r>
              <w:rPr>
                <w:spacing w:val="5"/>
              </w:rPr>
              <w:t>矿产品</w:t>
            </w:r>
          </w:p>
        </w:tc>
        <w:tc>
          <w:tcPr>
            <w:tcW w:w="1511" w:type="dxa"/>
            <w:vAlign w:val="top"/>
            <w:vMerge w:val="restart"/>
            <w:tcBorders>
              <w:bottom w:val="nil"/>
            </w:tcBorders>
          </w:tcPr>
          <w:p>
            <w:pPr>
              <w:spacing w:line="384" w:lineRule="auto"/>
              <w:rPr>
                <w:rFonts w:ascii="Arial"/>
                <w:sz w:val="21"/>
              </w:rPr>
            </w:pPr>
            <w:r/>
          </w:p>
          <w:p>
            <w:pPr>
              <w:pStyle w:val="TableText"/>
              <w:ind w:left="138"/>
              <w:spacing w:before="65" w:line="231" w:lineRule="auto"/>
              <w:rPr/>
            </w:pPr>
            <w:r>
              <w:rPr>
                <w:spacing w:val="5"/>
              </w:rPr>
              <w:t>铜、铅、锌、</w:t>
            </w:r>
          </w:p>
          <w:p>
            <w:pPr>
              <w:pStyle w:val="TableText"/>
              <w:ind w:left="137"/>
              <w:spacing w:before="23" w:line="229" w:lineRule="auto"/>
              <w:rPr/>
            </w:pPr>
            <w:r>
              <w:rPr>
                <w:spacing w:val="5"/>
              </w:rPr>
              <w:t>镉、镍、砷、</w:t>
            </w:r>
          </w:p>
          <w:p>
            <w:pPr>
              <w:pStyle w:val="TableText"/>
              <w:ind w:left="663"/>
              <w:spacing w:before="23" w:line="230" w:lineRule="auto"/>
              <w:rPr/>
            </w:pPr>
            <w:r>
              <w:rPr/>
              <w:t>铬</w:t>
            </w:r>
          </w:p>
        </w:tc>
        <w:tc>
          <w:tcPr>
            <w:tcW w:w="1511" w:type="dxa"/>
            <w:vAlign w:val="top"/>
            <w:vMerge w:val="restart"/>
            <w:tcBorders>
              <w:bottom w:val="nil"/>
            </w:tcBorders>
          </w:tcPr>
          <w:p>
            <w:pPr>
              <w:spacing w:line="384" w:lineRule="auto"/>
              <w:rPr>
                <w:rFonts w:ascii="Arial"/>
                <w:sz w:val="21"/>
              </w:rPr>
            </w:pPr>
            <w:r/>
          </w:p>
          <w:p>
            <w:pPr>
              <w:pStyle w:val="TableText"/>
              <w:ind w:left="139"/>
              <w:spacing w:before="65" w:line="231" w:lineRule="auto"/>
              <w:rPr/>
            </w:pPr>
            <w:r>
              <w:rPr>
                <w:spacing w:val="5"/>
              </w:rPr>
              <w:t>铜、铅、锌、</w:t>
            </w:r>
          </w:p>
          <w:p>
            <w:pPr>
              <w:pStyle w:val="TableText"/>
              <w:ind w:left="138"/>
              <w:spacing w:before="23" w:line="229" w:lineRule="auto"/>
              <w:rPr/>
            </w:pPr>
            <w:r>
              <w:rPr>
                <w:spacing w:val="5"/>
              </w:rPr>
              <w:t>镉、镍、砷、</w:t>
            </w:r>
          </w:p>
          <w:p>
            <w:pPr>
              <w:pStyle w:val="TableText"/>
              <w:ind w:left="664"/>
              <w:spacing w:before="23" w:line="230" w:lineRule="auto"/>
              <w:rPr/>
            </w:pPr>
            <w:r>
              <w:rPr/>
              <w:t>铬</w:t>
            </w:r>
          </w:p>
        </w:tc>
        <w:tc>
          <w:tcPr>
            <w:tcW w:w="1691"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pStyle w:val="TableText"/>
              <w:ind w:left="197" w:right="135" w:hanging="36"/>
              <w:spacing w:before="65" w:line="251" w:lineRule="auto"/>
              <w:rPr/>
            </w:pPr>
            <w:r>
              <w:rPr>
                <w:rFonts w:ascii="Times New Roman" w:hAnsi="Times New Roman" w:eastAsia="Times New Roman" w:cs="Times New Roman"/>
                <w:spacing w:val="2"/>
              </w:rPr>
              <w:t>120°47'47.62"</w:t>
            </w:r>
            <w:r>
              <w:rPr>
                <w:spacing w:val="2"/>
              </w:rPr>
              <w:t>东</w:t>
            </w:r>
            <w:r>
              <w:rPr>
                <w:spacing w:val="12"/>
              </w:rPr>
              <w:t xml:space="preserve"> </w:t>
            </w:r>
            <w:r>
              <w:rPr>
                <w:rFonts w:ascii="Times New Roman" w:hAnsi="Times New Roman" w:eastAsia="Times New Roman" w:cs="Times New Roman"/>
                <w:spacing w:val="2"/>
              </w:rPr>
              <w:t>30°</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18'33.95"</w:t>
            </w:r>
            <w:r>
              <w:rPr>
                <w:spacing w:val="2"/>
              </w:rPr>
              <w:t>北</w:t>
            </w:r>
          </w:p>
        </w:tc>
        <w:tc>
          <w:tcPr>
            <w:tcW w:w="1090" w:type="dxa"/>
            <w:vAlign w:val="top"/>
            <w:vMerge w:val="restart"/>
            <w:tcBorders>
              <w:bottom w:val="nil"/>
            </w:tcBorders>
          </w:tcPr>
          <w:p>
            <w:pPr>
              <w:spacing w:line="384" w:lineRule="auto"/>
              <w:rPr>
                <w:rFonts w:ascii="Arial"/>
                <w:sz w:val="21"/>
              </w:rPr>
            </w:pPr>
            <w:r/>
          </w:p>
          <w:p>
            <w:pPr>
              <w:pStyle w:val="TableText"/>
              <w:ind w:left="138"/>
              <w:spacing w:before="65" w:line="228" w:lineRule="auto"/>
              <w:rPr/>
            </w:pPr>
            <w:r>
              <w:rPr>
                <w:spacing w:val="5"/>
              </w:rPr>
              <w:t>是，存在</w:t>
            </w:r>
          </w:p>
          <w:p>
            <w:pPr>
              <w:pStyle w:val="TableText"/>
              <w:ind w:left="242" w:right="123" w:hanging="104"/>
              <w:spacing w:before="25" w:line="251" w:lineRule="auto"/>
              <w:rPr/>
            </w:pPr>
            <w:r>
              <w:rPr>
                <w:spacing w:val="5"/>
              </w:rPr>
              <w:t>接地储罐</w:t>
            </w:r>
            <w:r>
              <w:rPr>
                <w:spacing w:val="2"/>
              </w:rPr>
              <w:t xml:space="preserve"> </w:t>
            </w:r>
            <w:r>
              <w:rPr>
                <w:spacing w:val="5"/>
              </w:rPr>
              <w:t>和池体</w:t>
            </w:r>
          </w:p>
        </w:tc>
        <w:tc>
          <w:tcPr>
            <w:tcW w:w="806"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pStyle w:val="TableText"/>
              <w:ind w:left="209"/>
              <w:spacing w:before="65" w:line="233" w:lineRule="auto"/>
              <w:rPr/>
            </w:pPr>
            <w:r>
              <w:rPr/>
              <w:t>一类</w:t>
            </w:r>
          </w:p>
          <w:p>
            <w:pPr>
              <w:pStyle w:val="TableText"/>
              <w:ind w:left="210"/>
              <w:spacing w:before="19" w:line="229" w:lineRule="auto"/>
              <w:rPr/>
            </w:pPr>
            <w:r>
              <w:rPr>
                <w:spacing w:val="-1"/>
              </w:rPr>
              <w:t>单元</w:t>
            </w:r>
          </w:p>
        </w:tc>
        <w:tc>
          <w:tcPr>
            <w:tcW w:w="1428" w:type="dxa"/>
            <w:vAlign w:val="top"/>
          </w:tcPr>
          <w:p>
            <w:pPr>
              <w:pStyle w:val="TableText"/>
              <w:ind w:left="327"/>
              <w:spacing w:before="171"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DT</w:t>
            </w:r>
            <w:r>
              <w:rPr>
                <w:rFonts w:ascii="Times New Roman" w:hAnsi="Times New Roman" w:eastAsia="Times New Roman" w:cs="Times New Roman"/>
                <w:spacing w:val="6"/>
              </w:rPr>
              <w:t>1</w:t>
            </w:r>
          </w:p>
        </w:tc>
        <w:tc>
          <w:tcPr>
            <w:tcW w:w="1709" w:type="dxa"/>
            <w:vAlign w:val="top"/>
          </w:tcPr>
          <w:p>
            <w:pPr>
              <w:pStyle w:val="TableText"/>
              <w:ind w:left="194" w:right="140" w:hanging="30"/>
              <w:spacing w:before="35" w:line="233" w:lineRule="auto"/>
              <w:rPr/>
            </w:pPr>
            <w:r>
              <w:rPr>
                <w:rFonts w:ascii="Times New Roman" w:hAnsi="Times New Roman" w:eastAsia="Times New Roman" w:cs="Times New Roman"/>
                <w:spacing w:val="2"/>
              </w:rPr>
              <w:t>119°45′41.89″</w:t>
            </w:r>
            <w:r>
              <w:rPr>
                <w:spacing w:val="2"/>
              </w:rPr>
              <w:t>东</w:t>
            </w:r>
            <w:r>
              <w:rPr>
                <w:spacing w:val="12"/>
              </w:rPr>
              <w:t xml:space="preserve"> </w:t>
            </w:r>
            <w:r>
              <w:rPr>
                <w:rFonts w:ascii="Times New Roman" w:hAnsi="Times New Roman" w:eastAsia="Times New Roman" w:cs="Times New Roman"/>
                <w:spacing w:val="4"/>
              </w:rPr>
              <w:t>29°50′24.30″</w:t>
            </w:r>
            <w:r>
              <w:rPr>
                <w:spacing w:val="4"/>
              </w:rPr>
              <w:t>北</w:t>
            </w:r>
          </w:p>
        </w:tc>
      </w:tr>
      <w:tr>
        <w:trPr>
          <w:trHeight w:val="549" w:hRule="atLeast"/>
        </w:trPr>
        <w:tc>
          <w:tcPr>
            <w:tcW w:w="682" w:type="dxa"/>
            <w:vAlign w:val="top"/>
            <w:vMerge w:val="continue"/>
            <w:tcBorders>
              <w:top w:val="nil"/>
              <w:bottom w:val="nil"/>
            </w:tcBorders>
          </w:tcPr>
          <w:p>
            <w:pPr>
              <w:rPr>
                <w:rFonts w:ascii="Arial"/>
                <w:sz w:val="21"/>
              </w:rPr>
            </w:pPr>
            <w:r/>
          </w:p>
        </w:tc>
        <w:tc>
          <w:tcPr>
            <w:tcW w:w="2305" w:type="dxa"/>
            <w:vAlign w:val="top"/>
            <w:vMerge w:val="continue"/>
            <w:tcBorders>
              <w:top w:val="nil"/>
              <w:bottom w:val="nil"/>
            </w:tcBorders>
          </w:tcPr>
          <w:p>
            <w:pPr>
              <w:rPr>
                <w:rFonts w:ascii="Arial"/>
                <w:sz w:val="21"/>
              </w:rPr>
            </w:pPr>
            <w:r/>
          </w:p>
        </w:tc>
        <w:tc>
          <w:tcPr>
            <w:tcW w:w="1535"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691" w:type="dxa"/>
            <w:vAlign w:val="top"/>
            <w:vMerge w:val="continue"/>
            <w:tcBorders>
              <w:top w:val="nil"/>
              <w:bottom w:val="nil"/>
            </w:tcBorders>
          </w:tcPr>
          <w:p>
            <w:pPr>
              <w:rPr>
                <w:rFonts w:ascii="Arial"/>
                <w:sz w:val="21"/>
              </w:rPr>
            </w:pPr>
            <w:r/>
          </w:p>
        </w:tc>
        <w:tc>
          <w:tcPr>
            <w:tcW w:w="1090" w:type="dxa"/>
            <w:vAlign w:val="top"/>
            <w:vMerge w:val="continue"/>
            <w:tcBorders>
              <w:top w:val="nil"/>
              <w:bottom w:val="nil"/>
            </w:tcBorders>
          </w:tcPr>
          <w:p>
            <w:pPr>
              <w:rPr>
                <w:rFonts w:ascii="Arial"/>
                <w:sz w:val="21"/>
              </w:rPr>
            </w:pPr>
            <w:r/>
          </w:p>
        </w:tc>
        <w:tc>
          <w:tcPr>
            <w:tcW w:w="806" w:type="dxa"/>
            <w:vAlign w:val="top"/>
            <w:vMerge w:val="continue"/>
            <w:tcBorders>
              <w:top w:val="nil"/>
              <w:bottom w:val="nil"/>
            </w:tcBorders>
          </w:tcPr>
          <w:p>
            <w:pPr>
              <w:rPr>
                <w:rFonts w:ascii="Arial"/>
                <w:sz w:val="21"/>
              </w:rPr>
            </w:pPr>
            <w:r/>
          </w:p>
        </w:tc>
        <w:tc>
          <w:tcPr>
            <w:tcW w:w="1428" w:type="dxa"/>
            <w:vAlign w:val="top"/>
          </w:tcPr>
          <w:p>
            <w:pPr>
              <w:pStyle w:val="TableText"/>
              <w:ind w:left="327"/>
              <w:spacing w:before="171"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DT</w:t>
            </w:r>
            <w:r>
              <w:rPr>
                <w:rFonts w:ascii="Times New Roman" w:hAnsi="Times New Roman" w:eastAsia="Times New Roman" w:cs="Times New Roman"/>
                <w:spacing w:val="6"/>
              </w:rPr>
              <w:t>2</w:t>
            </w:r>
          </w:p>
        </w:tc>
        <w:tc>
          <w:tcPr>
            <w:tcW w:w="1709" w:type="dxa"/>
            <w:vAlign w:val="top"/>
          </w:tcPr>
          <w:p>
            <w:pPr>
              <w:pStyle w:val="TableText"/>
              <w:ind w:left="194" w:right="140" w:hanging="30"/>
              <w:spacing w:before="36" w:line="232" w:lineRule="auto"/>
              <w:rPr/>
            </w:pPr>
            <w:r>
              <w:rPr>
                <w:rFonts w:ascii="Times New Roman" w:hAnsi="Times New Roman" w:eastAsia="Times New Roman" w:cs="Times New Roman"/>
                <w:spacing w:val="2"/>
              </w:rPr>
              <w:t>119°45′39.22″</w:t>
            </w:r>
            <w:r>
              <w:rPr>
                <w:spacing w:val="2"/>
              </w:rPr>
              <w:t>东</w:t>
            </w:r>
            <w:r>
              <w:rPr>
                <w:spacing w:val="12"/>
              </w:rPr>
              <w:t xml:space="preserve"> </w:t>
            </w:r>
            <w:r>
              <w:rPr>
                <w:rFonts w:ascii="Times New Roman" w:hAnsi="Times New Roman" w:eastAsia="Times New Roman" w:cs="Times New Roman"/>
                <w:spacing w:val="4"/>
              </w:rPr>
              <w:t>29°50′25.51″</w:t>
            </w:r>
            <w:r>
              <w:rPr>
                <w:spacing w:val="4"/>
              </w:rPr>
              <w:t>北</w:t>
            </w:r>
          </w:p>
        </w:tc>
      </w:tr>
      <w:tr>
        <w:trPr>
          <w:trHeight w:val="550" w:hRule="atLeast"/>
        </w:trPr>
        <w:tc>
          <w:tcPr>
            <w:tcW w:w="682" w:type="dxa"/>
            <w:vAlign w:val="top"/>
            <w:vMerge w:val="continue"/>
            <w:tcBorders>
              <w:top w:val="nil"/>
            </w:tcBorders>
          </w:tcPr>
          <w:p>
            <w:pPr>
              <w:rPr>
                <w:rFonts w:ascii="Arial"/>
                <w:sz w:val="21"/>
              </w:rPr>
            </w:pPr>
            <w:r/>
          </w:p>
        </w:tc>
        <w:tc>
          <w:tcPr>
            <w:tcW w:w="2305" w:type="dxa"/>
            <w:vAlign w:val="top"/>
            <w:vMerge w:val="continue"/>
            <w:tcBorders>
              <w:top w:val="nil"/>
            </w:tcBorders>
          </w:tcPr>
          <w:p>
            <w:pPr>
              <w:rPr>
                <w:rFonts w:ascii="Arial"/>
                <w:sz w:val="21"/>
              </w:rPr>
            </w:pPr>
            <w:r/>
          </w:p>
        </w:tc>
        <w:tc>
          <w:tcPr>
            <w:tcW w:w="1535"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691"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1428" w:type="dxa"/>
            <w:vAlign w:val="top"/>
          </w:tcPr>
          <w:p>
            <w:pPr>
              <w:pStyle w:val="TableText"/>
              <w:ind w:left="227"/>
              <w:spacing w:before="171" w:line="231" w:lineRule="auto"/>
              <w:rPr>
                <w:rFonts w:ascii="Times New Roman" w:hAnsi="Times New Roman" w:eastAsia="Times New Roman" w:cs="Times New Roman"/>
              </w:rPr>
            </w:pPr>
            <w:r>
              <w:rPr>
                <w:spacing w:val="7"/>
              </w:rPr>
              <w:t>地下水</w:t>
            </w:r>
            <w:r>
              <w:rPr>
                <w:rFonts w:ascii="Times New Roman" w:hAnsi="Times New Roman" w:eastAsia="Times New Roman" w:cs="Times New Roman"/>
              </w:rPr>
              <w:t>DS</w:t>
            </w:r>
            <w:r>
              <w:rPr>
                <w:rFonts w:ascii="Times New Roman" w:hAnsi="Times New Roman" w:eastAsia="Times New Roman" w:cs="Times New Roman"/>
                <w:spacing w:val="7"/>
              </w:rPr>
              <w:t>1</w:t>
            </w:r>
          </w:p>
        </w:tc>
        <w:tc>
          <w:tcPr>
            <w:tcW w:w="1709" w:type="dxa"/>
            <w:vAlign w:val="top"/>
          </w:tcPr>
          <w:p>
            <w:pPr>
              <w:pStyle w:val="TableText"/>
              <w:ind w:left="199" w:right="145" w:hanging="30"/>
              <w:spacing w:before="37" w:line="232" w:lineRule="auto"/>
              <w:rPr/>
            </w:pPr>
            <w:r>
              <w:rPr>
                <w:rFonts w:ascii="Times New Roman" w:hAnsi="Times New Roman" w:eastAsia="Times New Roman" w:cs="Times New Roman"/>
                <w:spacing w:val="1"/>
              </w:rPr>
              <w:t>119°45'39.</w:t>
            </w:r>
            <w:r>
              <w:rPr>
                <w:rFonts w:ascii="Times New Roman" w:hAnsi="Times New Roman" w:eastAsia="Times New Roman" w:cs="Times New Roman"/>
                <w:spacing w:val="-24"/>
              </w:rPr>
              <w:t xml:space="preserve"> </w:t>
            </w:r>
            <w:r>
              <w:rPr>
                <w:rFonts w:ascii="Times New Roman" w:hAnsi="Times New Roman" w:eastAsia="Times New Roman" w:cs="Times New Roman"/>
                <w:spacing w:val="1"/>
              </w:rPr>
              <w:t>14"</w:t>
            </w:r>
            <w:r>
              <w:rPr>
                <w:spacing w:val="1"/>
              </w:rPr>
              <w:t>东</w:t>
            </w:r>
            <w:r>
              <w:rPr/>
              <w:t xml:space="preserve"> </w:t>
            </w:r>
            <w:r>
              <w:rPr>
                <w:rFonts w:ascii="Times New Roman" w:hAnsi="Times New Roman" w:eastAsia="Times New Roman" w:cs="Times New Roman"/>
                <w:spacing w:val="4"/>
              </w:rPr>
              <w:t>29°50'25.56"</w:t>
            </w:r>
            <w:r>
              <w:rPr>
                <w:spacing w:val="4"/>
              </w:rPr>
              <w:t>北</w:t>
            </w:r>
          </w:p>
        </w:tc>
      </w:tr>
      <w:tr>
        <w:trPr>
          <w:trHeight w:val="550" w:hRule="atLeast"/>
        </w:trPr>
        <w:tc>
          <w:tcPr>
            <w:tcW w:w="682" w:type="dxa"/>
            <w:vAlign w:val="top"/>
            <w:vMerge w:val="restart"/>
            <w:tcBorders>
              <w:bottom w:val="nil"/>
            </w:tcBorders>
          </w:tcPr>
          <w:p>
            <w:pPr>
              <w:pStyle w:val="TableText"/>
              <w:ind w:left="146"/>
              <w:spacing w:before="226" w:line="229" w:lineRule="auto"/>
              <w:rPr/>
            </w:pPr>
            <w:r>
              <w:rPr>
                <w:spacing w:val="-1"/>
              </w:rPr>
              <w:t>单元</w:t>
            </w:r>
          </w:p>
          <w:p>
            <w:pPr>
              <w:ind w:left="278"/>
              <w:spacing w:before="4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E</w:t>
            </w:r>
          </w:p>
        </w:tc>
        <w:tc>
          <w:tcPr>
            <w:tcW w:w="2305" w:type="dxa"/>
            <w:vAlign w:val="top"/>
            <w:vMerge w:val="restart"/>
            <w:tcBorders>
              <w:bottom w:val="nil"/>
            </w:tcBorders>
          </w:tcPr>
          <w:p>
            <w:pPr>
              <w:spacing w:line="279" w:lineRule="auto"/>
              <w:rPr>
                <w:rFonts w:ascii="Arial"/>
                <w:sz w:val="21"/>
              </w:rPr>
            </w:pPr>
            <w:r/>
          </w:p>
          <w:p>
            <w:pPr>
              <w:pStyle w:val="TableText"/>
              <w:ind w:left="637"/>
              <w:spacing w:before="65" w:line="229" w:lineRule="auto"/>
              <w:rPr/>
            </w:pPr>
            <w:r>
              <w:rPr>
                <w:spacing w:val="6"/>
              </w:rPr>
              <w:t>冶炼渣堆场</w:t>
            </w:r>
          </w:p>
        </w:tc>
        <w:tc>
          <w:tcPr>
            <w:tcW w:w="1535" w:type="dxa"/>
            <w:vAlign w:val="top"/>
            <w:vMerge w:val="restart"/>
            <w:tcBorders>
              <w:bottom w:val="nil"/>
            </w:tcBorders>
          </w:tcPr>
          <w:p>
            <w:pPr>
              <w:pStyle w:val="TableText"/>
              <w:ind w:left="149"/>
              <w:spacing w:before="72" w:line="229" w:lineRule="auto"/>
              <w:rPr/>
            </w:pPr>
            <w:r>
              <w:rPr>
                <w:spacing w:val="7"/>
              </w:rPr>
              <w:t>冶炼渣的破碎</w:t>
            </w:r>
          </w:p>
          <w:p>
            <w:pPr>
              <w:pStyle w:val="TableText"/>
              <w:ind w:left="147"/>
              <w:spacing w:before="25" w:line="229" w:lineRule="auto"/>
              <w:rPr/>
            </w:pPr>
            <w:r>
              <w:rPr>
                <w:spacing w:val="7"/>
              </w:rPr>
              <w:t>和堆放，冶炼</w:t>
            </w:r>
          </w:p>
          <w:p>
            <w:pPr>
              <w:pStyle w:val="TableText"/>
              <w:ind w:left="148"/>
              <w:spacing w:before="22" w:line="232" w:lineRule="auto"/>
              <w:rPr/>
            </w:pPr>
            <w:r>
              <w:rPr>
                <w:spacing w:val="7"/>
              </w:rPr>
              <w:t>渣为铜渣选矿</w:t>
            </w:r>
          </w:p>
        </w:tc>
        <w:tc>
          <w:tcPr>
            <w:tcW w:w="1511" w:type="dxa"/>
            <w:vAlign w:val="top"/>
            <w:vMerge w:val="restart"/>
            <w:tcBorders>
              <w:bottom w:val="nil"/>
            </w:tcBorders>
          </w:tcPr>
          <w:p>
            <w:pPr>
              <w:pStyle w:val="TableText"/>
              <w:ind w:left="138"/>
              <w:spacing w:before="72" w:line="231" w:lineRule="auto"/>
              <w:rPr/>
            </w:pPr>
            <w:r>
              <w:rPr>
                <w:spacing w:val="5"/>
              </w:rPr>
              <w:t>铜、铅、锌、</w:t>
            </w:r>
          </w:p>
          <w:p>
            <w:pPr>
              <w:pStyle w:val="TableText"/>
              <w:ind w:left="137"/>
              <w:spacing w:before="23" w:line="229" w:lineRule="auto"/>
              <w:rPr/>
            </w:pPr>
            <w:r>
              <w:rPr>
                <w:spacing w:val="5"/>
              </w:rPr>
              <w:t>镉、镍、砷、</w:t>
            </w:r>
          </w:p>
          <w:p>
            <w:pPr>
              <w:pStyle w:val="TableText"/>
              <w:ind w:left="663"/>
              <w:spacing w:before="23" w:line="230" w:lineRule="auto"/>
              <w:rPr/>
            </w:pPr>
            <w:r>
              <w:rPr/>
              <w:t>铬</w:t>
            </w:r>
          </w:p>
        </w:tc>
        <w:tc>
          <w:tcPr>
            <w:tcW w:w="1511" w:type="dxa"/>
            <w:vAlign w:val="top"/>
            <w:vMerge w:val="restart"/>
            <w:tcBorders>
              <w:bottom w:val="nil"/>
            </w:tcBorders>
          </w:tcPr>
          <w:p>
            <w:pPr>
              <w:pStyle w:val="TableText"/>
              <w:ind w:left="139"/>
              <w:spacing w:before="72" w:line="231" w:lineRule="auto"/>
              <w:rPr/>
            </w:pPr>
            <w:r>
              <w:rPr>
                <w:spacing w:val="5"/>
              </w:rPr>
              <w:t>铜、铅、锌、</w:t>
            </w:r>
          </w:p>
          <w:p>
            <w:pPr>
              <w:pStyle w:val="TableText"/>
              <w:ind w:left="138"/>
              <w:spacing w:before="23" w:line="229" w:lineRule="auto"/>
              <w:rPr/>
            </w:pPr>
            <w:r>
              <w:rPr>
                <w:spacing w:val="5"/>
              </w:rPr>
              <w:t>镉、镍、砷、</w:t>
            </w:r>
          </w:p>
          <w:p>
            <w:pPr>
              <w:pStyle w:val="TableText"/>
              <w:ind w:left="664"/>
              <w:spacing w:before="23" w:line="230" w:lineRule="auto"/>
              <w:rPr/>
            </w:pPr>
            <w:r>
              <w:rPr/>
              <w:t>铬</w:t>
            </w:r>
          </w:p>
        </w:tc>
        <w:tc>
          <w:tcPr>
            <w:tcW w:w="1691" w:type="dxa"/>
            <w:vAlign w:val="top"/>
            <w:vMerge w:val="restart"/>
            <w:tcBorders>
              <w:bottom w:val="nil"/>
            </w:tcBorders>
          </w:tcPr>
          <w:p>
            <w:pPr>
              <w:pStyle w:val="TableText"/>
              <w:ind w:left="197" w:right="135" w:hanging="36"/>
              <w:spacing w:before="208" w:line="251" w:lineRule="auto"/>
              <w:rPr/>
            </w:pPr>
            <w:r>
              <w:rPr>
                <w:rFonts w:ascii="Times New Roman" w:hAnsi="Times New Roman" w:eastAsia="Times New Roman" w:cs="Times New Roman"/>
                <w:spacing w:val="2"/>
              </w:rPr>
              <w:t>120°47'50.57"</w:t>
            </w:r>
            <w:r>
              <w:rPr>
                <w:spacing w:val="2"/>
              </w:rPr>
              <w:t>东</w:t>
            </w:r>
            <w:r>
              <w:rPr>
                <w:spacing w:val="12"/>
              </w:rPr>
              <w:t xml:space="preserve"> </w:t>
            </w:r>
            <w:r>
              <w:rPr>
                <w:rFonts w:ascii="Times New Roman" w:hAnsi="Times New Roman" w:eastAsia="Times New Roman" w:cs="Times New Roman"/>
                <w:spacing w:val="2"/>
              </w:rPr>
              <w:t>30°</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18'34.26"</w:t>
            </w:r>
            <w:r>
              <w:rPr>
                <w:spacing w:val="2"/>
              </w:rPr>
              <w:t>北</w:t>
            </w:r>
          </w:p>
        </w:tc>
        <w:tc>
          <w:tcPr>
            <w:tcW w:w="1090" w:type="dxa"/>
            <w:vAlign w:val="top"/>
            <w:vMerge w:val="restart"/>
            <w:tcBorders>
              <w:bottom w:val="nil"/>
            </w:tcBorders>
          </w:tcPr>
          <w:p>
            <w:pPr>
              <w:spacing w:line="279" w:lineRule="auto"/>
              <w:rPr>
                <w:rFonts w:ascii="Arial"/>
                <w:sz w:val="21"/>
              </w:rPr>
            </w:pPr>
            <w:r/>
          </w:p>
          <w:p>
            <w:pPr>
              <w:pStyle w:val="TableText"/>
              <w:ind w:left="459"/>
              <w:spacing w:before="65" w:line="233" w:lineRule="auto"/>
              <w:rPr/>
            </w:pPr>
            <w:r>
              <w:rPr/>
              <w:t>否</w:t>
            </w:r>
          </w:p>
        </w:tc>
        <w:tc>
          <w:tcPr>
            <w:tcW w:w="806" w:type="dxa"/>
            <w:vAlign w:val="top"/>
            <w:vMerge w:val="restart"/>
            <w:tcBorders>
              <w:bottom w:val="nil"/>
            </w:tcBorders>
          </w:tcPr>
          <w:p>
            <w:pPr>
              <w:pStyle w:val="TableText"/>
              <w:ind w:left="213"/>
              <w:spacing w:before="209" w:line="233" w:lineRule="auto"/>
              <w:rPr/>
            </w:pPr>
            <w:r>
              <w:rPr>
                <w:spacing w:val="2"/>
              </w:rPr>
              <w:t>二类</w:t>
            </w:r>
          </w:p>
          <w:p>
            <w:pPr>
              <w:pStyle w:val="TableText"/>
              <w:ind w:left="210"/>
              <w:spacing w:before="19" w:line="229" w:lineRule="auto"/>
              <w:rPr/>
            </w:pPr>
            <w:r>
              <w:rPr>
                <w:spacing w:val="-1"/>
              </w:rPr>
              <w:t>单元</w:t>
            </w:r>
          </w:p>
        </w:tc>
        <w:tc>
          <w:tcPr>
            <w:tcW w:w="1428" w:type="dxa"/>
            <w:vAlign w:val="top"/>
          </w:tcPr>
          <w:p>
            <w:pPr>
              <w:pStyle w:val="TableText"/>
              <w:ind w:left="339"/>
              <w:spacing w:before="170"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ET</w:t>
            </w:r>
            <w:r>
              <w:rPr>
                <w:rFonts w:ascii="Times New Roman" w:hAnsi="Times New Roman" w:eastAsia="Times New Roman" w:cs="Times New Roman"/>
                <w:spacing w:val="6"/>
              </w:rPr>
              <w:t>1</w:t>
            </w:r>
          </w:p>
        </w:tc>
        <w:tc>
          <w:tcPr>
            <w:tcW w:w="1709" w:type="dxa"/>
            <w:vAlign w:val="top"/>
          </w:tcPr>
          <w:p>
            <w:pPr>
              <w:pStyle w:val="TableText"/>
              <w:ind w:left="194" w:right="140" w:hanging="30"/>
              <w:spacing w:before="37" w:line="232" w:lineRule="auto"/>
              <w:rPr/>
            </w:pPr>
            <w:r>
              <w:rPr>
                <w:rFonts w:ascii="Times New Roman" w:hAnsi="Times New Roman" w:eastAsia="Times New Roman" w:cs="Times New Roman"/>
                <w:spacing w:val="2"/>
              </w:rPr>
              <w:t>119°45′37.05″</w:t>
            </w:r>
            <w:r>
              <w:rPr>
                <w:spacing w:val="2"/>
              </w:rPr>
              <w:t>东</w:t>
            </w:r>
            <w:r>
              <w:rPr>
                <w:spacing w:val="12"/>
              </w:rPr>
              <w:t xml:space="preserve"> </w:t>
            </w:r>
            <w:r>
              <w:rPr>
                <w:rFonts w:ascii="Times New Roman" w:hAnsi="Times New Roman" w:eastAsia="Times New Roman" w:cs="Times New Roman"/>
                <w:spacing w:val="4"/>
              </w:rPr>
              <w:t>29°50′22.96″</w:t>
            </w:r>
            <w:r>
              <w:rPr>
                <w:spacing w:val="4"/>
              </w:rPr>
              <w:t>北</w:t>
            </w:r>
          </w:p>
        </w:tc>
      </w:tr>
      <w:tr>
        <w:trPr>
          <w:trHeight w:val="347" w:hRule="atLeast"/>
        </w:trPr>
        <w:tc>
          <w:tcPr>
            <w:tcW w:w="682" w:type="dxa"/>
            <w:vAlign w:val="top"/>
            <w:vMerge w:val="continue"/>
            <w:tcBorders>
              <w:top w:val="nil"/>
            </w:tcBorders>
          </w:tcPr>
          <w:p>
            <w:pPr>
              <w:rPr>
                <w:rFonts w:ascii="Arial"/>
                <w:sz w:val="21"/>
              </w:rPr>
            </w:pPr>
            <w:r/>
          </w:p>
        </w:tc>
        <w:tc>
          <w:tcPr>
            <w:tcW w:w="2305" w:type="dxa"/>
            <w:vAlign w:val="top"/>
            <w:vMerge w:val="continue"/>
            <w:tcBorders>
              <w:top w:val="nil"/>
            </w:tcBorders>
          </w:tcPr>
          <w:p>
            <w:pPr>
              <w:rPr>
                <w:rFonts w:ascii="Arial"/>
                <w:sz w:val="21"/>
              </w:rPr>
            </w:pPr>
            <w:r/>
          </w:p>
        </w:tc>
        <w:tc>
          <w:tcPr>
            <w:tcW w:w="1535"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691"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1428" w:type="dxa"/>
            <w:vAlign w:val="top"/>
          </w:tcPr>
          <w:p>
            <w:pPr>
              <w:pStyle w:val="TableText"/>
              <w:ind w:left="239"/>
              <w:spacing w:before="69" w:line="231" w:lineRule="auto"/>
              <w:rPr>
                <w:rFonts w:ascii="Times New Roman" w:hAnsi="Times New Roman" w:eastAsia="Times New Roman" w:cs="Times New Roman"/>
              </w:rPr>
            </w:pPr>
            <w:r>
              <w:rPr>
                <w:spacing w:val="7"/>
              </w:rPr>
              <w:t>地下水</w:t>
            </w:r>
            <w:r>
              <w:rPr>
                <w:rFonts w:ascii="Times New Roman" w:hAnsi="Times New Roman" w:eastAsia="Times New Roman" w:cs="Times New Roman"/>
              </w:rPr>
              <w:t>ES</w:t>
            </w:r>
            <w:r>
              <w:rPr>
                <w:rFonts w:ascii="Times New Roman" w:hAnsi="Times New Roman" w:eastAsia="Times New Roman" w:cs="Times New Roman"/>
                <w:spacing w:val="7"/>
              </w:rPr>
              <w:t>1</w:t>
            </w:r>
          </w:p>
        </w:tc>
        <w:tc>
          <w:tcPr>
            <w:tcW w:w="1709" w:type="dxa"/>
            <w:vAlign w:val="top"/>
          </w:tcPr>
          <w:p>
            <w:pPr>
              <w:pStyle w:val="TableText"/>
              <w:ind w:left="169"/>
              <w:spacing w:before="69" w:line="233" w:lineRule="auto"/>
              <w:rPr/>
            </w:pPr>
            <w:r>
              <w:rPr>
                <w:rFonts w:ascii="Times New Roman" w:hAnsi="Times New Roman" w:eastAsia="Times New Roman" w:cs="Times New Roman"/>
                <w:spacing w:val="2"/>
              </w:rPr>
              <w:t>119°45'36.40"</w:t>
            </w:r>
            <w:r>
              <w:rPr>
                <w:spacing w:val="2"/>
              </w:rPr>
              <w:t>东</w:t>
            </w:r>
          </w:p>
        </w:tc>
      </w:tr>
    </w:tbl>
    <w:p>
      <w:pPr>
        <w:spacing w:line="156" w:lineRule="exact"/>
        <w:rPr>
          <w:rFonts w:ascii="Arial"/>
          <w:sz w:val="13"/>
        </w:rPr>
      </w:pPr>
      <w:r/>
    </w:p>
    <w:p>
      <w:pPr>
        <w:spacing w:line="156" w:lineRule="exact"/>
        <w:sectPr>
          <w:headerReference w:type="default" r:id="rId160"/>
          <w:footerReference w:type="default" r:id="rId161"/>
          <w:pgSz w:w="16839" w:h="11906"/>
          <w:pgMar w:top="968" w:right="1327" w:bottom="937" w:left="1237" w:header="661" w:footer="778" w:gutter="0"/>
        </w:sectPr>
        <w:rPr>
          <w:rFonts w:ascii="Arial" w:hAnsi="Arial" w:eastAsia="Arial" w:cs="Arial"/>
          <w:sz w:val="13"/>
          <w:szCs w:val="13"/>
        </w:rPr>
      </w:pPr>
    </w:p>
    <w:p>
      <w:pPr>
        <w:spacing w:line="111" w:lineRule="exact"/>
        <w:rPr/>
      </w:pPr>
      <w:r/>
    </w:p>
    <w:tbl>
      <w:tblPr>
        <w:tblStyle w:val="TableNormal"/>
        <w:tblW w:w="1426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2"/>
        <w:gridCol w:w="2305"/>
        <w:gridCol w:w="1535"/>
        <w:gridCol w:w="1511"/>
        <w:gridCol w:w="1511"/>
        <w:gridCol w:w="1691"/>
        <w:gridCol w:w="1090"/>
        <w:gridCol w:w="806"/>
        <w:gridCol w:w="1428"/>
        <w:gridCol w:w="1709"/>
      </w:tblGrid>
      <w:tr>
        <w:trPr>
          <w:trHeight w:val="349" w:hRule="atLeast"/>
        </w:trPr>
        <w:tc>
          <w:tcPr>
            <w:tcW w:w="2987" w:type="dxa"/>
            <w:vAlign w:val="top"/>
            <w:gridSpan w:val="2"/>
          </w:tcPr>
          <w:p>
            <w:pPr>
              <w:pStyle w:val="TableText"/>
              <w:ind w:left="1086"/>
              <w:spacing w:before="68" w:line="229" w:lineRule="auto"/>
              <w:rPr/>
            </w:pPr>
            <w:r>
              <w:rPr>
                <w:spacing w:val="5"/>
              </w:rPr>
              <w:t>企业名称</w:t>
            </w:r>
          </w:p>
        </w:tc>
        <w:tc>
          <w:tcPr>
            <w:tcW w:w="4557" w:type="dxa"/>
            <w:vAlign w:val="top"/>
            <w:gridSpan w:val="3"/>
          </w:tcPr>
          <w:p>
            <w:pPr>
              <w:pStyle w:val="TableText"/>
              <w:ind w:left="821"/>
              <w:spacing w:before="68" w:line="231" w:lineRule="auto"/>
              <w:rPr/>
            </w:pPr>
            <w:r>
              <w:rPr>
                <w:spacing w:val="8"/>
              </w:rPr>
              <w:t>浙江环益资源利用股份有限公司</w:t>
            </w:r>
          </w:p>
        </w:tc>
        <w:tc>
          <w:tcPr>
            <w:tcW w:w="1691" w:type="dxa"/>
            <w:vAlign w:val="top"/>
          </w:tcPr>
          <w:p>
            <w:pPr>
              <w:pStyle w:val="TableText"/>
              <w:ind w:left="439"/>
              <w:spacing w:before="68" w:line="229" w:lineRule="auto"/>
              <w:rPr/>
            </w:pPr>
            <w:r>
              <w:rPr>
                <w:spacing w:val="5"/>
              </w:rPr>
              <w:t>所属行业</w:t>
            </w:r>
          </w:p>
        </w:tc>
        <w:tc>
          <w:tcPr>
            <w:tcW w:w="5033" w:type="dxa"/>
            <w:vAlign w:val="top"/>
            <w:gridSpan w:val="4"/>
          </w:tcPr>
          <w:p>
            <w:pPr>
              <w:pStyle w:val="TableText"/>
              <w:ind w:left="1092"/>
              <w:spacing w:before="68" w:line="229" w:lineRule="auto"/>
              <w:rPr>
                <w:rFonts w:ascii="Times New Roman" w:hAnsi="Times New Roman" w:eastAsia="Times New Roman" w:cs="Times New Roman"/>
              </w:rPr>
            </w:pPr>
            <w:r>
              <w:rPr>
                <w:spacing w:val="7"/>
              </w:rPr>
              <w:t>金属废料和碎屑加工处理</w:t>
            </w:r>
            <w:r>
              <w:rPr>
                <w:rFonts w:ascii="Times New Roman" w:hAnsi="Times New Roman" w:eastAsia="Times New Roman" w:cs="Times New Roman"/>
                <w:spacing w:val="7"/>
              </w:rPr>
              <w:t>C4210</w:t>
            </w:r>
          </w:p>
        </w:tc>
      </w:tr>
      <w:tr>
        <w:trPr>
          <w:trHeight w:val="549" w:hRule="atLeast"/>
        </w:trPr>
        <w:tc>
          <w:tcPr>
            <w:tcW w:w="682" w:type="dxa"/>
            <w:vAlign w:val="top"/>
          </w:tcPr>
          <w:p>
            <w:pPr>
              <w:pStyle w:val="TableText"/>
              <w:ind w:left="141"/>
              <w:spacing w:before="167" w:line="231" w:lineRule="auto"/>
              <w:rPr/>
            </w:pPr>
            <w:r>
              <w:rPr>
                <w:spacing w:val="2"/>
              </w:rPr>
              <w:t>序号</w:t>
            </w:r>
          </w:p>
        </w:tc>
        <w:tc>
          <w:tcPr>
            <w:tcW w:w="2305" w:type="dxa"/>
            <w:vAlign w:val="top"/>
          </w:tcPr>
          <w:p>
            <w:pPr>
              <w:pStyle w:val="TableText"/>
              <w:ind w:left="129" w:right="110" w:firstLine="91"/>
              <w:spacing w:before="32" w:line="234" w:lineRule="auto"/>
              <w:rPr/>
            </w:pPr>
            <w:r>
              <w:rPr>
                <w:spacing w:val="7"/>
              </w:rPr>
              <w:t>单元内需要监测的重</w:t>
            </w:r>
            <w:r>
              <w:rPr>
                <w:spacing w:val="3"/>
              </w:rPr>
              <w:t xml:space="preserve">  </w:t>
            </w:r>
            <w:r>
              <w:rPr>
                <w:spacing w:val="6"/>
              </w:rPr>
              <w:t>点场所、设施设备名称</w:t>
            </w:r>
          </w:p>
        </w:tc>
        <w:tc>
          <w:tcPr>
            <w:tcW w:w="1535" w:type="dxa"/>
            <w:vAlign w:val="top"/>
          </w:tcPr>
          <w:p>
            <w:pPr>
              <w:pStyle w:val="TableText"/>
              <w:ind w:left="571"/>
              <w:spacing w:before="168" w:line="230" w:lineRule="auto"/>
              <w:rPr/>
            </w:pPr>
            <w:r>
              <w:rPr>
                <w:spacing w:val="-1"/>
              </w:rPr>
              <w:t>功能</w:t>
            </w:r>
          </w:p>
        </w:tc>
        <w:tc>
          <w:tcPr>
            <w:tcW w:w="1511" w:type="dxa"/>
            <w:vAlign w:val="top"/>
          </w:tcPr>
          <w:p>
            <w:pPr>
              <w:pStyle w:val="TableText"/>
              <w:ind w:left="346" w:right="125" w:hanging="207"/>
              <w:spacing w:before="32" w:line="234" w:lineRule="auto"/>
              <w:rPr/>
            </w:pPr>
            <w:r>
              <w:rPr>
                <w:spacing w:val="6"/>
              </w:rPr>
              <w:t>涉及有毒有害</w:t>
            </w:r>
            <w:r>
              <w:rPr>
                <w:spacing w:val="4"/>
              </w:rPr>
              <w:t xml:space="preserve"> </w:t>
            </w:r>
            <w:r>
              <w:rPr>
                <w:spacing w:val="5"/>
              </w:rPr>
              <w:t>物质清单</w:t>
            </w:r>
          </w:p>
        </w:tc>
        <w:tc>
          <w:tcPr>
            <w:tcW w:w="1511" w:type="dxa"/>
            <w:vAlign w:val="top"/>
          </w:tcPr>
          <w:p>
            <w:pPr>
              <w:pStyle w:val="TableText"/>
              <w:ind w:left="249"/>
              <w:spacing w:before="168" w:line="229" w:lineRule="auto"/>
              <w:rPr/>
            </w:pPr>
            <w:r>
              <w:rPr>
                <w:spacing w:val="5"/>
              </w:rPr>
              <w:t>关注污染物</w:t>
            </w:r>
          </w:p>
        </w:tc>
        <w:tc>
          <w:tcPr>
            <w:tcW w:w="1691" w:type="dxa"/>
            <w:vAlign w:val="top"/>
          </w:tcPr>
          <w:p>
            <w:pPr>
              <w:pStyle w:val="TableText"/>
              <w:ind w:left="438"/>
              <w:spacing w:before="167" w:line="231" w:lineRule="auto"/>
              <w:rPr/>
            </w:pPr>
            <w:r>
              <w:rPr>
                <w:spacing w:val="6"/>
              </w:rPr>
              <w:t>设施坐标</w:t>
            </w:r>
          </w:p>
        </w:tc>
        <w:tc>
          <w:tcPr>
            <w:tcW w:w="1090" w:type="dxa"/>
            <w:vAlign w:val="top"/>
          </w:tcPr>
          <w:p>
            <w:pPr>
              <w:pStyle w:val="TableText"/>
              <w:ind w:left="138"/>
              <w:spacing w:before="31" w:line="232" w:lineRule="auto"/>
              <w:rPr/>
            </w:pPr>
            <w:r>
              <w:rPr>
                <w:spacing w:val="5"/>
              </w:rPr>
              <w:t>是否为隐</w:t>
            </w:r>
          </w:p>
          <w:p>
            <w:pPr>
              <w:pStyle w:val="TableText"/>
              <w:ind w:left="142"/>
              <w:spacing w:before="22" w:line="216" w:lineRule="auto"/>
              <w:rPr/>
            </w:pPr>
            <w:r>
              <w:rPr>
                <w:spacing w:val="4"/>
              </w:rPr>
              <w:t>蔽性设施</w:t>
            </w:r>
          </w:p>
        </w:tc>
        <w:tc>
          <w:tcPr>
            <w:tcW w:w="806" w:type="dxa"/>
            <w:vAlign w:val="top"/>
          </w:tcPr>
          <w:p>
            <w:pPr>
              <w:pStyle w:val="TableText"/>
              <w:ind w:left="210"/>
              <w:spacing w:before="31" w:line="229" w:lineRule="auto"/>
              <w:rPr/>
            </w:pPr>
            <w:r>
              <w:rPr>
                <w:spacing w:val="-1"/>
              </w:rPr>
              <w:t>单元</w:t>
            </w:r>
          </w:p>
          <w:p>
            <w:pPr>
              <w:pStyle w:val="TableText"/>
              <w:ind w:left="209"/>
              <w:spacing w:before="25" w:line="216" w:lineRule="auto"/>
              <w:rPr/>
            </w:pPr>
            <w:r>
              <w:rPr/>
              <w:t>类别</w:t>
            </w:r>
          </w:p>
        </w:tc>
        <w:tc>
          <w:tcPr>
            <w:tcW w:w="3137" w:type="dxa"/>
            <w:vAlign w:val="top"/>
            <w:gridSpan w:val="2"/>
          </w:tcPr>
          <w:p>
            <w:pPr>
              <w:pStyle w:val="TableText"/>
              <w:ind w:left="214"/>
              <w:spacing w:before="31" w:line="229" w:lineRule="auto"/>
              <w:rPr/>
            </w:pPr>
            <w:r>
              <w:rPr>
                <w:spacing w:val="8"/>
              </w:rPr>
              <w:t>该单元对应的监测点位编号及</w:t>
            </w:r>
          </w:p>
          <w:p>
            <w:pPr>
              <w:pStyle w:val="TableText"/>
              <w:ind w:left="1373"/>
              <w:spacing w:before="25" w:line="216" w:lineRule="auto"/>
              <w:rPr/>
            </w:pPr>
            <w:r>
              <w:rPr>
                <w:spacing w:val="-1"/>
              </w:rPr>
              <w:t>坐标</w:t>
            </w:r>
          </w:p>
        </w:tc>
      </w:tr>
      <w:tr>
        <w:trPr>
          <w:trHeight w:val="345" w:hRule="atLeast"/>
        </w:trPr>
        <w:tc>
          <w:tcPr>
            <w:tcW w:w="682" w:type="dxa"/>
            <w:vAlign w:val="top"/>
          </w:tcPr>
          <w:p>
            <w:pPr>
              <w:rPr>
                <w:rFonts w:ascii="Arial"/>
                <w:sz w:val="21"/>
              </w:rPr>
            </w:pPr>
            <w:r/>
          </w:p>
        </w:tc>
        <w:tc>
          <w:tcPr>
            <w:tcW w:w="2305" w:type="dxa"/>
            <w:vAlign w:val="top"/>
          </w:tcPr>
          <w:p>
            <w:pPr>
              <w:rPr>
                <w:rFonts w:ascii="Arial"/>
                <w:sz w:val="21"/>
              </w:rPr>
            </w:pPr>
            <w:r/>
          </w:p>
        </w:tc>
        <w:tc>
          <w:tcPr>
            <w:tcW w:w="1535" w:type="dxa"/>
            <w:vAlign w:val="top"/>
          </w:tcPr>
          <w:p>
            <w:pPr>
              <w:pStyle w:val="TableText"/>
              <w:ind w:left="254"/>
              <w:spacing w:before="31" w:line="229" w:lineRule="auto"/>
              <w:rPr/>
            </w:pPr>
            <w:r>
              <w:rPr>
                <w:spacing w:val="6"/>
              </w:rPr>
              <w:t>项目的原料</w:t>
            </w:r>
          </w:p>
        </w:tc>
        <w:tc>
          <w:tcPr>
            <w:tcW w:w="1511" w:type="dxa"/>
            <w:vAlign w:val="top"/>
          </w:tcPr>
          <w:p>
            <w:pPr>
              <w:rPr>
                <w:rFonts w:ascii="Arial"/>
                <w:sz w:val="21"/>
              </w:rPr>
            </w:pPr>
            <w:r/>
          </w:p>
        </w:tc>
        <w:tc>
          <w:tcPr>
            <w:tcW w:w="1511" w:type="dxa"/>
            <w:vAlign w:val="top"/>
          </w:tcPr>
          <w:p>
            <w:pPr>
              <w:rPr>
                <w:rFonts w:ascii="Arial"/>
                <w:sz w:val="21"/>
              </w:rPr>
            </w:pPr>
            <w:r/>
          </w:p>
        </w:tc>
        <w:tc>
          <w:tcPr>
            <w:tcW w:w="1691" w:type="dxa"/>
            <w:vAlign w:val="top"/>
          </w:tcPr>
          <w:p>
            <w:pPr>
              <w:rPr>
                <w:rFonts w:ascii="Arial"/>
                <w:sz w:val="21"/>
              </w:rPr>
            </w:pPr>
            <w:r/>
          </w:p>
        </w:tc>
        <w:tc>
          <w:tcPr>
            <w:tcW w:w="1090" w:type="dxa"/>
            <w:vAlign w:val="top"/>
          </w:tcPr>
          <w:p>
            <w:pPr>
              <w:rPr>
                <w:rFonts w:ascii="Arial"/>
                <w:sz w:val="21"/>
              </w:rPr>
            </w:pPr>
            <w:r/>
          </w:p>
        </w:tc>
        <w:tc>
          <w:tcPr>
            <w:tcW w:w="806" w:type="dxa"/>
            <w:vAlign w:val="top"/>
          </w:tcPr>
          <w:p>
            <w:pPr>
              <w:rPr>
                <w:rFonts w:ascii="Arial"/>
                <w:sz w:val="21"/>
              </w:rPr>
            </w:pPr>
            <w:r/>
          </w:p>
        </w:tc>
        <w:tc>
          <w:tcPr>
            <w:tcW w:w="1428" w:type="dxa"/>
            <w:vAlign w:val="top"/>
          </w:tcPr>
          <w:p>
            <w:pPr>
              <w:rPr>
                <w:rFonts w:ascii="Arial"/>
                <w:sz w:val="21"/>
              </w:rPr>
            </w:pPr>
            <w:r/>
          </w:p>
        </w:tc>
        <w:tc>
          <w:tcPr>
            <w:tcW w:w="1709" w:type="dxa"/>
            <w:vAlign w:val="top"/>
          </w:tcPr>
          <w:p>
            <w:pPr>
              <w:pStyle w:val="TableText"/>
              <w:ind w:left="199"/>
              <w:spacing w:before="31" w:line="231" w:lineRule="auto"/>
              <w:rPr/>
            </w:pPr>
            <w:r>
              <w:rPr>
                <w:rFonts w:ascii="Times New Roman" w:hAnsi="Times New Roman" w:eastAsia="Times New Roman" w:cs="Times New Roman"/>
                <w:spacing w:val="4"/>
              </w:rPr>
              <w:t>29°50'23.94"</w:t>
            </w:r>
            <w:r>
              <w:rPr>
                <w:spacing w:val="4"/>
              </w:rPr>
              <w:t>北</w:t>
            </w:r>
          </w:p>
        </w:tc>
      </w:tr>
      <w:tr>
        <w:trPr>
          <w:trHeight w:val="549" w:hRule="atLeast"/>
        </w:trPr>
        <w:tc>
          <w:tcPr>
            <w:tcW w:w="682" w:type="dxa"/>
            <w:vAlign w:val="top"/>
            <w:vMerge w:val="restart"/>
            <w:tcBorders>
              <w:bottom w:val="nil"/>
            </w:tcBorders>
          </w:tcPr>
          <w:p>
            <w:pPr>
              <w:spacing w:line="258" w:lineRule="auto"/>
              <w:rPr>
                <w:rFonts w:ascii="Arial"/>
                <w:sz w:val="21"/>
              </w:rPr>
            </w:pPr>
            <w:r/>
          </w:p>
          <w:p>
            <w:pPr>
              <w:pStyle w:val="TableText"/>
              <w:ind w:left="146"/>
              <w:spacing w:before="65" w:line="229" w:lineRule="auto"/>
              <w:rPr/>
            </w:pPr>
            <w:r>
              <w:rPr>
                <w:spacing w:val="-1"/>
              </w:rPr>
              <w:t>单元</w:t>
            </w:r>
          </w:p>
          <w:p>
            <w:pPr>
              <w:ind w:left="282"/>
              <w:spacing w:before="4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F</w:t>
            </w:r>
          </w:p>
        </w:tc>
        <w:tc>
          <w:tcPr>
            <w:tcW w:w="2305" w:type="dxa"/>
            <w:vAlign w:val="top"/>
            <w:vMerge w:val="restart"/>
            <w:tcBorders>
              <w:bottom w:val="nil"/>
            </w:tcBorders>
          </w:tcPr>
          <w:p>
            <w:pPr>
              <w:spacing w:line="243" w:lineRule="auto"/>
              <w:rPr>
                <w:rFonts w:ascii="Arial"/>
                <w:sz w:val="21"/>
              </w:rPr>
            </w:pPr>
            <w:r/>
          </w:p>
          <w:p>
            <w:pPr>
              <w:pStyle w:val="TableText"/>
              <w:ind w:left="742"/>
              <w:spacing w:before="65" w:line="228" w:lineRule="auto"/>
              <w:rPr/>
            </w:pPr>
            <w:r>
              <w:rPr>
                <w:spacing w:val="5"/>
              </w:rPr>
              <w:t>制球车间</w:t>
            </w:r>
          </w:p>
          <w:p>
            <w:pPr>
              <w:pStyle w:val="TableText"/>
              <w:ind w:left="431"/>
              <w:spacing w:before="24" w:line="229" w:lineRule="auto"/>
              <w:rPr/>
            </w:pPr>
            <w:r>
              <w:rPr>
                <w:spacing w:val="5"/>
              </w:rPr>
              <w:t>（原铜泥堆场）</w:t>
            </w:r>
          </w:p>
        </w:tc>
        <w:tc>
          <w:tcPr>
            <w:tcW w:w="1535" w:type="dxa"/>
            <w:vAlign w:val="top"/>
            <w:vMerge w:val="restart"/>
            <w:tcBorders>
              <w:bottom w:val="nil"/>
            </w:tcBorders>
          </w:tcPr>
          <w:p>
            <w:pPr>
              <w:pStyle w:val="TableText"/>
              <w:ind w:left="147"/>
              <w:spacing w:before="171" w:line="228" w:lineRule="auto"/>
              <w:rPr/>
            </w:pPr>
            <w:r>
              <w:rPr>
                <w:spacing w:val="7"/>
              </w:rPr>
              <w:t>现状为制球车</w:t>
            </w:r>
          </w:p>
          <w:p>
            <w:pPr>
              <w:pStyle w:val="TableText"/>
              <w:ind w:left="267" w:right="138" w:hanging="100"/>
              <w:spacing w:before="26" w:line="250" w:lineRule="auto"/>
              <w:rPr/>
            </w:pPr>
            <w:r>
              <w:rPr>
                <w:spacing w:val="4"/>
              </w:rPr>
              <w:t>间，之前为临</w:t>
            </w:r>
            <w:r>
              <w:rPr/>
              <w:t xml:space="preserve"> </w:t>
            </w:r>
            <w:r>
              <w:rPr>
                <w:spacing w:val="4"/>
              </w:rPr>
              <w:t>时铜泥堆场</w:t>
            </w:r>
          </w:p>
        </w:tc>
        <w:tc>
          <w:tcPr>
            <w:tcW w:w="1511" w:type="dxa"/>
            <w:vAlign w:val="top"/>
            <w:vMerge w:val="restart"/>
            <w:tcBorders>
              <w:bottom w:val="nil"/>
            </w:tcBorders>
          </w:tcPr>
          <w:p>
            <w:pPr>
              <w:pStyle w:val="TableText"/>
              <w:ind w:left="138"/>
              <w:spacing w:before="171" w:line="231" w:lineRule="auto"/>
              <w:rPr/>
            </w:pPr>
            <w:r>
              <w:rPr>
                <w:spacing w:val="5"/>
              </w:rPr>
              <w:t>铜、铅、锌、</w:t>
            </w:r>
          </w:p>
          <w:p>
            <w:pPr>
              <w:pStyle w:val="TableText"/>
              <w:ind w:left="137"/>
              <w:spacing w:before="23" w:line="229" w:lineRule="auto"/>
              <w:rPr/>
            </w:pPr>
            <w:r>
              <w:rPr>
                <w:spacing w:val="5"/>
              </w:rPr>
              <w:t>镉、镍、砷、</w:t>
            </w:r>
          </w:p>
          <w:p>
            <w:pPr>
              <w:pStyle w:val="TableText"/>
              <w:ind w:left="663"/>
              <w:spacing w:before="23" w:line="230" w:lineRule="auto"/>
              <w:rPr/>
            </w:pPr>
            <w:r>
              <w:rPr/>
              <w:t>铬</w:t>
            </w:r>
          </w:p>
        </w:tc>
        <w:tc>
          <w:tcPr>
            <w:tcW w:w="1511" w:type="dxa"/>
            <w:vAlign w:val="top"/>
            <w:vMerge w:val="restart"/>
            <w:tcBorders>
              <w:bottom w:val="nil"/>
            </w:tcBorders>
          </w:tcPr>
          <w:p>
            <w:pPr>
              <w:pStyle w:val="TableText"/>
              <w:ind w:left="139"/>
              <w:spacing w:before="171" w:line="231" w:lineRule="auto"/>
              <w:rPr/>
            </w:pPr>
            <w:r>
              <w:rPr>
                <w:spacing w:val="5"/>
              </w:rPr>
              <w:t>铜、铅、锌、</w:t>
            </w:r>
          </w:p>
          <w:p>
            <w:pPr>
              <w:pStyle w:val="TableText"/>
              <w:ind w:left="138"/>
              <w:spacing w:before="23" w:line="229" w:lineRule="auto"/>
              <w:rPr/>
            </w:pPr>
            <w:r>
              <w:rPr>
                <w:spacing w:val="5"/>
              </w:rPr>
              <w:t>镉、镍、砷、</w:t>
            </w:r>
          </w:p>
          <w:p>
            <w:pPr>
              <w:pStyle w:val="TableText"/>
              <w:ind w:left="664"/>
              <w:spacing w:before="23" w:line="230" w:lineRule="auto"/>
              <w:rPr/>
            </w:pPr>
            <w:r>
              <w:rPr/>
              <w:t>铬</w:t>
            </w:r>
          </w:p>
        </w:tc>
        <w:tc>
          <w:tcPr>
            <w:tcW w:w="1691" w:type="dxa"/>
            <w:vAlign w:val="top"/>
            <w:vMerge w:val="restart"/>
            <w:tcBorders>
              <w:bottom w:val="nil"/>
            </w:tcBorders>
          </w:tcPr>
          <w:p>
            <w:pPr>
              <w:spacing w:line="243" w:lineRule="auto"/>
              <w:rPr>
                <w:rFonts w:ascii="Arial"/>
                <w:sz w:val="21"/>
              </w:rPr>
            </w:pPr>
            <w:r/>
          </w:p>
          <w:p>
            <w:pPr>
              <w:pStyle w:val="TableText"/>
              <w:ind w:left="197" w:right="135" w:hanging="36"/>
              <w:spacing w:before="65" w:line="251" w:lineRule="auto"/>
              <w:rPr/>
            </w:pPr>
            <w:r>
              <w:rPr>
                <w:rFonts w:ascii="Times New Roman" w:hAnsi="Times New Roman" w:eastAsia="Times New Roman" w:cs="Times New Roman"/>
                <w:spacing w:val="2"/>
              </w:rPr>
              <w:t>120°47'48.33"</w:t>
            </w:r>
            <w:r>
              <w:rPr>
                <w:spacing w:val="2"/>
              </w:rPr>
              <w:t>东</w:t>
            </w:r>
            <w:r>
              <w:rPr>
                <w:spacing w:val="12"/>
              </w:rPr>
              <w:t xml:space="preserve"> </w:t>
            </w:r>
            <w:r>
              <w:rPr>
                <w:rFonts w:ascii="Times New Roman" w:hAnsi="Times New Roman" w:eastAsia="Times New Roman" w:cs="Times New Roman"/>
                <w:spacing w:val="2"/>
              </w:rPr>
              <w:t>30°</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18'21.92"</w:t>
            </w:r>
            <w:r>
              <w:rPr>
                <w:spacing w:val="2"/>
              </w:rPr>
              <w:t>北</w:t>
            </w:r>
          </w:p>
        </w:tc>
        <w:tc>
          <w:tcPr>
            <w:tcW w:w="1090" w:type="dxa"/>
            <w:vAlign w:val="top"/>
            <w:vMerge w:val="restart"/>
            <w:tcBorders>
              <w:bottom w:val="nil"/>
            </w:tcBorders>
          </w:tcPr>
          <w:p>
            <w:pPr>
              <w:spacing w:line="377" w:lineRule="auto"/>
              <w:rPr>
                <w:rFonts w:ascii="Arial"/>
                <w:sz w:val="21"/>
              </w:rPr>
            </w:pPr>
            <w:r/>
          </w:p>
          <w:p>
            <w:pPr>
              <w:pStyle w:val="TableText"/>
              <w:ind w:left="459"/>
              <w:spacing w:before="65" w:line="233" w:lineRule="auto"/>
              <w:rPr/>
            </w:pPr>
            <w:r>
              <w:rPr/>
              <w:t>否</w:t>
            </w:r>
          </w:p>
        </w:tc>
        <w:tc>
          <w:tcPr>
            <w:tcW w:w="806" w:type="dxa"/>
            <w:vAlign w:val="top"/>
            <w:vMerge w:val="restart"/>
            <w:tcBorders>
              <w:bottom w:val="nil"/>
            </w:tcBorders>
          </w:tcPr>
          <w:p>
            <w:pPr>
              <w:spacing w:line="243" w:lineRule="auto"/>
              <w:rPr>
                <w:rFonts w:ascii="Arial"/>
                <w:sz w:val="21"/>
              </w:rPr>
            </w:pPr>
            <w:r/>
          </w:p>
          <w:p>
            <w:pPr>
              <w:pStyle w:val="TableText"/>
              <w:ind w:left="213"/>
              <w:spacing w:before="65" w:line="233" w:lineRule="auto"/>
              <w:rPr/>
            </w:pPr>
            <w:r>
              <w:rPr>
                <w:spacing w:val="2"/>
              </w:rPr>
              <w:t>二类</w:t>
            </w:r>
          </w:p>
          <w:p>
            <w:pPr>
              <w:pStyle w:val="TableText"/>
              <w:ind w:left="210"/>
              <w:spacing w:before="19" w:line="229" w:lineRule="auto"/>
              <w:rPr/>
            </w:pPr>
            <w:r>
              <w:rPr>
                <w:spacing w:val="-1"/>
              </w:rPr>
              <w:t>单元</w:t>
            </w:r>
          </w:p>
        </w:tc>
        <w:tc>
          <w:tcPr>
            <w:tcW w:w="1428" w:type="dxa"/>
            <w:vAlign w:val="top"/>
          </w:tcPr>
          <w:p>
            <w:pPr>
              <w:pStyle w:val="TableText"/>
              <w:ind w:left="343"/>
              <w:spacing w:before="166"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FT</w:t>
            </w:r>
            <w:r>
              <w:rPr>
                <w:rFonts w:ascii="Times New Roman" w:hAnsi="Times New Roman" w:eastAsia="Times New Roman" w:cs="Times New Roman"/>
                <w:spacing w:val="6"/>
              </w:rPr>
              <w:t>1</w:t>
            </w:r>
          </w:p>
        </w:tc>
        <w:tc>
          <w:tcPr>
            <w:tcW w:w="1709" w:type="dxa"/>
            <w:vAlign w:val="top"/>
          </w:tcPr>
          <w:p>
            <w:pPr>
              <w:pStyle w:val="TableText"/>
              <w:ind w:left="194" w:right="140" w:hanging="30"/>
              <w:spacing w:before="32" w:line="234" w:lineRule="auto"/>
              <w:rPr/>
            </w:pPr>
            <w:r>
              <w:rPr>
                <w:rFonts w:ascii="Times New Roman" w:hAnsi="Times New Roman" w:eastAsia="Times New Roman" w:cs="Times New Roman"/>
                <w:spacing w:val="2"/>
              </w:rPr>
              <w:t>119°45′36.40″</w:t>
            </w:r>
            <w:r>
              <w:rPr>
                <w:spacing w:val="2"/>
              </w:rPr>
              <w:t>东</w:t>
            </w:r>
            <w:r>
              <w:rPr>
                <w:spacing w:val="12"/>
              </w:rPr>
              <w:t xml:space="preserve"> </w:t>
            </w:r>
            <w:r>
              <w:rPr>
                <w:rFonts w:ascii="Times New Roman" w:hAnsi="Times New Roman" w:eastAsia="Times New Roman" w:cs="Times New Roman"/>
                <w:spacing w:val="4"/>
              </w:rPr>
              <w:t>29°50′23.39″</w:t>
            </w:r>
            <w:r>
              <w:rPr>
                <w:spacing w:val="4"/>
              </w:rPr>
              <w:t>北</w:t>
            </w:r>
          </w:p>
        </w:tc>
      </w:tr>
      <w:tr>
        <w:trPr>
          <w:trHeight w:val="549" w:hRule="atLeast"/>
        </w:trPr>
        <w:tc>
          <w:tcPr>
            <w:tcW w:w="682" w:type="dxa"/>
            <w:vAlign w:val="top"/>
            <w:vMerge w:val="continue"/>
            <w:tcBorders>
              <w:top w:val="nil"/>
            </w:tcBorders>
          </w:tcPr>
          <w:p>
            <w:pPr>
              <w:rPr>
                <w:rFonts w:ascii="Arial"/>
                <w:sz w:val="21"/>
              </w:rPr>
            </w:pPr>
            <w:r/>
          </w:p>
        </w:tc>
        <w:tc>
          <w:tcPr>
            <w:tcW w:w="2305" w:type="dxa"/>
            <w:vAlign w:val="top"/>
            <w:vMerge w:val="continue"/>
            <w:tcBorders>
              <w:top w:val="nil"/>
            </w:tcBorders>
          </w:tcPr>
          <w:p>
            <w:pPr>
              <w:rPr>
                <w:rFonts w:ascii="Arial"/>
                <w:sz w:val="21"/>
              </w:rPr>
            </w:pPr>
            <w:r/>
          </w:p>
        </w:tc>
        <w:tc>
          <w:tcPr>
            <w:tcW w:w="1535"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691"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1428" w:type="dxa"/>
            <w:vAlign w:val="top"/>
          </w:tcPr>
          <w:p>
            <w:pPr>
              <w:pStyle w:val="TableText"/>
              <w:ind w:left="243"/>
              <w:spacing w:before="169" w:line="231" w:lineRule="auto"/>
              <w:rPr>
                <w:rFonts w:ascii="Times New Roman" w:hAnsi="Times New Roman" w:eastAsia="Times New Roman" w:cs="Times New Roman"/>
              </w:rPr>
            </w:pPr>
            <w:r>
              <w:rPr>
                <w:spacing w:val="7"/>
              </w:rPr>
              <w:t>地下水</w:t>
            </w:r>
            <w:r>
              <w:rPr>
                <w:rFonts w:ascii="Times New Roman" w:hAnsi="Times New Roman" w:eastAsia="Times New Roman" w:cs="Times New Roman"/>
              </w:rPr>
              <w:t>FS</w:t>
            </w:r>
            <w:r>
              <w:rPr>
                <w:rFonts w:ascii="Times New Roman" w:hAnsi="Times New Roman" w:eastAsia="Times New Roman" w:cs="Times New Roman"/>
                <w:spacing w:val="7"/>
              </w:rPr>
              <w:t>1</w:t>
            </w:r>
          </w:p>
        </w:tc>
        <w:tc>
          <w:tcPr>
            <w:tcW w:w="1709" w:type="dxa"/>
            <w:vAlign w:val="top"/>
          </w:tcPr>
          <w:p>
            <w:pPr>
              <w:pStyle w:val="TableText"/>
              <w:ind w:left="199" w:right="145" w:hanging="30"/>
              <w:spacing w:before="32" w:line="234" w:lineRule="auto"/>
              <w:rPr/>
            </w:pPr>
            <w:r>
              <w:rPr>
                <w:rFonts w:ascii="Times New Roman" w:hAnsi="Times New Roman" w:eastAsia="Times New Roman" w:cs="Times New Roman"/>
                <w:spacing w:val="2"/>
              </w:rPr>
              <w:t>119°45'29.09"</w:t>
            </w:r>
            <w:r>
              <w:rPr>
                <w:spacing w:val="2"/>
              </w:rPr>
              <w:t>东</w:t>
            </w:r>
            <w:r>
              <w:rPr>
                <w:spacing w:val="12"/>
              </w:rPr>
              <w:t xml:space="preserve"> </w:t>
            </w:r>
            <w:r>
              <w:rPr>
                <w:rFonts w:ascii="Times New Roman" w:hAnsi="Times New Roman" w:eastAsia="Times New Roman" w:cs="Times New Roman"/>
                <w:spacing w:val="4"/>
              </w:rPr>
              <w:t>29°50'23.25"</w:t>
            </w:r>
            <w:r>
              <w:rPr>
                <w:spacing w:val="4"/>
              </w:rPr>
              <w:t>北</w:t>
            </w:r>
          </w:p>
        </w:tc>
      </w:tr>
      <w:tr>
        <w:trPr>
          <w:trHeight w:val="549" w:hRule="atLeast"/>
        </w:trPr>
        <w:tc>
          <w:tcPr>
            <w:tcW w:w="682" w:type="dxa"/>
            <w:vAlign w:val="top"/>
            <w:vMerge w:val="restart"/>
            <w:tcBorders>
              <w:bottom w:val="nil"/>
            </w:tcBorders>
          </w:tcPr>
          <w:p>
            <w:pPr>
              <w:spacing w:line="268" w:lineRule="auto"/>
              <w:rPr>
                <w:rFonts w:ascii="Arial"/>
                <w:sz w:val="21"/>
              </w:rPr>
            </w:pPr>
            <w:r/>
          </w:p>
          <w:p>
            <w:pPr>
              <w:spacing w:line="268" w:lineRule="auto"/>
              <w:rPr>
                <w:rFonts w:ascii="Arial"/>
                <w:sz w:val="21"/>
              </w:rPr>
            </w:pPr>
            <w:r/>
          </w:p>
          <w:p>
            <w:pPr>
              <w:pStyle w:val="TableText"/>
              <w:ind w:left="146"/>
              <w:spacing w:before="65" w:line="229" w:lineRule="auto"/>
              <w:rPr/>
            </w:pPr>
            <w:r>
              <w:rPr>
                <w:spacing w:val="-1"/>
              </w:rPr>
              <w:t>单元</w:t>
            </w:r>
          </w:p>
          <w:p>
            <w:pPr>
              <w:ind w:left="269"/>
              <w:spacing w:before="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G</w:t>
            </w:r>
          </w:p>
        </w:tc>
        <w:tc>
          <w:tcPr>
            <w:tcW w:w="2305" w:type="dxa"/>
            <w:vAlign w:val="top"/>
            <w:vMerge w:val="restart"/>
            <w:tcBorders>
              <w:bottom w:val="nil"/>
            </w:tcBorders>
          </w:tcPr>
          <w:p>
            <w:pPr>
              <w:spacing w:line="327" w:lineRule="auto"/>
              <w:rPr>
                <w:rFonts w:ascii="Arial"/>
                <w:sz w:val="21"/>
              </w:rPr>
            </w:pPr>
            <w:r/>
          </w:p>
          <w:p>
            <w:pPr>
              <w:spacing w:line="328" w:lineRule="auto"/>
              <w:rPr>
                <w:rFonts w:ascii="Arial"/>
                <w:sz w:val="21"/>
              </w:rPr>
            </w:pPr>
            <w:r/>
          </w:p>
          <w:p>
            <w:pPr>
              <w:pStyle w:val="TableText"/>
              <w:ind w:left="120"/>
              <w:spacing w:before="65" w:line="229" w:lineRule="auto"/>
              <w:rPr/>
            </w:pPr>
            <w:r>
              <w:rPr>
                <w:spacing w:val="5"/>
              </w:rPr>
              <w:t>废弃物提纯（竖炉）</w:t>
            </w:r>
            <w:r>
              <w:rPr>
                <w:spacing w:val="-57"/>
              </w:rPr>
              <w:t xml:space="preserve"> </w:t>
            </w:r>
            <w:r>
              <w:rPr>
                <w:spacing w:val="5"/>
              </w:rPr>
              <w:t>区</w:t>
            </w:r>
          </w:p>
        </w:tc>
        <w:tc>
          <w:tcPr>
            <w:tcW w:w="1535" w:type="dxa"/>
            <w:vAlign w:val="top"/>
            <w:vMerge w:val="restart"/>
            <w:tcBorders>
              <w:bottom w:val="nil"/>
            </w:tcBorders>
          </w:tcPr>
          <w:p>
            <w:pPr>
              <w:pStyle w:val="TableText"/>
              <w:ind w:left="145"/>
              <w:spacing w:before="179" w:line="231" w:lineRule="auto"/>
              <w:rPr/>
            </w:pPr>
            <w:r>
              <w:rPr>
                <w:spacing w:val="7"/>
              </w:rPr>
              <w:t>有色金属废弃</w:t>
            </w:r>
          </w:p>
          <w:p>
            <w:pPr>
              <w:pStyle w:val="TableText"/>
              <w:ind w:left="148"/>
              <w:spacing w:before="23" w:line="228" w:lineRule="auto"/>
              <w:rPr/>
            </w:pPr>
            <w:r>
              <w:rPr>
                <w:spacing w:val="5"/>
              </w:rPr>
              <w:t>物处理车间</w:t>
            </w:r>
            <w:r>
              <w:rPr>
                <w:spacing w:val="21"/>
              </w:rPr>
              <w:t xml:space="preserve"> </w:t>
            </w:r>
            <w:r>
              <w:rPr>
                <w:spacing w:val="5"/>
              </w:rPr>
              <w:t>(</w:t>
            </w:r>
          </w:p>
          <w:p>
            <w:pPr>
              <w:pStyle w:val="TableText"/>
              <w:ind w:left="149"/>
              <w:spacing w:before="23" w:line="232" w:lineRule="auto"/>
              <w:rPr/>
            </w:pPr>
            <w:r>
              <w:rPr>
                <w:spacing w:val="-1"/>
              </w:rPr>
              <w:t>冶炼</w:t>
            </w:r>
            <w:r>
              <w:rPr>
                <w:spacing w:val="22"/>
              </w:rPr>
              <w:t>），</w:t>
            </w:r>
            <w:r>
              <w:rPr>
                <w:spacing w:val="-1"/>
              </w:rPr>
              <w:t>为全</w:t>
            </w:r>
          </w:p>
          <w:p>
            <w:pPr>
              <w:pStyle w:val="TableText"/>
              <w:ind w:left="147"/>
              <w:spacing w:before="23" w:line="232" w:lineRule="auto"/>
              <w:rPr/>
            </w:pPr>
            <w:r>
              <w:rPr>
                <w:spacing w:val="7"/>
              </w:rPr>
              <w:t>厂的主要产污</w:t>
            </w:r>
          </w:p>
          <w:p>
            <w:pPr>
              <w:pStyle w:val="TableText"/>
              <w:ind w:left="691"/>
              <w:spacing w:before="19" w:line="242" w:lineRule="auto"/>
              <w:rPr/>
            </w:pPr>
            <w:r>
              <w:rPr/>
              <w:t>区</w:t>
            </w:r>
          </w:p>
        </w:tc>
        <w:tc>
          <w:tcPr>
            <w:tcW w:w="1511" w:type="dxa"/>
            <w:vAlign w:val="top"/>
            <w:vMerge w:val="restart"/>
            <w:tcBorders>
              <w:bottom w:val="nil"/>
            </w:tcBorders>
          </w:tcPr>
          <w:p>
            <w:pPr>
              <w:spacing w:line="249" w:lineRule="auto"/>
              <w:rPr>
                <w:rFonts w:ascii="Arial"/>
                <w:sz w:val="21"/>
              </w:rPr>
            </w:pPr>
            <w:r/>
          </w:p>
          <w:p>
            <w:pPr>
              <w:pStyle w:val="TableText"/>
              <w:ind w:left="138"/>
              <w:spacing w:before="65" w:line="231" w:lineRule="auto"/>
              <w:rPr/>
            </w:pPr>
            <w:r>
              <w:rPr>
                <w:spacing w:val="5"/>
              </w:rPr>
              <w:t>铜、铅、锌、</w:t>
            </w:r>
          </w:p>
          <w:p>
            <w:pPr>
              <w:pStyle w:val="TableText"/>
              <w:ind w:left="137"/>
              <w:spacing w:before="20" w:line="229" w:lineRule="auto"/>
              <w:rPr/>
            </w:pPr>
            <w:r>
              <w:rPr>
                <w:spacing w:val="5"/>
              </w:rPr>
              <w:t>镉、镍、砷、</w:t>
            </w:r>
          </w:p>
          <w:p>
            <w:pPr>
              <w:pStyle w:val="TableText"/>
              <w:ind w:left="138"/>
              <w:spacing w:before="25" w:line="230" w:lineRule="auto"/>
              <w:rPr/>
            </w:pPr>
            <w:r>
              <w:rPr>
                <w:spacing w:val="5"/>
              </w:rPr>
              <w:t>六价铬、铬、</w:t>
            </w:r>
          </w:p>
          <w:p>
            <w:pPr>
              <w:pStyle w:val="TableText"/>
              <w:ind w:left="457"/>
              <w:spacing w:before="23" w:line="232" w:lineRule="auto"/>
              <w:rPr/>
            </w:pPr>
            <w:r>
              <w:rPr>
                <w:spacing w:val="2"/>
              </w:rPr>
              <w:t>二噁英</w:t>
            </w:r>
          </w:p>
        </w:tc>
        <w:tc>
          <w:tcPr>
            <w:tcW w:w="1511" w:type="dxa"/>
            <w:vAlign w:val="top"/>
            <w:vMerge w:val="restart"/>
            <w:tcBorders>
              <w:bottom w:val="nil"/>
            </w:tcBorders>
          </w:tcPr>
          <w:p>
            <w:pPr>
              <w:pStyle w:val="TableText"/>
              <w:ind w:left="139"/>
              <w:spacing w:before="179" w:line="231" w:lineRule="auto"/>
              <w:rPr/>
            </w:pPr>
            <w:r>
              <w:rPr>
                <w:spacing w:val="5"/>
              </w:rPr>
              <w:t>铜、铅、锌、</w:t>
            </w:r>
          </w:p>
          <w:p>
            <w:pPr>
              <w:pStyle w:val="TableText"/>
              <w:ind w:left="138"/>
              <w:spacing w:before="23" w:line="229" w:lineRule="auto"/>
              <w:rPr/>
            </w:pPr>
            <w:r>
              <w:rPr>
                <w:spacing w:val="5"/>
              </w:rPr>
              <w:t>镉、镍、砷、</w:t>
            </w:r>
          </w:p>
          <w:p>
            <w:pPr>
              <w:pStyle w:val="TableText"/>
              <w:ind w:left="143"/>
              <w:spacing w:before="23" w:line="231" w:lineRule="auto"/>
              <w:rPr/>
            </w:pPr>
            <w:r>
              <w:rPr>
                <w:spacing w:val="4"/>
              </w:rPr>
              <w:t>氟、氯化氢、</w:t>
            </w:r>
          </w:p>
          <w:p>
            <w:pPr>
              <w:pStyle w:val="TableText"/>
              <w:ind w:left="244" w:right="162" w:hanging="100"/>
              <w:spacing w:before="24" w:line="250" w:lineRule="auto"/>
              <w:rPr/>
            </w:pPr>
            <w:r>
              <w:rPr>
                <w:spacing w:val="-1"/>
              </w:rPr>
              <w:t>二噁英、氨、</w:t>
            </w:r>
            <w:r>
              <w:rPr>
                <w:spacing w:val="4"/>
              </w:rPr>
              <w:t xml:space="preserve"> </w:t>
            </w:r>
            <w:r>
              <w:rPr>
                <w:spacing w:val="7"/>
              </w:rPr>
              <w:t>六价铬、铬</w:t>
            </w:r>
          </w:p>
        </w:tc>
        <w:tc>
          <w:tcPr>
            <w:tcW w:w="1691"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pStyle w:val="TableText"/>
              <w:ind w:left="197" w:right="135" w:hanging="36"/>
              <w:spacing w:before="65" w:line="253" w:lineRule="auto"/>
              <w:rPr/>
            </w:pPr>
            <w:r>
              <w:rPr>
                <w:rFonts w:ascii="Times New Roman" w:hAnsi="Times New Roman" w:eastAsia="Times New Roman" w:cs="Times New Roman"/>
                <w:spacing w:val="2"/>
              </w:rPr>
              <w:t>120°47'59.89"</w:t>
            </w:r>
            <w:r>
              <w:rPr>
                <w:spacing w:val="2"/>
              </w:rPr>
              <w:t>东</w:t>
            </w:r>
            <w:r>
              <w:rPr>
                <w:spacing w:val="12"/>
              </w:rPr>
              <w:t xml:space="preserve"> </w:t>
            </w:r>
            <w:r>
              <w:rPr>
                <w:rFonts w:ascii="Times New Roman" w:hAnsi="Times New Roman" w:eastAsia="Times New Roman" w:cs="Times New Roman"/>
                <w:spacing w:val="2"/>
              </w:rPr>
              <w:t>30°</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18'34.25"</w:t>
            </w:r>
            <w:r>
              <w:rPr>
                <w:spacing w:val="2"/>
              </w:rPr>
              <w:t>北</w:t>
            </w:r>
          </w:p>
        </w:tc>
        <w:tc>
          <w:tcPr>
            <w:tcW w:w="1090" w:type="dxa"/>
            <w:vAlign w:val="top"/>
            <w:vMerge w:val="restart"/>
            <w:tcBorders>
              <w:bottom w:val="nil"/>
            </w:tcBorders>
          </w:tcPr>
          <w:p>
            <w:pPr>
              <w:spacing w:line="327" w:lineRule="auto"/>
              <w:rPr>
                <w:rFonts w:ascii="Arial"/>
                <w:sz w:val="21"/>
              </w:rPr>
            </w:pPr>
            <w:r/>
          </w:p>
          <w:p>
            <w:pPr>
              <w:spacing w:line="328" w:lineRule="auto"/>
              <w:rPr>
                <w:rFonts w:ascii="Arial"/>
                <w:sz w:val="21"/>
              </w:rPr>
            </w:pPr>
            <w:r/>
          </w:p>
          <w:p>
            <w:pPr>
              <w:pStyle w:val="TableText"/>
              <w:ind w:left="459"/>
              <w:spacing w:before="65" w:line="233" w:lineRule="auto"/>
              <w:rPr/>
            </w:pPr>
            <w:r>
              <w:rPr/>
              <w:t>否</w:t>
            </w:r>
          </w:p>
        </w:tc>
        <w:tc>
          <w:tcPr>
            <w:tcW w:w="806" w:type="dxa"/>
            <w:vAlign w:val="top"/>
            <w:vMerge w:val="restart"/>
            <w:tcBorders>
              <w:bottom w:val="nil"/>
            </w:tcBorders>
          </w:tcPr>
          <w:p>
            <w:pPr>
              <w:spacing w:line="259" w:lineRule="auto"/>
              <w:rPr>
                <w:rFonts w:ascii="Arial"/>
                <w:sz w:val="21"/>
              </w:rPr>
            </w:pPr>
            <w:r/>
          </w:p>
          <w:p>
            <w:pPr>
              <w:spacing w:line="260" w:lineRule="auto"/>
              <w:rPr>
                <w:rFonts w:ascii="Arial"/>
                <w:sz w:val="21"/>
              </w:rPr>
            </w:pPr>
            <w:r/>
          </w:p>
          <w:p>
            <w:pPr>
              <w:pStyle w:val="TableText"/>
              <w:ind w:left="213"/>
              <w:spacing w:before="65" w:line="233" w:lineRule="auto"/>
              <w:rPr/>
            </w:pPr>
            <w:r>
              <w:rPr>
                <w:spacing w:val="2"/>
              </w:rPr>
              <w:t>二类</w:t>
            </w:r>
          </w:p>
          <w:p>
            <w:pPr>
              <w:pStyle w:val="TableText"/>
              <w:ind w:left="210"/>
              <w:spacing w:before="21" w:line="229" w:lineRule="auto"/>
              <w:rPr/>
            </w:pPr>
            <w:r>
              <w:rPr>
                <w:spacing w:val="-1"/>
              </w:rPr>
              <w:t>单元</w:t>
            </w:r>
          </w:p>
        </w:tc>
        <w:tc>
          <w:tcPr>
            <w:tcW w:w="1428" w:type="dxa"/>
            <w:vAlign w:val="top"/>
          </w:tcPr>
          <w:p>
            <w:pPr>
              <w:pStyle w:val="TableText"/>
              <w:ind w:left="327"/>
              <w:spacing w:before="169"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GT</w:t>
            </w:r>
            <w:r>
              <w:rPr>
                <w:rFonts w:ascii="Times New Roman" w:hAnsi="Times New Roman" w:eastAsia="Times New Roman" w:cs="Times New Roman"/>
                <w:spacing w:val="6"/>
              </w:rPr>
              <w:t>1</w:t>
            </w:r>
          </w:p>
        </w:tc>
        <w:tc>
          <w:tcPr>
            <w:tcW w:w="1709" w:type="dxa"/>
            <w:vAlign w:val="top"/>
          </w:tcPr>
          <w:p>
            <w:pPr>
              <w:pStyle w:val="TableText"/>
              <w:ind w:left="194" w:right="140" w:hanging="30"/>
              <w:spacing w:before="36" w:line="232" w:lineRule="auto"/>
              <w:rPr/>
            </w:pPr>
            <w:r>
              <w:rPr>
                <w:rFonts w:ascii="Times New Roman" w:hAnsi="Times New Roman" w:eastAsia="Times New Roman" w:cs="Times New Roman"/>
                <w:spacing w:val="2"/>
              </w:rPr>
              <w:t>119°45′30.89″</w:t>
            </w:r>
            <w:r>
              <w:rPr>
                <w:spacing w:val="2"/>
              </w:rPr>
              <w:t>东</w:t>
            </w:r>
            <w:r>
              <w:rPr>
                <w:spacing w:val="12"/>
              </w:rPr>
              <w:t xml:space="preserve"> </w:t>
            </w:r>
            <w:r>
              <w:rPr>
                <w:rFonts w:ascii="Times New Roman" w:hAnsi="Times New Roman" w:eastAsia="Times New Roman" w:cs="Times New Roman"/>
                <w:spacing w:val="4"/>
              </w:rPr>
              <w:t>29°50′30.90″</w:t>
            </w:r>
            <w:r>
              <w:rPr>
                <w:spacing w:val="4"/>
              </w:rPr>
              <w:t>北</w:t>
            </w:r>
          </w:p>
        </w:tc>
      </w:tr>
      <w:tr>
        <w:trPr>
          <w:trHeight w:val="549" w:hRule="atLeast"/>
        </w:trPr>
        <w:tc>
          <w:tcPr>
            <w:tcW w:w="682" w:type="dxa"/>
            <w:vAlign w:val="top"/>
            <w:vMerge w:val="continue"/>
            <w:tcBorders>
              <w:top w:val="nil"/>
              <w:bottom w:val="nil"/>
            </w:tcBorders>
          </w:tcPr>
          <w:p>
            <w:pPr>
              <w:rPr>
                <w:rFonts w:ascii="Arial"/>
                <w:sz w:val="21"/>
              </w:rPr>
            </w:pPr>
            <w:r/>
          </w:p>
        </w:tc>
        <w:tc>
          <w:tcPr>
            <w:tcW w:w="2305" w:type="dxa"/>
            <w:vAlign w:val="top"/>
            <w:vMerge w:val="continue"/>
            <w:tcBorders>
              <w:top w:val="nil"/>
              <w:bottom w:val="nil"/>
            </w:tcBorders>
          </w:tcPr>
          <w:p>
            <w:pPr>
              <w:rPr>
                <w:rFonts w:ascii="Arial"/>
                <w:sz w:val="21"/>
              </w:rPr>
            </w:pPr>
            <w:r/>
          </w:p>
        </w:tc>
        <w:tc>
          <w:tcPr>
            <w:tcW w:w="1535"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691" w:type="dxa"/>
            <w:vAlign w:val="top"/>
            <w:vMerge w:val="continue"/>
            <w:tcBorders>
              <w:top w:val="nil"/>
              <w:bottom w:val="nil"/>
            </w:tcBorders>
          </w:tcPr>
          <w:p>
            <w:pPr>
              <w:rPr>
                <w:rFonts w:ascii="Arial"/>
                <w:sz w:val="21"/>
              </w:rPr>
            </w:pPr>
            <w:r/>
          </w:p>
        </w:tc>
        <w:tc>
          <w:tcPr>
            <w:tcW w:w="1090" w:type="dxa"/>
            <w:vAlign w:val="top"/>
            <w:vMerge w:val="continue"/>
            <w:tcBorders>
              <w:top w:val="nil"/>
              <w:bottom w:val="nil"/>
            </w:tcBorders>
          </w:tcPr>
          <w:p>
            <w:pPr>
              <w:rPr>
                <w:rFonts w:ascii="Arial"/>
                <w:sz w:val="21"/>
              </w:rPr>
            </w:pPr>
            <w:r/>
          </w:p>
        </w:tc>
        <w:tc>
          <w:tcPr>
            <w:tcW w:w="806" w:type="dxa"/>
            <w:vAlign w:val="top"/>
            <w:vMerge w:val="continue"/>
            <w:tcBorders>
              <w:top w:val="nil"/>
              <w:bottom w:val="nil"/>
            </w:tcBorders>
          </w:tcPr>
          <w:p>
            <w:pPr>
              <w:rPr>
                <w:rFonts w:ascii="Arial"/>
                <w:sz w:val="21"/>
              </w:rPr>
            </w:pPr>
            <w:r/>
          </w:p>
        </w:tc>
        <w:tc>
          <w:tcPr>
            <w:tcW w:w="1428" w:type="dxa"/>
            <w:vAlign w:val="top"/>
          </w:tcPr>
          <w:p>
            <w:pPr>
              <w:pStyle w:val="TableText"/>
              <w:ind w:left="327"/>
              <w:spacing w:before="170"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GT</w:t>
            </w:r>
            <w:r>
              <w:rPr>
                <w:rFonts w:ascii="Times New Roman" w:hAnsi="Times New Roman" w:eastAsia="Times New Roman" w:cs="Times New Roman"/>
                <w:spacing w:val="6"/>
              </w:rPr>
              <w:t>2</w:t>
            </w:r>
          </w:p>
        </w:tc>
        <w:tc>
          <w:tcPr>
            <w:tcW w:w="1709" w:type="dxa"/>
            <w:vAlign w:val="top"/>
          </w:tcPr>
          <w:p>
            <w:pPr>
              <w:pStyle w:val="TableText"/>
              <w:ind w:left="194" w:right="140" w:hanging="30"/>
              <w:spacing w:before="34" w:line="233" w:lineRule="auto"/>
              <w:rPr/>
            </w:pPr>
            <w:r>
              <w:rPr>
                <w:rFonts w:ascii="Times New Roman" w:hAnsi="Times New Roman" w:eastAsia="Times New Roman" w:cs="Times New Roman"/>
                <w:spacing w:val="2"/>
              </w:rPr>
              <w:t>119°45′34.37″</w:t>
            </w:r>
            <w:r>
              <w:rPr>
                <w:spacing w:val="2"/>
              </w:rPr>
              <w:t>东</w:t>
            </w:r>
            <w:r>
              <w:rPr>
                <w:spacing w:val="12"/>
              </w:rPr>
              <w:t xml:space="preserve"> </w:t>
            </w:r>
            <w:r>
              <w:rPr>
                <w:rFonts w:ascii="Times New Roman" w:hAnsi="Times New Roman" w:eastAsia="Times New Roman" w:cs="Times New Roman"/>
                <w:spacing w:val="4"/>
              </w:rPr>
              <w:t>29°50′32.20″</w:t>
            </w:r>
            <w:r>
              <w:rPr>
                <w:spacing w:val="4"/>
              </w:rPr>
              <w:t>北</w:t>
            </w:r>
          </w:p>
        </w:tc>
      </w:tr>
      <w:tr>
        <w:trPr>
          <w:trHeight w:val="550" w:hRule="atLeast"/>
        </w:trPr>
        <w:tc>
          <w:tcPr>
            <w:tcW w:w="682" w:type="dxa"/>
            <w:vAlign w:val="top"/>
            <w:vMerge w:val="continue"/>
            <w:tcBorders>
              <w:top w:val="nil"/>
            </w:tcBorders>
          </w:tcPr>
          <w:p>
            <w:pPr>
              <w:rPr>
                <w:rFonts w:ascii="Arial"/>
                <w:sz w:val="21"/>
              </w:rPr>
            </w:pPr>
            <w:r/>
          </w:p>
        </w:tc>
        <w:tc>
          <w:tcPr>
            <w:tcW w:w="2305" w:type="dxa"/>
            <w:vAlign w:val="top"/>
            <w:vMerge w:val="continue"/>
            <w:tcBorders>
              <w:top w:val="nil"/>
            </w:tcBorders>
          </w:tcPr>
          <w:p>
            <w:pPr>
              <w:rPr>
                <w:rFonts w:ascii="Arial"/>
                <w:sz w:val="21"/>
              </w:rPr>
            </w:pPr>
            <w:r/>
          </w:p>
        </w:tc>
        <w:tc>
          <w:tcPr>
            <w:tcW w:w="1535"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691"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1428" w:type="dxa"/>
            <w:vAlign w:val="top"/>
          </w:tcPr>
          <w:p>
            <w:pPr>
              <w:pStyle w:val="TableText"/>
              <w:ind w:left="227"/>
              <w:spacing w:before="170" w:line="231" w:lineRule="auto"/>
              <w:rPr>
                <w:rFonts w:ascii="Times New Roman" w:hAnsi="Times New Roman" w:eastAsia="Times New Roman" w:cs="Times New Roman"/>
              </w:rPr>
            </w:pPr>
            <w:r>
              <w:rPr>
                <w:spacing w:val="7"/>
              </w:rPr>
              <w:t>地下水</w:t>
            </w:r>
            <w:r>
              <w:rPr>
                <w:rFonts w:ascii="Times New Roman" w:hAnsi="Times New Roman" w:eastAsia="Times New Roman" w:cs="Times New Roman"/>
              </w:rPr>
              <w:t>GS</w:t>
            </w:r>
            <w:r>
              <w:rPr>
                <w:rFonts w:ascii="Times New Roman" w:hAnsi="Times New Roman" w:eastAsia="Times New Roman" w:cs="Times New Roman"/>
                <w:spacing w:val="7"/>
              </w:rPr>
              <w:t>1</w:t>
            </w:r>
          </w:p>
        </w:tc>
        <w:tc>
          <w:tcPr>
            <w:tcW w:w="1709" w:type="dxa"/>
            <w:vAlign w:val="top"/>
          </w:tcPr>
          <w:p>
            <w:pPr>
              <w:pStyle w:val="TableText"/>
              <w:ind w:left="199" w:right="145" w:hanging="30"/>
              <w:spacing w:before="35" w:line="233" w:lineRule="auto"/>
              <w:rPr/>
            </w:pPr>
            <w:r>
              <w:rPr>
                <w:rFonts w:ascii="Times New Roman" w:hAnsi="Times New Roman" w:eastAsia="Times New Roman" w:cs="Times New Roman"/>
                <w:spacing w:val="2"/>
              </w:rPr>
              <w:t>119°45'34.55"</w:t>
            </w:r>
            <w:r>
              <w:rPr>
                <w:spacing w:val="2"/>
              </w:rPr>
              <w:t>东</w:t>
            </w:r>
            <w:r>
              <w:rPr>
                <w:spacing w:val="12"/>
              </w:rPr>
              <w:t xml:space="preserve"> </w:t>
            </w:r>
            <w:r>
              <w:rPr>
                <w:rFonts w:ascii="Times New Roman" w:hAnsi="Times New Roman" w:eastAsia="Times New Roman" w:cs="Times New Roman"/>
                <w:spacing w:val="4"/>
              </w:rPr>
              <w:t>29°50'32.23"</w:t>
            </w:r>
            <w:r>
              <w:rPr>
                <w:spacing w:val="4"/>
              </w:rPr>
              <w:t>北</w:t>
            </w:r>
          </w:p>
        </w:tc>
      </w:tr>
      <w:tr>
        <w:trPr>
          <w:trHeight w:val="549" w:hRule="atLeast"/>
        </w:trPr>
        <w:tc>
          <w:tcPr>
            <w:tcW w:w="682" w:type="dxa"/>
            <w:vAlign w:val="top"/>
            <w:vMerge w:val="restart"/>
            <w:tcBorders>
              <w:bottom w:val="nil"/>
            </w:tcBorders>
          </w:tcPr>
          <w:p>
            <w:pPr>
              <w:spacing w:line="268" w:lineRule="auto"/>
              <w:rPr>
                <w:rFonts w:ascii="Arial"/>
                <w:sz w:val="21"/>
              </w:rPr>
            </w:pPr>
            <w:r/>
          </w:p>
          <w:p>
            <w:pPr>
              <w:spacing w:line="268" w:lineRule="auto"/>
              <w:rPr>
                <w:rFonts w:ascii="Arial"/>
                <w:sz w:val="21"/>
              </w:rPr>
            </w:pPr>
            <w:r/>
          </w:p>
          <w:p>
            <w:pPr>
              <w:pStyle w:val="TableText"/>
              <w:ind w:left="146"/>
              <w:spacing w:before="65" w:line="229" w:lineRule="auto"/>
              <w:rPr/>
            </w:pPr>
            <w:r>
              <w:rPr>
                <w:spacing w:val="-1"/>
              </w:rPr>
              <w:t>单元</w:t>
            </w:r>
          </w:p>
          <w:p>
            <w:pPr>
              <w:ind w:left="266"/>
              <w:spacing w:before="4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H</w:t>
            </w:r>
          </w:p>
        </w:tc>
        <w:tc>
          <w:tcPr>
            <w:tcW w:w="2305" w:type="dxa"/>
            <w:vAlign w:val="top"/>
            <w:vMerge w:val="restart"/>
            <w:tcBorders>
              <w:bottom w:val="nil"/>
            </w:tcBorders>
          </w:tcPr>
          <w:p>
            <w:pPr>
              <w:spacing w:line="327" w:lineRule="auto"/>
              <w:rPr>
                <w:rFonts w:ascii="Arial"/>
                <w:sz w:val="21"/>
              </w:rPr>
            </w:pPr>
            <w:r/>
          </w:p>
          <w:p>
            <w:pPr>
              <w:spacing w:line="328" w:lineRule="auto"/>
              <w:rPr>
                <w:rFonts w:ascii="Arial"/>
                <w:sz w:val="21"/>
              </w:rPr>
            </w:pPr>
            <w:r/>
          </w:p>
          <w:p>
            <w:pPr>
              <w:pStyle w:val="TableText"/>
              <w:ind w:left="324"/>
              <w:spacing w:before="65" w:line="231" w:lineRule="auto"/>
              <w:rPr/>
            </w:pPr>
            <w:r>
              <w:rPr>
                <w:spacing w:val="7"/>
              </w:rPr>
              <w:t>废气、废水治理区</w:t>
            </w:r>
          </w:p>
        </w:tc>
        <w:tc>
          <w:tcPr>
            <w:tcW w:w="1535" w:type="dxa"/>
            <w:vAlign w:val="top"/>
            <w:vMerge w:val="restart"/>
            <w:tcBorders>
              <w:bottom w:val="nil"/>
            </w:tcBorders>
          </w:tcPr>
          <w:p>
            <w:pPr>
              <w:pStyle w:val="TableText"/>
              <w:ind w:left="151"/>
              <w:spacing w:before="44" w:line="232" w:lineRule="auto"/>
              <w:rPr/>
            </w:pPr>
            <w:r>
              <w:rPr>
                <w:spacing w:val="5"/>
              </w:rPr>
              <w:t>逆流烘干炉、</w:t>
            </w:r>
          </w:p>
          <w:p>
            <w:pPr>
              <w:pStyle w:val="TableText"/>
              <w:ind w:left="153"/>
              <w:spacing w:before="20" w:line="233" w:lineRule="auto"/>
              <w:rPr/>
            </w:pPr>
            <w:r>
              <w:rPr>
                <w:spacing w:val="-1"/>
              </w:rPr>
              <w:t>竖炉、</w:t>
            </w:r>
            <w:r>
              <w:rPr>
                <w:spacing w:val="-57"/>
              </w:rPr>
              <w:t xml:space="preserve"> </w:t>
            </w:r>
            <w:r>
              <w:rPr>
                <w:spacing w:val="-1"/>
              </w:rPr>
              <w:t>电弧炉</w:t>
            </w:r>
          </w:p>
          <w:p>
            <w:pPr>
              <w:pStyle w:val="TableText"/>
              <w:ind w:left="163"/>
              <w:spacing w:before="18" w:line="231" w:lineRule="auto"/>
              <w:rPr/>
            </w:pPr>
            <w:r>
              <w:rPr>
                <w:spacing w:val="-4"/>
              </w:rPr>
              <w:t>、</w:t>
            </w:r>
            <w:r>
              <w:rPr>
                <w:spacing w:val="-49"/>
              </w:rPr>
              <w:t xml:space="preserve"> </w:t>
            </w:r>
            <w:r>
              <w:rPr>
                <w:spacing w:val="-4"/>
              </w:rPr>
              <w:t>中频炉废气</w:t>
            </w:r>
          </w:p>
          <w:p>
            <w:pPr>
              <w:pStyle w:val="TableText"/>
              <w:ind w:left="148"/>
              <w:spacing w:before="23" w:line="231" w:lineRule="auto"/>
              <w:rPr/>
            </w:pPr>
            <w:r>
              <w:rPr>
                <w:spacing w:val="7"/>
              </w:rPr>
              <w:t>处理设施和氧</w:t>
            </w:r>
          </w:p>
          <w:p>
            <w:pPr>
              <w:pStyle w:val="TableText"/>
              <w:ind w:left="148"/>
              <w:spacing w:before="20" w:line="231" w:lineRule="auto"/>
              <w:rPr/>
            </w:pPr>
            <w:r>
              <w:rPr>
                <w:spacing w:val="7"/>
              </w:rPr>
              <w:t>化镁脱硫废水</w:t>
            </w:r>
          </w:p>
          <w:p>
            <w:pPr>
              <w:pStyle w:val="TableText"/>
              <w:ind w:left="568"/>
              <w:spacing w:before="24" w:line="227" w:lineRule="auto"/>
              <w:rPr/>
            </w:pPr>
            <w:r>
              <w:rPr>
                <w:spacing w:val="1"/>
              </w:rPr>
              <w:t>处理</w:t>
            </w:r>
          </w:p>
        </w:tc>
        <w:tc>
          <w:tcPr>
            <w:tcW w:w="1511" w:type="dxa"/>
            <w:vAlign w:val="top"/>
            <w:vMerge w:val="restart"/>
            <w:tcBorders>
              <w:bottom w:val="nil"/>
            </w:tcBorders>
          </w:tcPr>
          <w:p>
            <w:pPr>
              <w:spacing w:line="249" w:lineRule="auto"/>
              <w:rPr>
                <w:rFonts w:ascii="Arial"/>
                <w:sz w:val="21"/>
              </w:rPr>
            </w:pPr>
            <w:r/>
          </w:p>
          <w:p>
            <w:pPr>
              <w:pStyle w:val="TableText"/>
              <w:ind w:left="138"/>
              <w:spacing w:before="65" w:line="231" w:lineRule="auto"/>
              <w:rPr/>
            </w:pPr>
            <w:r>
              <w:rPr>
                <w:spacing w:val="5"/>
              </w:rPr>
              <w:t>铜、铅、锌、</w:t>
            </w:r>
          </w:p>
          <w:p>
            <w:pPr>
              <w:pStyle w:val="TableText"/>
              <w:ind w:left="137"/>
              <w:spacing w:before="23" w:line="229" w:lineRule="auto"/>
              <w:rPr/>
            </w:pPr>
            <w:r>
              <w:rPr>
                <w:spacing w:val="5"/>
              </w:rPr>
              <w:t>镉、镍、砷、</w:t>
            </w:r>
          </w:p>
          <w:p>
            <w:pPr>
              <w:pStyle w:val="TableText"/>
              <w:ind w:left="138"/>
              <w:spacing w:before="23" w:line="230" w:lineRule="auto"/>
              <w:rPr/>
            </w:pPr>
            <w:r>
              <w:rPr>
                <w:spacing w:val="5"/>
              </w:rPr>
              <w:t>六价铬、铬、</w:t>
            </w:r>
          </w:p>
          <w:p>
            <w:pPr>
              <w:pStyle w:val="TableText"/>
              <w:ind w:left="457"/>
              <w:spacing w:before="23" w:line="232" w:lineRule="auto"/>
              <w:rPr/>
            </w:pPr>
            <w:r>
              <w:rPr>
                <w:spacing w:val="2"/>
              </w:rPr>
              <w:t>二噁英</w:t>
            </w:r>
          </w:p>
        </w:tc>
        <w:tc>
          <w:tcPr>
            <w:tcW w:w="1511" w:type="dxa"/>
            <w:vAlign w:val="top"/>
            <w:vMerge w:val="restart"/>
            <w:tcBorders>
              <w:bottom w:val="nil"/>
            </w:tcBorders>
          </w:tcPr>
          <w:p>
            <w:pPr>
              <w:pStyle w:val="TableText"/>
              <w:ind w:left="146"/>
              <w:spacing w:before="44" w:line="232" w:lineRule="auto"/>
              <w:rPr/>
            </w:pPr>
            <w:r>
              <w:rPr>
                <w:spacing w:val="6"/>
              </w:rPr>
              <w:t>总石油烃、铜</w:t>
            </w:r>
          </w:p>
          <w:p>
            <w:pPr>
              <w:pStyle w:val="TableText"/>
              <w:ind w:left="153"/>
              <w:spacing w:before="20" w:line="231" w:lineRule="auto"/>
              <w:rPr/>
            </w:pPr>
            <w:r>
              <w:rPr>
                <w:spacing w:val="5"/>
              </w:rPr>
              <w:t>、铅、锌、镉</w:t>
            </w:r>
          </w:p>
          <w:p>
            <w:pPr>
              <w:pStyle w:val="TableText"/>
              <w:ind w:left="153"/>
              <w:spacing w:before="20" w:line="229" w:lineRule="auto"/>
              <w:rPr/>
            </w:pPr>
            <w:r>
              <w:rPr>
                <w:spacing w:val="6"/>
              </w:rPr>
              <w:t>、镍、砷、氟</w:t>
            </w:r>
          </w:p>
          <w:p>
            <w:pPr>
              <w:pStyle w:val="TableText"/>
              <w:ind w:left="153"/>
              <w:spacing w:before="25" w:line="231" w:lineRule="auto"/>
              <w:rPr/>
            </w:pPr>
            <w:r>
              <w:rPr>
                <w:spacing w:val="6"/>
              </w:rPr>
              <w:t>、氯化氢、二</w:t>
            </w:r>
          </w:p>
          <w:p>
            <w:pPr>
              <w:pStyle w:val="TableText"/>
              <w:ind w:left="347" w:right="124" w:hanging="202"/>
              <w:spacing w:before="21"/>
              <w:rPr/>
            </w:pPr>
            <w:r>
              <w:rPr>
                <w:spacing w:val="6"/>
              </w:rPr>
              <w:t>噁英、氨、六</w:t>
            </w:r>
            <w:r>
              <w:rPr/>
              <w:t xml:space="preserve"> </w:t>
            </w:r>
            <w:r>
              <w:rPr>
                <w:spacing w:val="7"/>
              </w:rPr>
              <w:t>价铬、铬</w:t>
            </w:r>
          </w:p>
        </w:tc>
        <w:tc>
          <w:tcPr>
            <w:tcW w:w="1691"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pStyle w:val="TableText"/>
              <w:ind w:left="197" w:right="135" w:hanging="36"/>
              <w:spacing w:before="65" w:line="251" w:lineRule="auto"/>
              <w:rPr/>
            </w:pPr>
            <w:r>
              <w:rPr>
                <w:rFonts w:ascii="Times New Roman" w:hAnsi="Times New Roman" w:eastAsia="Times New Roman" w:cs="Times New Roman"/>
                <w:spacing w:val="2"/>
              </w:rPr>
              <w:t>120°47'55.23"</w:t>
            </w:r>
            <w:r>
              <w:rPr>
                <w:spacing w:val="2"/>
              </w:rPr>
              <w:t>东</w:t>
            </w:r>
            <w:r>
              <w:rPr>
                <w:spacing w:val="12"/>
              </w:rPr>
              <w:t xml:space="preserve"> </w:t>
            </w:r>
            <w:r>
              <w:rPr>
                <w:rFonts w:ascii="Times New Roman" w:hAnsi="Times New Roman" w:eastAsia="Times New Roman" w:cs="Times New Roman"/>
                <w:spacing w:val="2"/>
              </w:rPr>
              <w:t>30°</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18'21.64"</w:t>
            </w:r>
            <w:r>
              <w:rPr>
                <w:spacing w:val="2"/>
              </w:rPr>
              <w:t>北</w:t>
            </w:r>
          </w:p>
        </w:tc>
        <w:tc>
          <w:tcPr>
            <w:tcW w:w="1090" w:type="dxa"/>
            <w:vAlign w:val="top"/>
            <w:vMerge w:val="restart"/>
            <w:tcBorders>
              <w:bottom w:val="nil"/>
            </w:tcBorders>
          </w:tcPr>
          <w:p>
            <w:pPr>
              <w:spacing w:line="385" w:lineRule="auto"/>
              <w:rPr>
                <w:rFonts w:ascii="Arial"/>
                <w:sz w:val="21"/>
              </w:rPr>
            </w:pPr>
            <w:r/>
          </w:p>
          <w:p>
            <w:pPr>
              <w:pStyle w:val="TableText"/>
              <w:ind w:left="138"/>
              <w:spacing w:before="65" w:line="228" w:lineRule="auto"/>
              <w:rPr/>
            </w:pPr>
            <w:r>
              <w:rPr>
                <w:spacing w:val="5"/>
              </w:rPr>
              <w:t>是，存在</w:t>
            </w:r>
          </w:p>
          <w:p>
            <w:pPr>
              <w:pStyle w:val="TableText"/>
              <w:ind w:left="242" w:right="123" w:hanging="104"/>
              <w:spacing w:before="23" w:line="253" w:lineRule="auto"/>
              <w:rPr/>
            </w:pPr>
            <w:r>
              <w:rPr>
                <w:spacing w:val="5"/>
              </w:rPr>
              <w:t>接地储罐</w:t>
            </w:r>
            <w:r>
              <w:rPr>
                <w:spacing w:val="2"/>
              </w:rPr>
              <w:t xml:space="preserve"> </w:t>
            </w:r>
            <w:r>
              <w:rPr>
                <w:spacing w:val="5"/>
              </w:rPr>
              <w:t>和池体</w:t>
            </w:r>
          </w:p>
        </w:tc>
        <w:tc>
          <w:tcPr>
            <w:tcW w:w="806" w:type="dxa"/>
            <w:vAlign w:val="top"/>
            <w:vMerge w:val="restart"/>
            <w:tcBorders>
              <w:bottom w:val="nil"/>
            </w:tcBorders>
          </w:tcPr>
          <w:p>
            <w:pPr>
              <w:spacing w:line="260" w:lineRule="auto"/>
              <w:rPr>
                <w:rFonts w:ascii="Arial"/>
                <w:sz w:val="21"/>
              </w:rPr>
            </w:pPr>
            <w:r/>
          </w:p>
          <w:p>
            <w:pPr>
              <w:spacing w:line="261" w:lineRule="auto"/>
              <w:rPr>
                <w:rFonts w:ascii="Arial"/>
                <w:sz w:val="21"/>
              </w:rPr>
            </w:pPr>
            <w:r/>
          </w:p>
          <w:p>
            <w:pPr>
              <w:pStyle w:val="TableText"/>
              <w:ind w:left="209"/>
              <w:spacing w:before="65" w:line="233" w:lineRule="auto"/>
              <w:rPr/>
            </w:pPr>
            <w:r>
              <w:rPr/>
              <w:t>一类</w:t>
            </w:r>
          </w:p>
          <w:p>
            <w:pPr>
              <w:pStyle w:val="TableText"/>
              <w:ind w:left="210"/>
              <w:spacing w:before="19" w:line="229" w:lineRule="auto"/>
              <w:rPr/>
            </w:pPr>
            <w:r>
              <w:rPr>
                <w:spacing w:val="-1"/>
              </w:rPr>
              <w:t>单元</w:t>
            </w:r>
          </w:p>
        </w:tc>
        <w:tc>
          <w:tcPr>
            <w:tcW w:w="1428" w:type="dxa"/>
            <w:vAlign w:val="top"/>
          </w:tcPr>
          <w:p>
            <w:pPr>
              <w:pStyle w:val="TableText"/>
              <w:ind w:left="327"/>
              <w:spacing w:before="170"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HT</w:t>
            </w:r>
            <w:r>
              <w:rPr>
                <w:rFonts w:ascii="Times New Roman" w:hAnsi="Times New Roman" w:eastAsia="Times New Roman" w:cs="Times New Roman"/>
                <w:spacing w:val="6"/>
              </w:rPr>
              <w:t>1</w:t>
            </w:r>
          </w:p>
        </w:tc>
        <w:tc>
          <w:tcPr>
            <w:tcW w:w="1709" w:type="dxa"/>
            <w:vAlign w:val="top"/>
          </w:tcPr>
          <w:p>
            <w:pPr>
              <w:pStyle w:val="TableText"/>
              <w:ind w:left="194" w:right="140" w:hanging="30"/>
              <w:spacing w:before="36" w:line="232" w:lineRule="auto"/>
              <w:rPr/>
            </w:pPr>
            <w:r>
              <w:rPr>
                <w:rFonts w:ascii="Times New Roman" w:hAnsi="Times New Roman" w:eastAsia="Times New Roman" w:cs="Times New Roman"/>
                <w:spacing w:val="2"/>
              </w:rPr>
              <w:t>119°45′33.48″</w:t>
            </w:r>
            <w:r>
              <w:rPr>
                <w:spacing w:val="2"/>
              </w:rPr>
              <w:t>东</w:t>
            </w:r>
            <w:r>
              <w:rPr>
                <w:spacing w:val="12"/>
              </w:rPr>
              <w:t xml:space="preserve"> </w:t>
            </w:r>
            <w:r>
              <w:rPr>
                <w:rFonts w:ascii="Times New Roman" w:hAnsi="Times New Roman" w:eastAsia="Times New Roman" w:cs="Times New Roman"/>
                <w:spacing w:val="4"/>
              </w:rPr>
              <w:t>29°50′34.37″</w:t>
            </w:r>
            <w:r>
              <w:rPr>
                <w:spacing w:val="4"/>
              </w:rPr>
              <w:t>北</w:t>
            </w:r>
          </w:p>
        </w:tc>
      </w:tr>
      <w:tr>
        <w:trPr>
          <w:trHeight w:val="550" w:hRule="atLeast"/>
        </w:trPr>
        <w:tc>
          <w:tcPr>
            <w:tcW w:w="682" w:type="dxa"/>
            <w:vAlign w:val="top"/>
            <w:vMerge w:val="continue"/>
            <w:tcBorders>
              <w:top w:val="nil"/>
              <w:bottom w:val="nil"/>
            </w:tcBorders>
          </w:tcPr>
          <w:p>
            <w:pPr>
              <w:rPr>
                <w:rFonts w:ascii="Arial"/>
                <w:sz w:val="21"/>
              </w:rPr>
            </w:pPr>
            <w:r/>
          </w:p>
        </w:tc>
        <w:tc>
          <w:tcPr>
            <w:tcW w:w="2305" w:type="dxa"/>
            <w:vAlign w:val="top"/>
            <w:vMerge w:val="continue"/>
            <w:tcBorders>
              <w:top w:val="nil"/>
              <w:bottom w:val="nil"/>
            </w:tcBorders>
          </w:tcPr>
          <w:p>
            <w:pPr>
              <w:rPr>
                <w:rFonts w:ascii="Arial"/>
                <w:sz w:val="21"/>
              </w:rPr>
            </w:pPr>
            <w:r/>
          </w:p>
        </w:tc>
        <w:tc>
          <w:tcPr>
            <w:tcW w:w="1535"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691" w:type="dxa"/>
            <w:vAlign w:val="top"/>
            <w:vMerge w:val="continue"/>
            <w:tcBorders>
              <w:top w:val="nil"/>
              <w:bottom w:val="nil"/>
            </w:tcBorders>
          </w:tcPr>
          <w:p>
            <w:pPr>
              <w:rPr>
                <w:rFonts w:ascii="Arial"/>
                <w:sz w:val="21"/>
              </w:rPr>
            </w:pPr>
            <w:r/>
          </w:p>
        </w:tc>
        <w:tc>
          <w:tcPr>
            <w:tcW w:w="1090" w:type="dxa"/>
            <w:vAlign w:val="top"/>
            <w:vMerge w:val="continue"/>
            <w:tcBorders>
              <w:top w:val="nil"/>
              <w:bottom w:val="nil"/>
            </w:tcBorders>
          </w:tcPr>
          <w:p>
            <w:pPr>
              <w:rPr>
                <w:rFonts w:ascii="Arial"/>
                <w:sz w:val="21"/>
              </w:rPr>
            </w:pPr>
            <w:r/>
          </w:p>
        </w:tc>
        <w:tc>
          <w:tcPr>
            <w:tcW w:w="806" w:type="dxa"/>
            <w:vAlign w:val="top"/>
            <w:vMerge w:val="continue"/>
            <w:tcBorders>
              <w:top w:val="nil"/>
              <w:bottom w:val="nil"/>
            </w:tcBorders>
          </w:tcPr>
          <w:p>
            <w:pPr>
              <w:rPr>
                <w:rFonts w:ascii="Arial"/>
                <w:sz w:val="21"/>
              </w:rPr>
            </w:pPr>
            <w:r/>
          </w:p>
        </w:tc>
        <w:tc>
          <w:tcPr>
            <w:tcW w:w="1428" w:type="dxa"/>
            <w:vAlign w:val="top"/>
          </w:tcPr>
          <w:p>
            <w:pPr>
              <w:pStyle w:val="TableText"/>
              <w:ind w:left="327"/>
              <w:spacing w:before="170" w:line="232" w:lineRule="auto"/>
              <w:rPr>
                <w:rFonts w:ascii="Times New Roman" w:hAnsi="Times New Roman" w:eastAsia="Times New Roman" w:cs="Times New Roman"/>
              </w:rPr>
            </w:pPr>
            <w:r>
              <w:rPr>
                <w:spacing w:val="6"/>
              </w:rPr>
              <w:t>土壤</w:t>
            </w:r>
            <w:r>
              <w:rPr>
                <w:rFonts w:ascii="Times New Roman" w:hAnsi="Times New Roman" w:eastAsia="Times New Roman" w:cs="Times New Roman"/>
              </w:rPr>
              <w:t>HT</w:t>
            </w:r>
            <w:r>
              <w:rPr>
                <w:rFonts w:ascii="Times New Roman" w:hAnsi="Times New Roman" w:eastAsia="Times New Roman" w:cs="Times New Roman"/>
                <w:spacing w:val="6"/>
              </w:rPr>
              <w:t>2</w:t>
            </w:r>
          </w:p>
        </w:tc>
        <w:tc>
          <w:tcPr>
            <w:tcW w:w="1709" w:type="dxa"/>
            <w:vAlign w:val="top"/>
          </w:tcPr>
          <w:p>
            <w:pPr>
              <w:pStyle w:val="TableText"/>
              <w:ind w:left="194" w:right="140" w:hanging="30"/>
              <w:spacing w:before="35" w:line="233" w:lineRule="auto"/>
              <w:rPr/>
            </w:pPr>
            <w:r>
              <w:rPr>
                <w:rFonts w:ascii="Times New Roman" w:hAnsi="Times New Roman" w:eastAsia="Times New Roman" w:cs="Times New Roman"/>
                <w:spacing w:val="2"/>
              </w:rPr>
              <w:t>119°45′32.46″</w:t>
            </w:r>
            <w:r>
              <w:rPr>
                <w:spacing w:val="2"/>
              </w:rPr>
              <w:t>东</w:t>
            </w:r>
            <w:r>
              <w:rPr>
                <w:spacing w:val="12"/>
              </w:rPr>
              <w:t xml:space="preserve"> </w:t>
            </w:r>
            <w:r>
              <w:rPr>
                <w:rFonts w:ascii="Times New Roman" w:hAnsi="Times New Roman" w:eastAsia="Times New Roman" w:cs="Times New Roman"/>
                <w:spacing w:val="4"/>
              </w:rPr>
              <w:t>29°50′35.23″</w:t>
            </w:r>
            <w:r>
              <w:rPr>
                <w:spacing w:val="4"/>
              </w:rPr>
              <w:t>北</w:t>
            </w:r>
          </w:p>
        </w:tc>
      </w:tr>
      <w:tr>
        <w:trPr>
          <w:trHeight w:val="553" w:hRule="atLeast"/>
        </w:trPr>
        <w:tc>
          <w:tcPr>
            <w:tcW w:w="682" w:type="dxa"/>
            <w:vAlign w:val="top"/>
            <w:vMerge w:val="continue"/>
            <w:tcBorders>
              <w:top w:val="nil"/>
            </w:tcBorders>
          </w:tcPr>
          <w:p>
            <w:pPr>
              <w:rPr>
                <w:rFonts w:ascii="Arial"/>
                <w:sz w:val="21"/>
              </w:rPr>
            </w:pPr>
            <w:r/>
          </w:p>
        </w:tc>
        <w:tc>
          <w:tcPr>
            <w:tcW w:w="2305" w:type="dxa"/>
            <w:vAlign w:val="top"/>
            <w:vMerge w:val="continue"/>
            <w:tcBorders>
              <w:top w:val="nil"/>
            </w:tcBorders>
          </w:tcPr>
          <w:p>
            <w:pPr>
              <w:rPr>
                <w:rFonts w:ascii="Arial"/>
                <w:sz w:val="21"/>
              </w:rPr>
            </w:pPr>
            <w:r/>
          </w:p>
        </w:tc>
        <w:tc>
          <w:tcPr>
            <w:tcW w:w="1535"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691"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1428" w:type="dxa"/>
            <w:vAlign w:val="top"/>
          </w:tcPr>
          <w:p>
            <w:pPr>
              <w:pStyle w:val="TableText"/>
              <w:ind w:left="227"/>
              <w:spacing w:before="169" w:line="231" w:lineRule="auto"/>
              <w:rPr>
                <w:rFonts w:ascii="Times New Roman" w:hAnsi="Times New Roman" w:eastAsia="Times New Roman" w:cs="Times New Roman"/>
              </w:rPr>
            </w:pPr>
            <w:r>
              <w:rPr>
                <w:spacing w:val="7"/>
              </w:rPr>
              <w:t>地下水</w:t>
            </w:r>
            <w:r>
              <w:rPr>
                <w:rFonts w:ascii="Times New Roman" w:hAnsi="Times New Roman" w:eastAsia="Times New Roman" w:cs="Times New Roman"/>
              </w:rPr>
              <w:t>HS</w:t>
            </w:r>
            <w:r>
              <w:rPr>
                <w:rFonts w:ascii="Times New Roman" w:hAnsi="Times New Roman" w:eastAsia="Times New Roman" w:cs="Times New Roman"/>
                <w:spacing w:val="7"/>
              </w:rPr>
              <w:t>1</w:t>
            </w:r>
          </w:p>
        </w:tc>
        <w:tc>
          <w:tcPr>
            <w:tcW w:w="1709" w:type="dxa"/>
            <w:vAlign w:val="top"/>
          </w:tcPr>
          <w:p>
            <w:pPr>
              <w:pStyle w:val="TableText"/>
              <w:ind w:left="199" w:right="145" w:hanging="30"/>
              <w:spacing w:before="35" w:line="234" w:lineRule="auto"/>
              <w:rPr/>
            </w:pPr>
            <w:r>
              <w:rPr>
                <w:rFonts w:ascii="Times New Roman" w:hAnsi="Times New Roman" w:eastAsia="Times New Roman" w:cs="Times New Roman"/>
                <w:spacing w:val="2"/>
              </w:rPr>
              <w:t>119°45'32.13"</w:t>
            </w:r>
            <w:r>
              <w:rPr>
                <w:spacing w:val="2"/>
              </w:rPr>
              <w:t>东</w:t>
            </w:r>
            <w:r>
              <w:rPr>
                <w:spacing w:val="12"/>
              </w:rPr>
              <w:t xml:space="preserve"> </w:t>
            </w:r>
            <w:r>
              <w:rPr>
                <w:rFonts w:ascii="Times New Roman" w:hAnsi="Times New Roman" w:eastAsia="Times New Roman" w:cs="Times New Roman"/>
                <w:spacing w:val="4"/>
              </w:rPr>
              <w:t>29°50'34.82"</w:t>
            </w:r>
            <w:r>
              <w:rPr>
                <w:spacing w:val="4"/>
              </w:rPr>
              <w:t>北</w:t>
            </w:r>
          </w:p>
        </w:tc>
      </w:tr>
    </w:tbl>
    <w:p>
      <w:pPr>
        <w:rPr>
          <w:rFonts w:ascii="Arial"/>
          <w:sz w:val="21"/>
        </w:rPr>
      </w:pPr>
      <w:r/>
    </w:p>
    <w:p>
      <w:pPr>
        <w:sectPr>
          <w:footerReference w:type="default" r:id="rId162"/>
          <w:pgSz w:w="16839" w:h="11906"/>
          <w:pgMar w:top="968" w:right="1327" w:bottom="940" w:left="1237" w:header="661" w:footer="778" w:gutter="0"/>
        </w:sectPr>
        <w:rPr>
          <w:rFonts w:ascii="Arial" w:hAnsi="Arial" w:eastAsia="Arial" w:cs="Arial"/>
          <w:sz w:val="21"/>
          <w:szCs w:val="21"/>
        </w:rPr>
      </w:pPr>
    </w:p>
    <w:p>
      <w:pPr>
        <w:spacing w:line="379" w:lineRule="auto"/>
        <w:rPr>
          <w:rFonts w:ascii="Arial"/>
          <w:sz w:val="21"/>
        </w:rPr>
      </w:pPr>
      <w:r/>
    </w:p>
    <w:p>
      <w:pPr>
        <w:pStyle w:val="BodyText"/>
        <w:ind w:left="30"/>
        <w:spacing w:before="91" w:line="220" w:lineRule="auto"/>
        <w:outlineLvl w:val="1"/>
        <w:rPr>
          <w:rFonts w:ascii="FangSong" w:hAnsi="FangSong" w:eastAsia="FangSong" w:cs="FangSong"/>
          <w:sz w:val="28"/>
          <w:szCs w:val="28"/>
        </w:rPr>
      </w:pPr>
      <w:bookmarkStart w:name="bookmark41" w:id="48"/>
      <w:bookmarkEnd w:id="48"/>
      <w:r>
        <w:rPr>
          <w:rFonts w:ascii="FangSong" w:hAnsi="FangSong" w:eastAsia="FangSong" w:cs="FangSong"/>
          <w:sz w:val="28"/>
          <w:szCs w:val="28"/>
          <w:b/>
          <w:bCs/>
          <w:spacing w:val="-4"/>
        </w:rPr>
        <w:t>附件</w:t>
      </w:r>
      <w:r>
        <w:rPr>
          <w:sz w:val="28"/>
          <w:szCs w:val="28"/>
          <w:b/>
          <w:bCs/>
          <w:spacing w:val="-4"/>
        </w:rPr>
        <w:t>2  </w:t>
      </w:r>
      <w:r>
        <w:rPr>
          <w:rFonts w:ascii="FangSong" w:hAnsi="FangSong" w:eastAsia="FangSong" w:cs="FangSong"/>
          <w:sz w:val="28"/>
          <w:szCs w:val="28"/>
          <w:b/>
          <w:bCs/>
          <w:spacing w:val="-4"/>
        </w:rPr>
        <w:t>地下水监测井采样记录</w:t>
      </w:r>
    </w:p>
    <w:p>
      <w:pPr>
        <w:ind w:firstLine="223"/>
        <w:spacing w:before="117" w:line="13176" w:lineRule="exact"/>
        <w:rPr/>
      </w:pPr>
      <w:r>
        <w:rPr>
          <w:position w:val="-263"/>
        </w:rPr>
        <w:drawing>
          <wp:inline distT="0" distB="0" distL="0" distR="0">
            <wp:extent cx="5897879" cy="8366759"/>
            <wp:effectExtent l="0" t="0" r="0" b="0"/>
            <wp:docPr id="90" name="IM 90"/>
            <wp:cNvGraphicFramePr/>
            <a:graphic>
              <a:graphicData uri="http://schemas.openxmlformats.org/drawingml/2006/picture">
                <pic:pic>
                  <pic:nvPicPr>
                    <pic:cNvPr id="90" name="IM 90"/>
                    <pic:cNvPicPr/>
                  </pic:nvPicPr>
                  <pic:blipFill>
                    <a:blip r:embed="rId164"/>
                    <a:stretch>
                      <a:fillRect/>
                    </a:stretch>
                  </pic:blipFill>
                  <pic:spPr>
                    <a:xfrm rot="0">
                      <a:off x="0" y="0"/>
                      <a:ext cx="5897879" cy="8366759"/>
                    </a:xfrm>
                    <a:prstGeom prst="rect">
                      <a:avLst/>
                    </a:prstGeom>
                  </pic:spPr>
                </pic:pic>
              </a:graphicData>
            </a:graphic>
          </wp:inline>
        </w:drawing>
      </w:r>
    </w:p>
    <w:p>
      <w:pPr>
        <w:spacing w:line="13176" w:lineRule="exact"/>
        <w:sectPr>
          <w:headerReference w:type="default" r:id="rId29"/>
          <w:footerReference w:type="default" r:id="rId163"/>
          <w:pgSz w:w="11906" w:h="16839"/>
          <w:pgMar w:top="1139" w:right="1080" w:bottom="1249" w:left="1080" w:header="831" w:footer="1090" w:gutter="0"/>
        </w:sectPr>
        <w:rPr/>
      </w:pPr>
    </w:p>
    <w:p>
      <w:pPr>
        <w:spacing w:line="339" w:lineRule="auto"/>
        <w:rPr>
          <w:rFonts w:ascii="Arial"/>
          <w:sz w:val="21"/>
        </w:rPr>
      </w:pPr>
      <w:r/>
    </w:p>
    <w:p>
      <w:pPr>
        <w:pStyle w:val="BodyText"/>
        <w:ind w:left="30"/>
        <w:spacing w:before="91" w:line="220" w:lineRule="auto"/>
        <w:outlineLvl w:val="1"/>
        <w:rPr>
          <w:rFonts w:ascii="FangSong" w:hAnsi="FangSong" w:eastAsia="FangSong" w:cs="FangSong"/>
          <w:sz w:val="28"/>
          <w:szCs w:val="28"/>
        </w:rPr>
      </w:pPr>
      <w:bookmarkStart w:name="bookmark42" w:id="49"/>
      <w:bookmarkEnd w:id="49"/>
      <w:r>
        <w:rPr>
          <w:rFonts w:ascii="FangSong" w:hAnsi="FangSong" w:eastAsia="FangSong" w:cs="FangSong"/>
          <w:sz w:val="28"/>
          <w:szCs w:val="28"/>
          <w:b/>
          <w:bCs/>
          <w:spacing w:val="-8"/>
        </w:rPr>
        <w:t>附件</w:t>
      </w:r>
      <w:r>
        <w:rPr>
          <w:sz w:val="28"/>
          <w:szCs w:val="28"/>
          <w:b/>
          <w:bCs/>
          <w:spacing w:val="-8"/>
        </w:rPr>
        <w:t>3</w:t>
      </w:r>
      <w:r>
        <w:rPr>
          <w:sz w:val="28"/>
          <w:szCs w:val="28"/>
          <w:b/>
          <w:bCs/>
          <w:spacing w:val="13"/>
        </w:rPr>
        <w:t xml:space="preserve">  </w:t>
      </w:r>
      <w:r>
        <w:rPr>
          <w:rFonts w:ascii="FangSong" w:hAnsi="FangSong" w:eastAsia="FangSong" w:cs="FangSong"/>
          <w:sz w:val="28"/>
          <w:szCs w:val="28"/>
          <w:b/>
          <w:bCs/>
          <w:spacing w:val="-8"/>
        </w:rPr>
        <w:t>土壤采样记录</w:t>
      </w:r>
    </w:p>
    <w:p>
      <w:pPr>
        <w:ind w:firstLine="223"/>
        <w:spacing w:before="117" w:line="13176" w:lineRule="exact"/>
        <w:rPr/>
      </w:pPr>
      <w:r>
        <w:rPr>
          <w:position w:val="-263"/>
        </w:rPr>
        <w:drawing>
          <wp:inline distT="0" distB="0" distL="0" distR="0">
            <wp:extent cx="5897879" cy="8366759"/>
            <wp:effectExtent l="0" t="0" r="0" b="0"/>
            <wp:docPr id="92" name="IM 92"/>
            <wp:cNvGraphicFramePr/>
            <a:graphic>
              <a:graphicData uri="http://schemas.openxmlformats.org/drawingml/2006/picture">
                <pic:pic>
                  <pic:nvPicPr>
                    <pic:cNvPr id="92" name="IM 92"/>
                    <pic:cNvPicPr/>
                  </pic:nvPicPr>
                  <pic:blipFill>
                    <a:blip r:embed="rId167"/>
                    <a:stretch>
                      <a:fillRect/>
                    </a:stretch>
                  </pic:blipFill>
                  <pic:spPr>
                    <a:xfrm rot="0">
                      <a:off x="0" y="0"/>
                      <a:ext cx="5897879" cy="8366759"/>
                    </a:xfrm>
                    <a:prstGeom prst="rect">
                      <a:avLst/>
                    </a:prstGeom>
                  </pic:spPr>
                </pic:pic>
              </a:graphicData>
            </a:graphic>
          </wp:inline>
        </w:drawing>
      </w:r>
    </w:p>
    <w:p>
      <w:pPr>
        <w:spacing w:line="13176" w:lineRule="exact"/>
        <w:sectPr>
          <w:headerReference w:type="default" r:id="rId165"/>
          <w:footerReference w:type="default" r:id="rId166"/>
          <w:pgSz w:w="11906" w:h="16839"/>
          <w:pgMar w:top="1179" w:right="1080" w:bottom="1252" w:left="1080" w:header="851" w:footer="1090" w:gutter="0"/>
        </w:sectPr>
        <w:rPr/>
      </w:pPr>
    </w:p>
    <w:p>
      <w:pPr>
        <w:spacing w:line="258" w:lineRule="auto"/>
        <w:rPr>
          <w:rFonts w:ascii="Arial"/>
          <w:sz w:val="21"/>
        </w:rPr>
      </w:pPr>
      <w:r/>
    </w:p>
    <w:p>
      <w:pPr>
        <w:ind w:firstLine="28"/>
        <w:spacing w:line="13730" w:lineRule="exact"/>
        <w:rPr/>
      </w:pPr>
      <w:r>
        <w:rPr>
          <w:position w:val="-274"/>
        </w:rPr>
        <w:drawing>
          <wp:inline distT="0" distB="0" distL="0" distR="0">
            <wp:extent cx="6150864" cy="8718804"/>
            <wp:effectExtent l="0" t="0" r="0" b="0"/>
            <wp:docPr id="94" name="IM 94"/>
            <wp:cNvGraphicFramePr/>
            <a:graphic>
              <a:graphicData uri="http://schemas.openxmlformats.org/drawingml/2006/picture">
                <pic:pic>
                  <pic:nvPicPr>
                    <pic:cNvPr id="94" name="IM 94"/>
                    <pic:cNvPicPr/>
                  </pic:nvPicPr>
                  <pic:blipFill>
                    <a:blip r:embed="rId169"/>
                    <a:stretch>
                      <a:fillRect/>
                    </a:stretch>
                  </pic:blipFill>
                  <pic:spPr>
                    <a:xfrm rot="0">
                      <a:off x="0" y="0"/>
                      <a:ext cx="6150864" cy="8718804"/>
                    </a:xfrm>
                    <a:prstGeom prst="rect">
                      <a:avLst/>
                    </a:prstGeom>
                  </pic:spPr>
                </pic:pic>
              </a:graphicData>
            </a:graphic>
          </wp:inline>
        </w:drawing>
      </w:r>
    </w:p>
    <w:p>
      <w:pPr>
        <w:spacing w:line="13730" w:lineRule="exact"/>
        <w:sectPr>
          <w:footerReference w:type="default" r:id="rId168"/>
          <w:pgSz w:w="11906" w:h="16839"/>
          <w:pgMar w:top="1179" w:right="1080" w:bottom="1252" w:left="1080" w:header="851" w:footer="1090" w:gutter="0"/>
        </w:sectPr>
        <w:rPr/>
      </w:pPr>
    </w:p>
    <w:p>
      <w:pPr>
        <w:spacing w:line="258" w:lineRule="auto"/>
        <w:rPr>
          <w:rFonts w:ascii="Arial"/>
          <w:sz w:val="21"/>
        </w:rPr>
      </w:pPr>
      <w:r/>
    </w:p>
    <w:p>
      <w:pPr>
        <w:spacing w:line="13831" w:lineRule="exact"/>
        <w:rPr/>
      </w:pPr>
      <w:r>
        <w:rPr>
          <w:position w:val="-276"/>
        </w:rPr>
        <w:drawing>
          <wp:inline distT="0" distB="0" distL="0" distR="0">
            <wp:extent cx="6187440" cy="8782811"/>
            <wp:effectExtent l="0" t="0" r="0" b="0"/>
            <wp:docPr id="96" name="IM 96"/>
            <wp:cNvGraphicFramePr/>
            <a:graphic>
              <a:graphicData uri="http://schemas.openxmlformats.org/drawingml/2006/picture">
                <pic:pic>
                  <pic:nvPicPr>
                    <pic:cNvPr id="96" name="IM 96"/>
                    <pic:cNvPicPr/>
                  </pic:nvPicPr>
                  <pic:blipFill>
                    <a:blip r:embed="rId171"/>
                    <a:stretch>
                      <a:fillRect/>
                    </a:stretch>
                  </pic:blipFill>
                  <pic:spPr>
                    <a:xfrm rot="0">
                      <a:off x="0" y="0"/>
                      <a:ext cx="6187440" cy="8782811"/>
                    </a:xfrm>
                    <a:prstGeom prst="rect">
                      <a:avLst/>
                    </a:prstGeom>
                  </pic:spPr>
                </pic:pic>
              </a:graphicData>
            </a:graphic>
          </wp:inline>
        </w:drawing>
      </w:r>
    </w:p>
    <w:p>
      <w:pPr>
        <w:spacing w:line="13831" w:lineRule="exact"/>
        <w:sectPr>
          <w:footerReference w:type="default" r:id="rId170"/>
          <w:pgSz w:w="11906" w:h="16839"/>
          <w:pgMar w:top="1179" w:right="1080" w:bottom="1252" w:left="1080" w:header="851" w:footer="1090" w:gutter="0"/>
        </w:sectPr>
        <w:rPr/>
      </w:pPr>
    </w:p>
    <w:p>
      <w:pPr>
        <w:spacing w:line="258" w:lineRule="auto"/>
        <w:rPr>
          <w:rFonts w:ascii="Arial"/>
          <w:sz w:val="21"/>
        </w:rPr>
      </w:pPr>
      <w:r/>
    </w:p>
    <w:p>
      <w:pPr>
        <w:spacing w:line="13831" w:lineRule="exact"/>
        <w:rPr/>
      </w:pPr>
      <w:r>
        <w:rPr>
          <w:position w:val="-276"/>
        </w:rPr>
        <w:drawing>
          <wp:inline distT="0" distB="0" distL="0" distR="0">
            <wp:extent cx="6187440" cy="8782811"/>
            <wp:effectExtent l="0" t="0" r="0" b="0"/>
            <wp:docPr id="98" name="IM 98"/>
            <wp:cNvGraphicFramePr/>
            <a:graphic>
              <a:graphicData uri="http://schemas.openxmlformats.org/drawingml/2006/picture">
                <pic:pic>
                  <pic:nvPicPr>
                    <pic:cNvPr id="98" name="IM 98"/>
                    <pic:cNvPicPr/>
                  </pic:nvPicPr>
                  <pic:blipFill>
                    <a:blip r:embed="rId173"/>
                    <a:stretch>
                      <a:fillRect/>
                    </a:stretch>
                  </pic:blipFill>
                  <pic:spPr>
                    <a:xfrm rot="0">
                      <a:off x="0" y="0"/>
                      <a:ext cx="6187440" cy="8782811"/>
                    </a:xfrm>
                    <a:prstGeom prst="rect">
                      <a:avLst/>
                    </a:prstGeom>
                  </pic:spPr>
                </pic:pic>
              </a:graphicData>
            </a:graphic>
          </wp:inline>
        </w:drawing>
      </w:r>
    </w:p>
    <w:p>
      <w:pPr>
        <w:spacing w:line="13831" w:lineRule="exact"/>
        <w:sectPr>
          <w:footerReference w:type="default" r:id="rId172"/>
          <w:pgSz w:w="11906" w:h="16839"/>
          <w:pgMar w:top="1179" w:right="1080" w:bottom="1252" w:left="1080" w:header="851" w:footer="1090" w:gutter="0"/>
        </w:sectPr>
        <w:rPr/>
      </w:pPr>
    </w:p>
    <w:p>
      <w:pPr>
        <w:spacing w:line="258" w:lineRule="auto"/>
        <w:rPr>
          <w:rFonts w:ascii="Arial"/>
          <w:sz w:val="21"/>
        </w:rPr>
      </w:pPr>
      <w:r/>
    </w:p>
    <w:p>
      <w:pPr>
        <w:spacing w:line="13831" w:lineRule="exact"/>
        <w:rPr/>
      </w:pPr>
      <w:r>
        <w:rPr>
          <w:position w:val="-276"/>
        </w:rPr>
        <w:drawing>
          <wp:inline distT="0" distB="0" distL="0" distR="0">
            <wp:extent cx="6187440" cy="8782811"/>
            <wp:effectExtent l="0" t="0" r="0" b="0"/>
            <wp:docPr id="100" name="IM 100"/>
            <wp:cNvGraphicFramePr/>
            <a:graphic>
              <a:graphicData uri="http://schemas.openxmlformats.org/drawingml/2006/picture">
                <pic:pic>
                  <pic:nvPicPr>
                    <pic:cNvPr id="100" name="IM 100"/>
                    <pic:cNvPicPr/>
                  </pic:nvPicPr>
                  <pic:blipFill>
                    <a:blip r:embed="rId175"/>
                    <a:stretch>
                      <a:fillRect/>
                    </a:stretch>
                  </pic:blipFill>
                  <pic:spPr>
                    <a:xfrm rot="0">
                      <a:off x="0" y="0"/>
                      <a:ext cx="6187440" cy="8782811"/>
                    </a:xfrm>
                    <a:prstGeom prst="rect">
                      <a:avLst/>
                    </a:prstGeom>
                  </pic:spPr>
                </pic:pic>
              </a:graphicData>
            </a:graphic>
          </wp:inline>
        </w:drawing>
      </w:r>
    </w:p>
    <w:p>
      <w:pPr>
        <w:spacing w:line="13831" w:lineRule="exact"/>
        <w:sectPr>
          <w:footerReference w:type="default" r:id="rId174"/>
          <w:pgSz w:w="11906" w:h="16839"/>
          <w:pgMar w:top="1179" w:right="1080" w:bottom="1252" w:left="1080" w:header="851" w:footer="1090" w:gutter="0"/>
        </w:sectPr>
        <w:rPr/>
      </w:pPr>
    </w:p>
    <w:p>
      <w:pPr>
        <w:spacing w:line="258" w:lineRule="auto"/>
        <w:rPr>
          <w:rFonts w:ascii="Arial"/>
          <w:sz w:val="21"/>
        </w:rPr>
      </w:pPr>
      <w:r/>
    </w:p>
    <w:p>
      <w:pPr>
        <w:spacing w:line="13831" w:lineRule="exact"/>
        <w:rPr/>
      </w:pPr>
      <w:r>
        <w:rPr>
          <w:position w:val="-276"/>
        </w:rPr>
        <w:drawing>
          <wp:inline distT="0" distB="0" distL="0" distR="0">
            <wp:extent cx="6187440" cy="8782811"/>
            <wp:effectExtent l="0" t="0" r="0" b="0"/>
            <wp:docPr id="102" name="IM 102"/>
            <wp:cNvGraphicFramePr/>
            <a:graphic>
              <a:graphicData uri="http://schemas.openxmlformats.org/drawingml/2006/picture">
                <pic:pic>
                  <pic:nvPicPr>
                    <pic:cNvPr id="102" name="IM 102"/>
                    <pic:cNvPicPr/>
                  </pic:nvPicPr>
                  <pic:blipFill>
                    <a:blip r:embed="rId177"/>
                    <a:stretch>
                      <a:fillRect/>
                    </a:stretch>
                  </pic:blipFill>
                  <pic:spPr>
                    <a:xfrm rot="0">
                      <a:off x="0" y="0"/>
                      <a:ext cx="6187440" cy="8782811"/>
                    </a:xfrm>
                    <a:prstGeom prst="rect">
                      <a:avLst/>
                    </a:prstGeom>
                  </pic:spPr>
                </pic:pic>
              </a:graphicData>
            </a:graphic>
          </wp:inline>
        </w:drawing>
      </w:r>
    </w:p>
    <w:p>
      <w:pPr>
        <w:spacing w:line="13831" w:lineRule="exact"/>
        <w:sectPr>
          <w:footerReference w:type="default" r:id="rId176"/>
          <w:pgSz w:w="11906" w:h="16839"/>
          <w:pgMar w:top="1179" w:right="1080" w:bottom="1252" w:left="1080" w:header="851" w:footer="1090" w:gutter="0"/>
        </w:sectPr>
        <w:rPr/>
      </w:pPr>
    </w:p>
    <w:p>
      <w:pPr>
        <w:spacing w:line="258" w:lineRule="auto"/>
        <w:rPr>
          <w:rFonts w:ascii="Arial"/>
          <w:sz w:val="21"/>
        </w:rPr>
      </w:pPr>
      <w:r/>
    </w:p>
    <w:p>
      <w:pPr>
        <w:ind w:firstLine="57"/>
        <w:spacing w:line="13615" w:lineRule="exact"/>
        <w:rPr/>
      </w:pPr>
      <w:r>
        <w:rPr>
          <w:position w:val="-272"/>
        </w:rPr>
        <w:drawing>
          <wp:inline distT="0" distB="0" distL="0" distR="0">
            <wp:extent cx="6100571" cy="8645652"/>
            <wp:effectExtent l="0" t="0" r="0" b="0"/>
            <wp:docPr id="104" name="IM 104"/>
            <wp:cNvGraphicFramePr/>
            <a:graphic>
              <a:graphicData uri="http://schemas.openxmlformats.org/drawingml/2006/picture">
                <pic:pic>
                  <pic:nvPicPr>
                    <pic:cNvPr id="104" name="IM 104"/>
                    <pic:cNvPicPr/>
                  </pic:nvPicPr>
                  <pic:blipFill>
                    <a:blip r:embed="rId179"/>
                    <a:stretch>
                      <a:fillRect/>
                    </a:stretch>
                  </pic:blipFill>
                  <pic:spPr>
                    <a:xfrm rot="0">
                      <a:off x="0" y="0"/>
                      <a:ext cx="6100571" cy="8645652"/>
                    </a:xfrm>
                    <a:prstGeom prst="rect">
                      <a:avLst/>
                    </a:prstGeom>
                  </pic:spPr>
                </pic:pic>
              </a:graphicData>
            </a:graphic>
          </wp:inline>
        </w:drawing>
      </w:r>
    </w:p>
    <w:sectPr>
      <w:footerReference w:type="default" r:id="rId178"/>
      <w:pgSz w:w="11906" w:h="16839"/>
      <w:pgMar w:top="1179" w:right="1080" w:bottom="1252" w:left="1080" w:header="851" w:footer="109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10"/>
      <w:spacing w:line="176" w:lineRule="auto"/>
      <w:rPr>
        <w:sz w:val="18"/>
        <w:szCs w:val="18"/>
      </w:rPr>
    </w:pPr>
    <w:r>
      <w:rPr>
        <w:sz w:val="18"/>
        <w:szCs w:val="18"/>
        <w:spacing w:val="-5"/>
      </w:rPr>
      <w:t>-</w:t>
    </w:r>
    <w:r>
      <w:rPr>
        <w:sz w:val="18"/>
        <w:szCs w:val="18"/>
        <w:spacing w:val="5"/>
      </w:rPr>
      <w:t xml:space="preserve"> </w:t>
    </w:r>
    <w:r>
      <w:rPr>
        <w:sz w:val="18"/>
        <w:szCs w:val="18"/>
        <w:spacing w:val="-5"/>
      </w:rPr>
      <w:t>9</w:t>
    </w:r>
    <w:r>
      <w:rPr>
        <w:sz w:val="18"/>
        <w:szCs w:val="18"/>
        <w:spacing w:val="6"/>
      </w:rPr>
      <w:t xml:space="preserve"> </w:t>
    </w:r>
    <w:r>
      <w:rPr>
        <w:sz w:val="18"/>
        <w:szCs w:val="18"/>
        <w:spacing w:val="-5"/>
      </w:rPr>
      <w:t>-</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444"/>
      <w:spacing w:line="176" w:lineRule="auto"/>
      <w:rPr>
        <w:sz w:val="18"/>
        <w:szCs w:val="18"/>
      </w:rPr>
    </w:pPr>
    <w:r>
      <w:rPr>
        <w:sz w:val="18"/>
        <w:szCs w:val="18"/>
        <w:spacing w:val="-7"/>
      </w:rPr>
      <w:t>-</w:t>
    </w:r>
    <w:r>
      <w:rPr>
        <w:sz w:val="18"/>
        <w:szCs w:val="18"/>
        <w:spacing w:val="19"/>
      </w:rPr>
      <w:t xml:space="preserve"> </w:t>
    </w:r>
    <w:r>
      <w:rPr>
        <w:sz w:val="18"/>
        <w:szCs w:val="18"/>
        <w:spacing w:val="-7"/>
      </w:rPr>
      <w:t>10</w:t>
    </w:r>
    <w:r>
      <w:rPr>
        <w:sz w:val="18"/>
        <w:szCs w:val="18"/>
        <w:spacing w:val="6"/>
      </w:rPr>
      <w:t xml:space="preserve"> </w:t>
    </w:r>
    <w:r>
      <w:rPr>
        <w:sz w:val="18"/>
        <w:szCs w:val="18"/>
        <w:spacing w:val="-7"/>
      </w:rPr>
      <w:t>-</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444"/>
      <w:spacing w:line="176" w:lineRule="auto"/>
      <w:rPr>
        <w:sz w:val="18"/>
        <w:szCs w:val="18"/>
      </w:rPr>
    </w:pPr>
    <w:r>
      <w:rPr>
        <w:sz w:val="18"/>
        <w:szCs w:val="18"/>
        <w:spacing w:val="-7"/>
      </w:rPr>
      <w:t>-</w:t>
    </w:r>
    <w:r>
      <w:rPr>
        <w:sz w:val="18"/>
        <w:szCs w:val="18"/>
        <w:spacing w:val="19"/>
      </w:rPr>
      <w:t xml:space="preserve"> </w:t>
    </w:r>
    <w:r>
      <w:rPr>
        <w:sz w:val="18"/>
        <w:szCs w:val="18"/>
        <w:spacing w:val="-7"/>
      </w:rPr>
      <w:t>11</w:t>
    </w:r>
    <w:r>
      <w:rPr>
        <w:sz w:val="18"/>
        <w:szCs w:val="18"/>
        <w:spacing w:val="6"/>
      </w:rPr>
      <w:t xml:space="preserve"> </w:t>
    </w:r>
    <w:r>
      <w:rPr>
        <w:sz w:val="18"/>
        <w:szCs w:val="18"/>
        <w:spacing w:val="-7"/>
      </w:rPr>
      <w:t>-</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444"/>
      <w:spacing w:line="176" w:lineRule="auto"/>
      <w:rPr>
        <w:sz w:val="18"/>
        <w:szCs w:val="18"/>
      </w:rPr>
    </w:pPr>
    <w:r>
      <w:rPr>
        <w:sz w:val="18"/>
        <w:szCs w:val="18"/>
        <w:spacing w:val="-7"/>
      </w:rPr>
      <w:t>-</w:t>
    </w:r>
    <w:r>
      <w:rPr>
        <w:sz w:val="18"/>
        <w:szCs w:val="18"/>
        <w:spacing w:val="19"/>
      </w:rPr>
      <w:t xml:space="preserve"> </w:t>
    </w:r>
    <w:r>
      <w:rPr>
        <w:sz w:val="18"/>
        <w:szCs w:val="18"/>
        <w:spacing w:val="-7"/>
      </w:rPr>
      <w:t>12</w:t>
    </w:r>
    <w:r>
      <w:rPr>
        <w:sz w:val="18"/>
        <w:szCs w:val="18"/>
        <w:spacing w:val="6"/>
      </w:rPr>
      <w:t xml:space="preserve"> </w:t>
    </w:r>
    <w:r>
      <w:rPr>
        <w:sz w:val="18"/>
        <w:szCs w:val="18"/>
        <w:spacing w:val="-7"/>
      </w:rPr>
      <w:t>-</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6" w:lineRule="auto"/>
      <w:rPr>
        <w:sz w:val="18"/>
        <w:szCs w:val="18"/>
      </w:rPr>
    </w:pPr>
    <w:r>
      <w:rPr>
        <w:sz w:val="18"/>
        <w:szCs w:val="18"/>
        <w:spacing w:val="-7"/>
      </w:rPr>
      <w:t>-</w:t>
    </w:r>
    <w:r>
      <w:rPr>
        <w:sz w:val="18"/>
        <w:szCs w:val="18"/>
        <w:spacing w:val="19"/>
      </w:rPr>
      <w:t xml:space="preserve"> </w:t>
    </w:r>
    <w:r>
      <w:rPr>
        <w:sz w:val="18"/>
        <w:szCs w:val="18"/>
        <w:spacing w:val="-7"/>
      </w:rPr>
      <w:t>13</w:t>
    </w:r>
    <w:r>
      <w:rPr>
        <w:sz w:val="18"/>
        <w:szCs w:val="18"/>
        <w:spacing w:val="6"/>
      </w:rPr>
      <w:t xml:space="preserve"> </w:t>
    </w:r>
    <w:r>
      <w:rPr>
        <w:sz w:val="18"/>
        <w:szCs w:val="18"/>
        <w:spacing w:val="-7"/>
      </w:rPr>
      <w:t>-</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6" w:lineRule="auto"/>
      <w:rPr>
        <w:sz w:val="18"/>
        <w:szCs w:val="18"/>
      </w:rPr>
    </w:pPr>
    <w:r>
      <w:rPr>
        <w:sz w:val="18"/>
        <w:szCs w:val="18"/>
        <w:spacing w:val="-7"/>
      </w:rPr>
      <w:t>-</w:t>
    </w:r>
    <w:r>
      <w:rPr>
        <w:sz w:val="18"/>
        <w:szCs w:val="18"/>
        <w:spacing w:val="19"/>
      </w:rPr>
      <w:t xml:space="preserve"> </w:t>
    </w:r>
    <w:r>
      <w:rPr>
        <w:sz w:val="18"/>
        <w:szCs w:val="18"/>
        <w:spacing w:val="-7"/>
      </w:rPr>
      <w:t>14</w:t>
    </w:r>
    <w:r>
      <w:rPr>
        <w:sz w:val="18"/>
        <w:szCs w:val="18"/>
        <w:spacing w:val="6"/>
      </w:rPr>
      <w:t xml:space="preserve"> </w:t>
    </w:r>
    <w:r>
      <w:rPr>
        <w:sz w:val="18"/>
        <w:szCs w:val="18"/>
        <w:spacing w:val="-7"/>
      </w:rPr>
      <w:t>-</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77"/>
      <w:spacing w:line="176" w:lineRule="auto"/>
      <w:rPr>
        <w:sz w:val="18"/>
        <w:szCs w:val="18"/>
      </w:rPr>
    </w:pPr>
    <w:r>
      <w:rPr>
        <w:sz w:val="18"/>
        <w:szCs w:val="18"/>
        <w:spacing w:val="-7"/>
      </w:rPr>
      <w:t>-</w:t>
    </w:r>
    <w:r>
      <w:rPr>
        <w:sz w:val="18"/>
        <w:szCs w:val="18"/>
        <w:spacing w:val="19"/>
      </w:rPr>
      <w:t xml:space="preserve"> </w:t>
    </w:r>
    <w:r>
      <w:rPr>
        <w:sz w:val="18"/>
        <w:szCs w:val="18"/>
        <w:spacing w:val="-7"/>
      </w:rPr>
      <w:t>15</w:t>
    </w:r>
    <w:r>
      <w:rPr>
        <w:sz w:val="18"/>
        <w:szCs w:val="18"/>
        <w:spacing w:val="6"/>
      </w:rPr>
      <w:t xml:space="preserve"> </w:t>
    </w:r>
    <w:r>
      <w:rPr>
        <w:sz w:val="18"/>
        <w:szCs w:val="18"/>
        <w:spacing w:val="-7"/>
      </w:rPr>
      <w:t>-</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77"/>
      <w:spacing w:line="176" w:lineRule="auto"/>
      <w:rPr>
        <w:sz w:val="18"/>
        <w:szCs w:val="18"/>
      </w:rPr>
    </w:pPr>
    <w:r>
      <w:rPr>
        <w:sz w:val="18"/>
        <w:szCs w:val="18"/>
        <w:spacing w:val="-7"/>
      </w:rPr>
      <w:t>-</w:t>
    </w:r>
    <w:r>
      <w:rPr>
        <w:sz w:val="18"/>
        <w:szCs w:val="18"/>
        <w:spacing w:val="19"/>
      </w:rPr>
      <w:t xml:space="preserve"> </w:t>
    </w:r>
    <w:r>
      <w:rPr>
        <w:sz w:val="18"/>
        <w:szCs w:val="18"/>
        <w:spacing w:val="-7"/>
      </w:rPr>
      <w:t>16</w:t>
    </w:r>
    <w:r>
      <w:rPr>
        <w:sz w:val="18"/>
        <w:szCs w:val="18"/>
        <w:spacing w:val="6"/>
      </w:rPr>
      <w:t xml:space="preserve"> </w:t>
    </w:r>
    <w:r>
      <w:rPr>
        <w:sz w:val="18"/>
        <w:szCs w:val="18"/>
        <w:spacing w:val="-7"/>
      </w:rPr>
      <w:t>-</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77"/>
      <w:spacing w:line="176" w:lineRule="auto"/>
      <w:rPr>
        <w:sz w:val="18"/>
        <w:szCs w:val="18"/>
      </w:rPr>
    </w:pPr>
    <w:r>
      <w:rPr>
        <w:sz w:val="18"/>
        <w:szCs w:val="18"/>
        <w:spacing w:val="-7"/>
      </w:rPr>
      <w:t>-</w:t>
    </w:r>
    <w:r>
      <w:rPr>
        <w:sz w:val="18"/>
        <w:szCs w:val="18"/>
        <w:spacing w:val="19"/>
      </w:rPr>
      <w:t xml:space="preserve"> </w:t>
    </w:r>
    <w:r>
      <w:rPr>
        <w:sz w:val="18"/>
        <w:szCs w:val="18"/>
        <w:spacing w:val="-7"/>
      </w:rPr>
      <w:t>17</w:t>
    </w:r>
    <w:r>
      <w:rPr>
        <w:sz w:val="18"/>
        <w:szCs w:val="18"/>
        <w:spacing w:val="6"/>
      </w:rPr>
      <w:t xml:space="preserve"> </w:t>
    </w:r>
    <w:r>
      <w:rPr>
        <w:sz w:val="18"/>
        <w:szCs w:val="18"/>
        <w:spacing w:val="-7"/>
      </w:rPr>
      <w:t>-</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77"/>
      <w:spacing w:line="176" w:lineRule="auto"/>
      <w:rPr>
        <w:sz w:val="18"/>
        <w:szCs w:val="18"/>
      </w:rPr>
    </w:pPr>
    <w:r>
      <w:rPr>
        <w:sz w:val="18"/>
        <w:szCs w:val="18"/>
        <w:spacing w:val="-7"/>
      </w:rPr>
      <w:t>-</w:t>
    </w:r>
    <w:r>
      <w:rPr>
        <w:sz w:val="18"/>
        <w:szCs w:val="18"/>
        <w:spacing w:val="19"/>
      </w:rPr>
      <w:t xml:space="preserve"> </w:t>
    </w:r>
    <w:r>
      <w:rPr>
        <w:sz w:val="18"/>
        <w:szCs w:val="18"/>
        <w:spacing w:val="-7"/>
      </w:rPr>
      <w:t>18</w:t>
    </w:r>
    <w:r>
      <w:rPr>
        <w:sz w:val="18"/>
        <w:szCs w:val="18"/>
        <w:spacing w:val="6"/>
      </w:rPr>
      <w:t xml:space="preserve"> </w:t>
    </w:r>
    <w:r>
      <w:rPr>
        <w:sz w:val="18"/>
        <w:szCs w:val="18"/>
        <w:spacing w:val="-7"/>
      </w:rPr>
      <w:t>-</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10"/>
      <w:spacing w:line="176" w:lineRule="auto"/>
      <w:rPr>
        <w:sz w:val="18"/>
        <w:szCs w:val="18"/>
      </w:rPr>
    </w:pPr>
    <w:r>
      <w:rPr>
        <w:sz w:val="18"/>
        <w:szCs w:val="18"/>
        <w:spacing w:val="-10"/>
      </w:rPr>
      <w:t>-</w:t>
    </w:r>
    <w:r>
      <w:rPr>
        <w:sz w:val="18"/>
        <w:szCs w:val="18"/>
        <w:spacing w:val="19"/>
        <w:w w:val="101"/>
      </w:rPr>
      <w:t xml:space="preserve"> </w:t>
    </w:r>
    <w:r>
      <w:rPr>
        <w:sz w:val="18"/>
        <w:szCs w:val="18"/>
        <w:spacing w:val="-10"/>
      </w:rPr>
      <w:t>1</w:t>
    </w:r>
    <w:r>
      <w:rPr>
        <w:sz w:val="18"/>
        <w:szCs w:val="18"/>
        <w:spacing w:val="7"/>
      </w:rPr>
      <w:t xml:space="preserve"> </w:t>
    </w:r>
    <w:r>
      <w:rPr>
        <w:sz w:val="18"/>
        <w:szCs w:val="18"/>
        <w:spacing w:val="-10"/>
      </w:rPr>
      <w:t>-</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77"/>
      <w:spacing w:line="176" w:lineRule="auto"/>
      <w:rPr>
        <w:sz w:val="18"/>
        <w:szCs w:val="18"/>
      </w:rPr>
    </w:pPr>
    <w:r>
      <w:rPr>
        <w:sz w:val="18"/>
        <w:szCs w:val="18"/>
        <w:spacing w:val="-7"/>
      </w:rPr>
      <w:t>-</w:t>
    </w:r>
    <w:r>
      <w:rPr>
        <w:sz w:val="18"/>
        <w:szCs w:val="18"/>
        <w:spacing w:val="19"/>
      </w:rPr>
      <w:t xml:space="preserve"> </w:t>
    </w:r>
    <w:r>
      <w:rPr>
        <w:sz w:val="18"/>
        <w:szCs w:val="18"/>
        <w:spacing w:val="-7"/>
      </w:rPr>
      <w:t>19</w:t>
    </w:r>
    <w:r>
      <w:rPr>
        <w:sz w:val="18"/>
        <w:szCs w:val="18"/>
        <w:spacing w:val="6"/>
      </w:rPr>
      <w:t xml:space="preserve"> </w:t>
    </w:r>
    <w:r>
      <w:rPr>
        <w:sz w:val="18"/>
        <w:szCs w:val="18"/>
        <w:spacing w:val="-7"/>
      </w:rPr>
      <w:t>-</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77"/>
      <w:spacing w:line="176" w:lineRule="auto"/>
      <w:rPr>
        <w:sz w:val="18"/>
        <w:szCs w:val="18"/>
      </w:rPr>
    </w:pPr>
    <w:r>
      <w:rPr>
        <w:sz w:val="18"/>
        <w:szCs w:val="18"/>
        <w:spacing w:val="-3"/>
      </w:rPr>
      <w:t>-</w:t>
    </w:r>
    <w:r>
      <w:rPr>
        <w:sz w:val="18"/>
        <w:szCs w:val="18"/>
        <w:spacing w:val="3"/>
      </w:rPr>
      <w:t xml:space="preserve"> </w:t>
    </w:r>
    <w:r>
      <w:rPr>
        <w:sz w:val="18"/>
        <w:szCs w:val="18"/>
        <w:spacing w:val="-3"/>
      </w:rPr>
      <w:t>20</w:t>
    </w:r>
    <w:r>
      <w:rPr>
        <w:sz w:val="18"/>
        <w:szCs w:val="18"/>
        <w:spacing w:val="6"/>
      </w:rPr>
      <w:t xml:space="preserve"> </w:t>
    </w:r>
    <w:r>
      <w:rPr>
        <w:sz w:val="18"/>
        <w:szCs w:val="18"/>
        <w:spacing w:val="-3"/>
      </w:rPr>
      <w:t>-</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6" w:lineRule="auto"/>
      <w:rPr>
        <w:sz w:val="18"/>
        <w:szCs w:val="18"/>
      </w:rPr>
    </w:pPr>
    <w:r>
      <w:rPr>
        <w:sz w:val="18"/>
        <w:szCs w:val="18"/>
        <w:spacing w:val="-3"/>
      </w:rPr>
      <w:t>-</w:t>
    </w:r>
    <w:r>
      <w:rPr>
        <w:sz w:val="18"/>
        <w:szCs w:val="18"/>
        <w:spacing w:val="3"/>
      </w:rPr>
      <w:t xml:space="preserve"> </w:t>
    </w:r>
    <w:r>
      <w:rPr>
        <w:sz w:val="18"/>
        <w:szCs w:val="18"/>
        <w:spacing w:val="-3"/>
      </w:rPr>
      <w:t>21</w:t>
    </w:r>
    <w:r>
      <w:rPr>
        <w:sz w:val="18"/>
        <w:szCs w:val="18"/>
        <w:spacing w:val="6"/>
      </w:rPr>
      <w:t xml:space="preserve"> </w:t>
    </w:r>
    <w:r>
      <w:rPr>
        <w:sz w:val="18"/>
        <w:szCs w:val="18"/>
        <w:spacing w:val="-3"/>
      </w:rPr>
      <w:t>-</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6" w:lineRule="auto"/>
      <w:rPr>
        <w:sz w:val="18"/>
        <w:szCs w:val="18"/>
      </w:rPr>
    </w:pPr>
    <w:r>
      <w:rPr>
        <w:sz w:val="18"/>
        <w:szCs w:val="18"/>
        <w:spacing w:val="-3"/>
      </w:rPr>
      <w:t>-</w:t>
    </w:r>
    <w:r>
      <w:rPr>
        <w:sz w:val="18"/>
        <w:szCs w:val="18"/>
        <w:spacing w:val="3"/>
      </w:rPr>
      <w:t xml:space="preserve"> </w:t>
    </w:r>
    <w:r>
      <w:rPr>
        <w:sz w:val="18"/>
        <w:szCs w:val="18"/>
        <w:spacing w:val="-3"/>
      </w:rPr>
      <w:t>22</w:t>
    </w:r>
    <w:r>
      <w:rPr>
        <w:sz w:val="18"/>
        <w:szCs w:val="18"/>
        <w:spacing w:val="6"/>
      </w:rPr>
      <w:t xml:space="preserve"> </w:t>
    </w:r>
    <w:r>
      <w:rPr>
        <w:sz w:val="18"/>
        <w:szCs w:val="18"/>
        <w:spacing w:val="-3"/>
      </w:rPr>
      <w:t>-</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6" w:lineRule="auto"/>
      <w:rPr>
        <w:sz w:val="18"/>
        <w:szCs w:val="18"/>
      </w:rPr>
    </w:pPr>
    <w:r>
      <w:rPr>
        <w:sz w:val="18"/>
        <w:szCs w:val="18"/>
        <w:spacing w:val="-3"/>
      </w:rPr>
      <w:t>-</w:t>
    </w:r>
    <w:r>
      <w:rPr>
        <w:sz w:val="18"/>
        <w:szCs w:val="18"/>
        <w:spacing w:val="3"/>
      </w:rPr>
      <w:t xml:space="preserve"> </w:t>
    </w:r>
    <w:r>
      <w:rPr>
        <w:sz w:val="18"/>
        <w:szCs w:val="18"/>
        <w:spacing w:val="-3"/>
      </w:rPr>
      <w:t>23</w:t>
    </w:r>
    <w:r>
      <w:rPr>
        <w:sz w:val="18"/>
        <w:szCs w:val="18"/>
        <w:spacing w:val="6"/>
      </w:rPr>
      <w:t xml:space="preserve"> </w:t>
    </w:r>
    <w:r>
      <w:rPr>
        <w:sz w:val="18"/>
        <w:szCs w:val="18"/>
        <w:spacing w:val="-3"/>
      </w:rPr>
      <w:t>-</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6" w:lineRule="auto"/>
      <w:rPr>
        <w:sz w:val="18"/>
        <w:szCs w:val="18"/>
      </w:rPr>
    </w:pPr>
    <w:r>
      <w:rPr>
        <w:sz w:val="18"/>
        <w:szCs w:val="18"/>
        <w:spacing w:val="-3"/>
      </w:rPr>
      <w:t>-</w:t>
    </w:r>
    <w:r>
      <w:rPr>
        <w:sz w:val="18"/>
        <w:szCs w:val="18"/>
        <w:spacing w:val="3"/>
      </w:rPr>
      <w:t xml:space="preserve"> </w:t>
    </w:r>
    <w:r>
      <w:rPr>
        <w:sz w:val="18"/>
        <w:szCs w:val="18"/>
        <w:spacing w:val="-3"/>
      </w:rPr>
      <w:t>24</w:t>
    </w:r>
    <w:r>
      <w:rPr>
        <w:sz w:val="18"/>
        <w:szCs w:val="18"/>
        <w:spacing w:val="6"/>
      </w:rPr>
      <w:t xml:space="preserve"> </w:t>
    </w:r>
    <w:r>
      <w:rPr>
        <w:sz w:val="18"/>
        <w:szCs w:val="18"/>
        <w:spacing w:val="-3"/>
      </w:rPr>
      <w:t>-</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72"/>
      <w:spacing w:line="176" w:lineRule="auto"/>
      <w:rPr>
        <w:sz w:val="18"/>
        <w:szCs w:val="18"/>
      </w:rPr>
    </w:pPr>
    <w:r>
      <w:rPr>
        <w:sz w:val="18"/>
        <w:szCs w:val="18"/>
        <w:spacing w:val="-3"/>
      </w:rPr>
      <w:t>-</w:t>
    </w:r>
    <w:r>
      <w:rPr>
        <w:sz w:val="18"/>
        <w:szCs w:val="18"/>
        <w:spacing w:val="3"/>
      </w:rPr>
      <w:t xml:space="preserve"> </w:t>
    </w:r>
    <w:r>
      <w:rPr>
        <w:sz w:val="18"/>
        <w:szCs w:val="18"/>
        <w:spacing w:val="-3"/>
      </w:rPr>
      <w:t>25</w:t>
    </w:r>
    <w:r>
      <w:rPr>
        <w:sz w:val="18"/>
        <w:szCs w:val="18"/>
        <w:spacing w:val="6"/>
      </w:rPr>
      <w:t xml:space="preserve"> </w:t>
    </w:r>
    <w:r>
      <w:rPr>
        <w:sz w:val="18"/>
        <w:szCs w:val="18"/>
        <w:spacing w:val="-3"/>
      </w:rPr>
      <w:t>-</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6" w:lineRule="auto"/>
      <w:rPr>
        <w:sz w:val="18"/>
        <w:szCs w:val="18"/>
      </w:rPr>
    </w:pPr>
    <w:r>
      <w:rPr>
        <w:sz w:val="18"/>
        <w:szCs w:val="18"/>
        <w:spacing w:val="-3"/>
      </w:rPr>
      <w:t>-</w:t>
    </w:r>
    <w:r>
      <w:rPr>
        <w:sz w:val="18"/>
        <w:szCs w:val="18"/>
        <w:spacing w:val="3"/>
      </w:rPr>
      <w:t xml:space="preserve"> </w:t>
    </w:r>
    <w:r>
      <w:rPr>
        <w:sz w:val="18"/>
        <w:szCs w:val="18"/>
        <w:spacing w:val="-3"/>
      </w:rPr>
      <w:t>26</w:t>
    </w:r>
    <w:r>
      <w:rPr>
        <w:sz w:val="18"/>
        <w:szCs w:val="18"/>
        <w:spacing w:val="6"/>
      </w:rPr>
      <w:t xml:space="preserve"> </w:t>
    </w:r>
    <w:r>
      <w:rPr>
        <w:sz w:val="18"/>
        <w:szCs w:val="18"/>
        <w:spacing w:val="-3"/>
      </w:rPr>
      <w:t>-</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77"/>
      <w:spacing w:line="176" w:lineRule="auto"/>
      <w:rPr>
        <w:sz w:val="18"/>
        <w:szCs w:val="18"/>
      </w:rPr>
    </w:pPr>
    <w:r>
      <w:rPr>
        <w:sz w:val="18"/>
        <w:szCs w:val="18"/>
        <w:spacing w:val="-3"/>
      </w:rPr>
      <w:t>-</w:t>
    </w:r>
    <w:r>
      <w:rPr>
        <w:sz w:val="18"/>
        <w:szCs w:val="18"/>
        <w:spacing w:val="3"/>
      </w:rPr>
      <w:t xml:space="preserve"> </w:t>
    </w:r>
    <w:r>
      <w:rPr>
        <w:sz w:val="18"/>
        <w:szCs w:val="18"/>
        <w:spacing w:val="-3"/>
      </w:rPr>
      <w:t>27</w:t>
    </w:r>
    <w:r>
      <w:rPr>
        <w:sz w:val="18"/>
        <w:szCs w:val="18"/>
        <w:spacing w:val="6"/>
      </w:rPr>
      <w:t xml:space="preserve"> </w:t>
    </w:r>
    <w:r>
      <w:rPr>
        <w:sz w:val="18"/>
        <w:szCs w:val="18"/>
        <w:spacing w:val="-3"/>
      </w:rPr>
      <w:t>-</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77"/>
      <w:spacing w:line="176" w:lineRule="auto"/>
      <w:rPr>
        <w:sz w:val="18"/>
        <w:szCs w:val="18"/>
      </w:rPr>
    </w:pPr>
    <w:r>
      <w:rPr>
        <w:sz w:val="18"/>
        <w:szCs w:val="18"/>
        <w:spacing w:val="-3"/>
      </w:rPr>
      <w:t>-</w:t>
    </w:r>
    <w:r>
      <w:rPr>
        <w:sz w:val="18"/>
        <w:szCs w:val="18"/>
        <w:spacing w:val="3"/>
      </w:rPr>
      <w:t xml:space="preserve"> </w:t>
    </w:r>
    <w:r>
      <w:rPr>
        <w:sz w:val="18"/>
        <w:szCs w:val="18"/>
        <w:spacing w:val="-3"/>
      </w:rPr>
      <w:t>28</w:t>
    </w:r>
    <w:r>
      <w:rPr>
        <w:sz w:val="18"/>
        <w:szCs w:val="18"/>
        <w:spacing w:val="6"/>
      </w:rPr>
      <w:t xml:space="preserve"> </w:t>
    </w:r>
    <w:r>
      <w:rPr>
        <w:sz w:val="18"/>
        <w:szCs w:val="18"/>
        <w:spacing w:val="-3"/>
      </w:rPr>
      <w:t>-</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10"/>
      <w:spacing w:line="176" w:lineRule="auto"/>
      <w:rPr>
        <w:sz w:val="18"/>
        <w:szCs w:val="18"/>
      </w:rPr>
    </w:pPr>
    <w:r>
      <w:rPr>
        <w:sz w:val="18"/>
        <w:szCs w:val="18"/>
        <w:spacing w:val="-4"/>
      </w:rPr>
      <w:t>-</w:t>
    </w:r>
    <w:r>
      <w:rPr>
        <w:sz w:val="18"/>
        <w:szCs w:val="18"/>
        <w:spacing w:val="2"/>
      </w:rPr>
      <w:t xml:space="preserve"> </w:t>
    </w:r>
    <w:r>
      <w:rPr>
        <w:sz w:val="18"/>
        <w:szCs w:val="18"/>
        <w:spacing w:val="-4"/>
      </w:rPr>
      <w:t>2</w:t>
    </w:r>
    <w:r>
      <w:rPr>
        <w:sz w:val="18"/>
        <w:szCs w:val="18"/>
        <w:spacing w:val="6"/>
      </w:rPr>
      <w:t xml:space="preserve"> </w:t>
    </w:r>
    <w:r>
      <w:rPr>
        <w:sz w:val="18"/>
        <w:szCs w:val="18"/>
        <w:spacing w:val="-4"/>
      </w:rPr>
      <w:t>-</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99"/>
      <w:spacing w:line="176" w:lineRule="auto"/>
      <w:rPr>
        <w:sz w:val="18"/>
        <w:szCs w:val="18"/>
      </w:rPr>
    </w:pPr>
    <w:r>
      <w:rPr>
        <w:sz w:val="18"/>
        <w:szCs w:val="18"/>
        <w:spacing w:val="-3"/>
      </w:rPr>
      <w:t>-</w:t>
    </w:r>
    <w:r>
      <w:rPr>
        <w:sz w:val="18"/>
        <w:szCs w:val="18"/>
        <w:spacing w:val="3"/>
      </w:rPr>
      <w:t xml:space="preserve"> </w:t>
    </w:r>
    <w:r>
      <w:rPr>
        <w:sz w:val="18"/>
        <w:szCs w:val="18"/>
        <w:spacing w:val="-3"/>
      </w:rPr>
      <w:t>29</w:t>
    </w:r>
    <w:r>
      <w:rPr>
        <w:sz w:val="18"/>
        <w:szCs w:val="18"/>
        <w:spacing w:val="6"/>
      </w:rPr>
      <w:t xml:space="preserve"> </w:t>
    </w:r>
    <w:r>
      <w:rPr>
        <w:sz w:val="18"/>
        <w:szCs w:val="18"/>
        <w:spacing w:val="-3"/>
      </w:rPr>
      <w:t>-</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99"/>
      <w:spacing w:line="176" w:lineRule="auto"/>
      <w:rPr>
        <w:sz w:val="18"/>
        <w:szCs w:val="18"/>
      </w:rPr>
    </w:pPr>
    <w:r>
      <w:rPr>
        <w:sz w:val="18"/>
        <w:szCs w:val="18"/>
        <w:spacing w:val="-4"/>
      </w:rPr>
      <w:t>-</w:t>
    </w:r>
    <w:r>
      <w:rPr>
        <w:sz w:val="18"/>
        <w:szCs w:val="18"/>
        <w:spacing w:val="7"/>
      </w:rPr>
      <w:t xml:space="preserve"> </w:t>
    </w:r>
    <w:r>
      <w:rPr>
        <w:sz w:val="18"/>
        <w:szCs w:val="18"/>
        <w:spacing w:val="-4"/>
      </w:rPr>
      <w:t>30</w:t>
    </w:r>
    <w:r>
      <w:rPr>
        <w:sz w:val="18"/>
        <w:szCs w:val="18"/>
        <w:spacing w:val="6"/>
      </w:rPr>
      <w:t xml:space="preserve"> </w:t>
    </w:r>
    <w:r>
      <w:rPr>
        <w:sz w:val="18"/>
        <w:szCs w:val="18"/>
        <w:spacing w:val="-4"/>
      </w:rPr>
      <w:t>-</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99"/>
      <w:spacing w:line="176" w:lineRule="auto"/>
      <w:rPr>
        <w:sz w:val="18"/>
        <w:szCs w:val="18"/>
      </w:rPr>
    </w:pPr>
    <w:r>
      <w:rPr>
        <w:sz w:val="18"/>
        <w:szCs w:val="18"/>
        <w:spacing w:val="-4"/>
      </w:rPr>
      <w:t>-</w:t>
    </w:r>
    <w:r>
      <w:rPr>
        <w:sz w:val="18"/>
        <w:szCs w:val="18"/>
        <w:spacing w:val="7"/>
      </w:rPr>
      <w:t xml:space="preserve"> </w:t>
    </w:r>
    <w:r>
      <w:rPr>
        <w:sz w:val="18"/>
        <w:szCs w:val="18"/>
        <w:spacing w:val="-4"/>
      </w:rPr>
      <w:t>31</w:t>
    </w:r>
    <w:r>
      <w:rPr>
        <w:sz w:val="18"/>
        <w:szCs w:val="18"/>
        <w:spacing w:val="6"/>
      </w:rPr>
      <w:t xml:space="preserve"> </w:t>
    </w:r>
    <w:r>
      <w:rPr>
        <w:sz w:val="18"/>
        <w:szCs w:val="18"/>
        <w:spacing w:val="-4"/>
      </w:rPr>
      <w:t>-</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6" w:lineRule="auto"/>
      <w:rPr>
        <w:sz w:val="18"/>
        <w:szCs w:val="18"/>
      </w:rPr>
    </w:pPr>
    <w:r>
      <w:rPr>
        <w:sz w:val="18"/>
        <w:szCs w:val="18"/>
        <w:spacing w:val="-4"/>
      </w:rPr>
      <w:t>-</w:t>
    </w:r>
    <w:r>
      <w:rPr>
        <w:sz w:val="18"/>
        <w:szCs w:val="18"/>
        <w:spacing w:val="7"/>
      </w:rPr>
      <w:t xml:space="preserve"> </w:t>
    </w:r>
    <w:r>
      <w:rPr>
        <w:sz w:val="18"/>
        <w:szCs w:val="18"/>
        <w:spacing w:val="-4"/>
      </w:rPr>
      <w:t>32</w:t>
    </w:r>
    <w:r>
      <w:rPr>
        <w:sz w:val="18"/>
        <w:szCs w:val="18"/>
        <w:spacing w:val="6"/>
      </w:rPr>
      <w:t xml:space="preserve"> </w:t>
    </w:r>
    <w:r>
      <w:rPr>
        <w:sz w:val="18"/>
        <w:szCs w:val="18"/>
        <w:spacing w:val="-4"/>
      </w:rPr>
      <w:t>-</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77"/>
      <w:spacing w:line="176" w:lineRule="auto"/>
      <w:rPr>
        <w:sz w:val="18"/>
        <w:szCs w:val="18"/>
      </w:rPr>
    </w:pPr>
    <w:r>
      <w:rPr>
        <w:sz w:val="18"/>
        <w:szCs w:val="18"/>
        <w:spacing w:val="-4"/>
      </w:rPr>
      <w:t>-</w:t>
    </w:r>
    <w:r>
      <w:rPr>
        <w:sz w:val="18"/>
        <w:szCs w:val="18"/>
        <w:spacing w:val="7"/>
      </w:rPr>
      <w:t xml:space="preserve"> </w:t>
    </w:r>
    <w:r>
      <w:rPr>
        <w:sz w:val="18"/>
        <w:szCs w:val="18"/>
        <w:spacing w:val="-4"/>
      </w:rPr>
      <w:t>33</w:t>
    </w:r>
    <w:r>
      <w:rPr>
        <w:sz w:val="18"/>
        <w:szCs w:val="18"/>
        <w:spacing w:val="6"/>
      </w:rPr>
      <w:t xml:space="preserve"> </w:t>
    </w:r>
    <w:r>
      <w:rPr>
        <w:sz w:val="18"/>
        <w:szCs w:val="18"/>
        <w:spacing w:val="-4"/>
      </w:rPr>
      <w:t>-</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7"/>
      <w:spacing w:line="176" w:lineRule="auto"/>
      <w:rPr>
        <w:sz w:val="18"/>
        <w:szCs w:val="18"/>
      </w:rPr>
    </w:pPr>
    <w:r>
      <w:rPr>
        <w:sz w:val="18"/>
        <w:szCs w:val="18"/>
        <w:spacing w:val="-4"/>
      </w:rPr>
      <w:t>-</w:t>
    </w:r>
    <w:r>
      <w:rPr>
        <w:sz w:val="18"/>
        <w:szCs w:val="18"/>
        <w:spacing w:val="7"/>
      </w:rPr>
      <w:t xml:space="preserve"> </w:t>
    </w:r>
    <w:r>
      <w:rPr>
        <w:sz w:val="18"/>
        <w:szCs w:val="18"/>
        <w:spacing w:val="-4"/>
      </w:rPr>
      <w:t>34</w:t>
    </w:r>
    <w:r>
      <w:rPr>
        <w:sz w:val="18"/>
        <w:szCs w:val="18"/>
        <w:spacing w:val="6"/>
      </w:rPr>
      <w:t xml:space="preserve"> </w:t>
    </w:r>
    <w:r>
      <w:rPr>
        <w:sz w:val="18"/>
        <w:szCs w:val="18"/>
        <w:spacing w:val="-4"/>
      </w:rPr>
      <w:t>-</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7"/>
      <w:spacing w:line="176" w:lineRule="auto"/>
      <w:rPr>
        <w:sz w:val="18"/>
        <w:szCs w:val="18"/>
      </w:rPr>
    </w:pPr>
    <w:r>
      <w:rPr>
        <w:sz w:val="18"/>
        <w:szCs w:val="18"/>
        <w:spacing w:val="-4"/>
      </w:rPr>
      <w:t>-</w:t>
    </w:r>
    <w:r>
      <w:rPr>
        <w:sz w:val="18"/>
        <w:szCs w:val="18"/>
        <w:spacing w:val="7"/>
      </w:rPr>
      <w:t xml:space="preserve"> </w:t>
    </w:r>
    <w:r>
      <w:rPr>
        <w:sz w:val="18"/>
        <w:szCs w:val="18"/>
        <w:spacing w:val="-4"/>
      </w:rPr>
      <w:t>35</w:t>
    </w:r>
    <w:r>
      <w:rPr>
        <w:sz w:val="18"/>
        <w:szCs w:val="18"/>
        <w:spacing w:val="6"/>
      </w:rPr>
      <w:t xml:space="preserve"> </w:t>
    </w:r>
    <w:r>
      <w:rPr>
        <w:sz w:val="18"/>
        <w:szCs w:val="18"/>
        <w:spacing w:val="-4"/>
      </w:rPr>
      <w:t>-</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75"/>
      <w:spacing w:line="176" w:lineRule="auto"/>
      <w:rPr>
        <w:sz w:val="18"/>
        <w:szCs w:val="18"/>
      </w:rPr>
    </w:pPr>
    <w:r>
      <w:rPr>
        <w:sz w:val="18"/>
        <w:szCs w:val="18"/>
        <w:spacing w:val="-4"/>
      </w:rPr>
      <w:t>-</w:t>
    </w:r>
    <w:r>
      <w:rPr>
        <w:sz w:val="18"/>
        <w:szCs w:val="18"/>
        <w:spacing w:val="7"/>
      </w:rPr>
      <w:t xml:space="preserve"> </w:t>
    </w:r>
    <w:r>
      <w:rPr>
        <w:sz w:val="18"/>
        <w:szCs w:val="18"/>
        <w:spacing w:val="-4"/>
      </w:rPr>
      <w:t>36</w:t>
    </w:r>
    <w:r>
      <w:rPr>
        <w:sz w:val="18"/>
        <w:szCs w:val="18"/>
        <w:spacing w:val="6"/>
      </w:rPr>
      <w:t xml:space="preserve"> </w:t>
    </w:r>
    <w:r>
      <w:rPr>
        <w:sz w:val="18"/>
        <w:szCs w:val="18"/>
        <w:spacing w:val="-4"/>
      </w:rPr>
      <w:t>-</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6" w:lineRule="auto"/>
      <w:rPr>
        <w:sz w:val="18"/>
        <w:szCs w:val="18"/>
      </w:rPr>
    </w:pPr>
    <w:r>
      <w:rPr>
        <w:sz w:val="18"/>
        <w:szCs w:val="18"/>
        <w:spacing w:val="-4"/>
      </w:rPr>
      <w:t>-</w:t>
    </w:r>
    <w:r>
      <w:rPr>
        <w:sz w:val="18"/>
        <w:szCs w:val="18"/>
        <w:spacing w:val="7"/>
      </w:rPr>
      <w:t xml:space="preserve"> </w:t>
    </w:r>
    <w:r>
      <w:rPr>
        <w:sz w:val="18"/>
        <w:szCs w:val="18"/>
        <w:spacing w:val="-4"/>
      </w:rPr>
      <w:t>37</w:t>
    </w:r>
    <w:r>
      <w:rPr>
        <w:sz w:val="18"/>
        <w:szCs w:val="18"/>
        <w:spacing w:val="6"/>
      </w:rPr>
      <w:t xml:space="preserve"> </w:t>
    </w:r>
    <w:r>
      <w:rPr>
        <w:sz w:val="18"/>
        <w:szCs w:val="18"/>
        <w:spacing w:val="-4"/>
      </w:rPr>
      <w:t>-</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6" w:lineRule="auto"/>
      <w:rPr>
        <w:sz w:val="18"/>
        <w:szCs w:val="18"/>
      </w:rPr>
    </w:pPr>
    <w:r>
      <w:rPr>
        <w:sz w:val="18"/>
        <w:szCs w:val="18"/>
        <w:spacing w:val="-4"/>
      </w:rPr>
      <w:t>-</w:t>
    </w:r>
    <w:r>
      <w:rPr>
        <w:sz w:val="18"/>
        <w:szCs w:val="18"/>
        <w:spacing w:val="7"/>
      </w:rPr>
      <w:t xml:space="preserve"> </w:t>
    </w:r>
    <w:r>
      <w:rPr>
        <w:sz w:val="18"/>
        <w:szCs w:val="18"/>
        <w:spacing w:val="-4"/>
      </w:rPr>
      <w:t>38</w:t>
    </w:r>
    <w:r>
      <w:rPr>
        <w:sz w:val="18"/>
        <w:szCs w:val="18"/>
        <w:spacing w:val="6"/>
      </w:rPr>
      <w:t xml:space="preserve"> </w:t>
    </w:r>
    <w:r>
      <w:rPr>
        <w:sz w:val="18"/>
        <w:szCs w:val="18"/>
        <w:spacing w:val="-4"/>
      </w:rPr>
      <w:t>-</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10"/>
      <w:spacing w:line="176" w:lineRule="auto"/>
      <w:rPr>
        <w:sz w:val="18"/>
        <w:szCs w:val="18"/>
      </w:rPr>
    </w:pPr>
    <w:r>
      <w:rPr>
        <w:sz w:val="18"/>
        <w:szCs w:val="18"/>
        <w:spacing w:val="-5"/>
      </w:rPr>
      <w:t>-</w:t>
    </w:r>
    <w:r>
      <w:rPr>
        <w:sz w:val="18"/>
        <w:szCs w:val="18"/>
        <w:spacing w:val="5"/>
      </w:rPr>
      <w:t xml:space="preserve"> </w:t>
    </w:r>
    <w:r>
      <w:rPr>
        <w:sz w:val="18"/>
        <w:szCs w:val="18"/>
        <w:spacing w:val="-5"/>
      </w:rPr>
      <w:t>3</w:t>
    </w:r>
    <w:r>
      <w:rPr>
        <w:sz w:val="18"/>
        <w:szCs w:val="18"/>
        <w:spacing w:val="6"/>
      </w:rPr>
      <w:t xml:space="preserve"> </w:t>
    </w:r>
    <w:r>
      <w:rPr>
        <w:sz w:val="18"/>
        <w:szCs w:val="18"/>
        <w:spacing w:val="-5"/>
      </w:rPr>
      <w:t>-</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174"/>
      <w:spacing w:line="176" w:lineRule="auto"/>
      <w:rPr>
        <w:sz w:val="18"/>
        <w:szCs w:val="18"/>
      </w:rPr>
    </w:pPr>
    <w:r>
      <w:rPr>
        <w:sz w:val="18"/>
        <w:szCs w:val="18"/>
        <w:spacing w:val="-2"/>
      </w:rPr>
      <w:t>- 40</w:t>
    </w:r>
    <w:r>
      <w:rPr>
        <w:sz w:val="18"/>
        <w:szCs w:val="18"/>
        <w:spacing w:val="7"/>
      </w:rPr>
      <w:t xml:space="preserve"> </w:t>
    </w:r>
    <w:r>
      <w:rPr>
        <w:sz w:val="18"/>
        <w:szCs w:val="18"/>
        <w:spacing w:val="-2"/>
      </w:rPr>
      <w:t>-</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77"/>
      <w:spacing w:line="176" w:lineRule="auto"/>
      <w:rPr>
        <w:sz w:val="18"/>
        <w:szCs w:val="18"/>
      </w:rPr>
    </w:pPr>
    <w:r>
      <w:rPr>
        <w:sz w:val="18"/>
        <w:szCs w:val="18"/>
        <w:spacing w:val="-2"/>
      </w:rPr>
      <w:t>- 41</w:t>
    </w:r>
    <w:r>
      <w:rPr>
        <w:sz w:val="18"/>
        <w:szCs w:val="18"/>
        <w:spacing w:val="7"/>
      </w:rPr>
      <w:t xml:space="preserve"> </w:t>
    </w:r>
    <w:r>
      <w:rPr>
        <w:sz w:val="18"/>
        <w:szCs w:val="18"/>
        <w:spacing w:val="-2"/>
      </w:rPr>
      <w:t>-</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6" w:lineRule="auto"/>
      <w:rPr>
        <w:sz w:val="18"/>
        <w:szCs w:val="18"/>
      </w:rPr>
    </w:pPr>
    <w:r>
      <w:rPr>
        <w:sz w:val="18"/>
        <w:szCs w:val="18"/>
        <w:spacing w:val="-2"/>
      </w:rPr>
      <w:t>- 42</w:t>
    </w:r>
    <w:r>
      <w:rPr>
        <w:sz w:val="18"/>
        <w:szCs w:val="18"/>
        <w:spacing w:val="7"/>
      </w:rPr>
      <w:t xml:space="preserve"> </w:t>
    </w:r>
    <w:r>
      <w:rPr>
        <w:sz w:val="18"/>
        <w:szCs w:val="18"/>
        <w:spacing w:val="-2"/>
      </w:rPr>
      <w:t>-</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6" w:lineRule="auto"/>
      <w:rPr>
        <w:sz w:val="18"/>
        <w:szCs w:val="18"/>
      </w:rPr>
    </w:pPr>
    <w:r>
      <w:rPr>
        <w:sz w:val="18"/>
        <w:szCs w:val="18"/>
        <w:spacing w:val="-2"/>
      </w:rPr>
      <w:t>- 43</w:t>
    </w:r>
    <w:r>
      <w:rPr>
        <w:sz w:val="18"/>
        <w:szCs w:val="18"/>
        <w:spacing w:val="7"/>
      </w:rPr>
      <w:t xml:space="preserve"> </w:t>
    </w:r>
    <w:r>
      <w:rPr>
        <w:sz w:val="18"/>
        <w:szCs w:val="18"/>
        <w:spacing w:val="-2"/>
      </w:rPr>
      <w:t>-</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67"/>
      <w:spacing w:line="176" w:lineRule="auto"/>
      <w:rPr>
        <w:sz w:val="18"/>
        <w:szCs w:val="18"/>
      </w:rPr>
    </w:pPr>
    <w:r>
      <w:rPr>
        <w:sz w:val="18"/>
        <w:szCs w:val="18"/>
        <w:spacing w:val="-2"/>
      </w:rPr>
      <w:t>- 44</w:t>
    </w:r>
    <w:r>
      <w:rPr>
        <w:sz w:val="18"/>
        <w:szCs w:val="18"/>
        <w:spacing w:val="7"/>
      </w:rPr>
      <w:t xml:space="preserve"> </w:t>
    </w:r>
    <w:r>
      <w:rPr>
        <w:sz w:val="18"/>
        <w:szCs w:val="18"/>
        <w:spacing w:val="-2"/>
      </w:rPr>
      <w:t>-</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77"/>
      <w:spacing w:line="176" w:lineRule="auto"/>
      <w:rPr>
        <w:sz w:val="18"/>
        <w:szCs w:val="18"/>
      </w:rPr>
    </w:pPr>
    <w:r>
      <w:rPr>
        <w:sz w:val="18"/>
        <w:szCs w:val="18"/>
        <w:spacing w:val="-2"/>
      </w:rPr>
      <w:t>- 45</w:t>
    </w:r>
    <w:r>
      <w:rPr>
        <w:sz w:val="18"/>
        <w:szCs w:val="18"/>
        <w:spacing w:val="7"/>
      </w:rPr>
      <w:t xml:space="preserve"> </w:t>
    </w:r>
    <w:r>
      <w:rPr>
        <w:sz w:val="18"/>
        <w:szCs w:val="18"/>
        <w:spacing w:val="-2"/>
      </w:rPr>
      <w:t>-</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77"/>
      <w:spacing w:line="176" w:lineRule="auto"/>
      <w:rPr>
        <w:sz w:val="18"/>
        <w:szCs w:val="18"/>
      </w:rPr>
    </w:pPr>
    <w:r>
      <w:rPr>
        <w:sz w:val="18"/>
        <w:szCs w:val="18"/>
        <w:spacing w:val="-2"/>
      </w:rPr>
      <w:t>- 46</w:t>
    </w:r>
    <w:r>
      <w:rPr>
        <w:sz w:val="18"/>
        <w:szCs w:val="18"/>
        <w:spacing w:val="7"/>
      </w:rPr>
      <w:t xml:space="preserve"> </w:t>
    </w:r>
    <w:r>
      <w:rPr>
        <w:sz w:val="18"/>
        <w:szCs w:val="18"/>
        <w:spacing w:val="-2"/>
      </w:rPr>
      <w:t>-</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72"/>
      <w:spacing w:line="176" w:lineRule="auto"/>
      <w:rPr>
        <w:sz w:val="18"/>
        <w:szCs w:val="18"/>
      </w:rPr>
    </w:pPr>
    <w:r>
      <w:rPr>
        <w:sz w:val="18"/>
        <w:szCs w:val="18"/>
        <w:spacing w:val="-2"/>
      </w:rPr>
      <w:t>- 47</w:t>
    </w:r>
    <w:r>
      <w:rPr>
        <w:sz w:val="18"/>
        <w:szCs w:val="18"/>
        <w:spacing w:val="7"/>
      </w:rPr>
      <w:t xml:space="preserve"> </w:t>
    </w:r>
    <w:r>
      <w:rPr>
        <w:sz w:val="18"/>
        <w:szCs w:val="18"/>
        <w:spacing w:val="-2"/>
      </w:rPr>
      <w:t>-</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6" w:lineRule="auto"/>
      <w:rPr>
        <w:sz w:val="18"/>
        <w:szCs w:val="18"/>
      </w:rPr>
    </w:pPr>
    <w:r>
      <w:rPr>
        <w:sz w:val="18"/>
        <w:szCs w:val="18"/>
        <w:spacing w:val="-2"/>
      </w:rPr>
      <w:t>- 48</w:t>
    </w:r>
    <w:r>
      <w:rPr>
        <w:sz w:val="18"/>
        <w:szCs w:val="18"/>
        <w:spacing w:val="7"/>
      </w:rPr>
      <w:t xml:space="preserve"> </w:t>
    </w:r>
    <w:r>
      <w:rPr>
        <w:sz w:val="18"/>
        <w:szCs w:val="18"/>
        <w:spacing w:val="-2"/>
      </w:rPr>
      <w:t>-</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6" w:lineRule="auto"/>
      <w:rPr>
        <w:sz w:val="18"/>
        <w:szCs w:val="18"/>
      </w:rPr>
    </w:pPr>
    <w:r>
      <w:rPr>
        <w:sz w:val="18"/>
        <w:szCs w:val="18"/>
        <w:spacing w:val="-2"/>
      </w:rPr>
      <w:t>- 49</w:t>
    </w:r>
    <w:r>
      <w:rPr>
        <w:sz w:val="18"/>
        <w:szCs w:val="18"/>
        <w:spacing w:val="7"/>
      </w:rPr>
      <w:t xml:space="preserve"> </w:t>
    </w:r>
    <w:r>
      <w:rPr>
        <w:sz w:val="18"/>
        <w:szCs w:val="18"/>
        <w:spacing w:val="-2"/>
      </w:rPr>
      <w:t>-</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12"/>
      <w:spacing w:line="176" w:lineRule="auto"/>
      <w:rPr>
        <w:sz w:val="18"/>
        <w:szCs w:val="18"/>
      </w:rPr>
    </w:pPr>
    <w:r>
      <w:rPr>
        <w:sz w:val="18"/>
        <w:szCs w:val="18"/>
        <w:spacing w:val="-4"/>
      </w:rPr>
      <w:t>-</w:t>
    </w:r>
    <w:r>
      <w:rPr>
        <w:sz w:val="18"/>
        <w:szCs w:val="18"/>
        <w:spacing w:val="1"/>
      </w:rPr>
      <w:t xml:space="preserve"> </w:t>
    </w:r>
    <w:r>
      <w:rPr>
        <w:sz w:val="18"/>
        <w:szCs w:val="18"/>
        <w:spacing w:val="-4"/>
      </w:rPr>
      <w:t>4</w:t>
    </w:r>
    <w:r>
      <w:rPr>
        <w:sz w:val="18"/>
        <w:szCs w:val="18"/>
        <w:spacing w:val="7"/>
      </w:rPr>
      <w:t xml:space="preserve"> </w:t>
    </w:r>
    <w:r>
      <w:rPr>
        <w:sz w:val="18"/>
        <w:szCs w:val="18"/>
        <w:spacing w:val="-4"/>
      </w:rPr>
      <w:t>-</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6" w:lineRule="auto"/>
      <w:rPr>
        <w:sz w:val="18"/>
        <w:szCs w:val="18"/>
      </w:rPr>
    </w:pPr>
    <w:r>
      <w:rPr>
        <w:sz w:val="18"/>
        <w:szCs w:val="18"/>
        <w:spacing w:val="-4"/>
      </w:rPr>
      <w:t>-</w:t>
    </w:r>
    <w:r>
      <w:rPr>
        <w:sz w:val="18"/>
        <w:szCs w:val="18"/>
        <w:spacing w:val="7"/>
      </w:rPr>
      <w:t xml:space="preserve"> </w:t>
    </w:r>
    <w:r>
      <w:rPr>
        <w:sz w:val="18"/>
        <w:szCs w:val="18"/>
        <w:spacing w:val="-4"/>
      </w:rPr>
      <w:t>50</w:t>
    </w:r>
    <w:r>
      <w:rPr>
        <w:sz w:val="18"/>
        <w:szCs w:val="18"/>
        <w:spacing w:val="6"/>
      </w:rPr>
      <w:t xml:space="preserve"> </w:t>
    </w:r>
    <w:r>
      <w:rPr>
        <w:sz w:val="18"/>
        <w:szCs w:val="18"/>
        <w:spacing w:val="-4"/>
      </w:rPr>
      <w:t>-</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6" w:lineRule="auto"/>
      <w:rPr>
        <w:sz w:val="18"/>
        <w:szCs w:val="18"/>
      </w:rPr>
    </w:pPr>
    <w:r>
      <w:rPr>
        <w:sz w:val="18"/>
        <w:szCs w:val="18"/>
        <w:spacing w:val="-4"/>
      </w:rPr>
      <w:t>-</w:t>
    </w:r>
    <w:r>
      <w:rPr>
        <w:sz w:val="18"/>
        <w:szCs w:val="18"/>
        <w:spacing w:val="7"/>
      </w:rPr>
      <w:t xml:space="preserve"> </w:t>
    </w:r>
    <w:r>
      <w:rPr>
        <w:sz w:val="18"/>
        <w:szCs w:val="18"/>
        <w:spacing w:val="-4"/>
      </w:rPr>
      <w:t>51</w:t>
    </w:r>
    <w:r>
      <w:rPr>
        <w:sz w:val="18"/>
        <w:szCs w:val="18"/>
        <w:spacing w:val="6"/>
      </w:rPr>
      <w:t xml:space="preserve"> </w:t>
    </w:r>
    <w:r>
      <w:rPr>
        <w:sz w:val="18"/>
        <w:szCs w:val="18"/>
        <w:spacing w:val="-4"/>
      </w:rPr>
      <w:t>-</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6" w:lineRule="auto"/>
      <w:rPr>
        <w:sz w:val="18"/>
        <w:szCs w:val="18"/>
      </w:rPr>
    </w:pPr>
    <w:r>
      <w:rPr>
        <w:sz w:val="18"/>
        <w:szCs w:val="18"/>
        <w:spacing w:val="-4"/>
      </w:rPr>
      <w:t>-</w:t>
    </w:r>
    <w:r>
      <w:rPr>
        <w:sz w:val="18"/>
        <w:szCs w:val="18"/>
        <w:spacing w:val="7"/>
      </w:rPr>
      <w:t xml:space="preserve"> </w:t>
    </w:r>
    <w:r>
      <w:rPr>
        <w:sz w:val="18"/>
        <w:szCs w:val="18"/>
        <w:spacing w:val="-4"/>
      </w:rPr>
      <w:t>52</w:t>
    </w:r>
    <w:r>
      <w:rPr>
        <w:sz w:val="18"/>
        <w:szCs w:val="18"/>
        <w:spacing w:val="6"/>
      </w:rPr>
      <w:t xml:space="preserve"> </w:t>
    </w:r>
    <w:r>
      <w:rPr>
        <w:sz w:val="18"/>
        <w:szCs w:val="18"/>
        <w:spacing w:val="-4"/>
      </w:rPr>
      <w:t>-</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08"/>
      <w:spacing w:line="176" w:lineRule="auto"/>
      <w:rPr>
        <w:sz w:val="18"/>
        <w:szCs w:val="18"/>
      </w:rPr>
    </w:pPr>
    <w:r>
      <w:rPr>
        <w:sz w:val="18"/>
        <w:szCs w:val="18"/>
        <w:spacing w:val="-4"/>
      </w:rPr>
      <w:t>-</w:t>
    </w:r>
    <w:r>
      <w:rPr>
        <w:sz w:val="18"/>
        <w:szCs w:val="18"/>
        <w:spacing w:val="7"/>
      </w:rPr>
      <w:t xml:space="preserve"> </w:t>
    </w:r>
    <w:r>
      <w:rPr>
        <w:sz w:val="18"/>
        <w:szCs w:val="18"/>
        <w:spacing w:val="-4"/>
      </w:rPr>
      <w:t>53</w:t>
    </w:r>
    <w:r>
      <w:rPr>
        <w:sz w:val="18"/>
        <w:szCs w:val="18"/>
        <w:spacing w:val="6"/>
      </w:rPr>
      <w:t xml:space="preserve"> </w:t>
    </w:r>
    <w:r>
      <w:rPr>
        <w:sz w:val="18"/>
        <w:szCs w:val="18"/>
        <w:spacing w:val="-4"/>
      </w:rPr>
      <w:t>-</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6" w:lineRule="auto"/>
      <w:rPr>
        <w:sz w:val="18"/>
        <w:szCs w:val="18"/>
      </w:rPr>
    </w:pPr>
    <w:r>
      <w:rPr>
        <w:sz w:val="18"/>
        <w:szCs w:val="18"/>
        <w:spacing w:val="-4"/>
      </w:rPr>
      <w:t>-</w:t>
    </w:r>
    <w:r>
      <w:rPr>
        <w:sz w:val="18"/>
        <w:szCs w:val="18"/>
        <w:spacing w:val="7"/>
      </w:rPr>
      <w:t xml:space="preserve"> </w:t>
    </w:r>
    <w:r>
      <w:rPr>
        <w:sz w:val="18"/>
        <w:szCs w:val="18"/>
        <w:spacing w:val="-4"/>
      </w:rPr>
      <w:t>54</w:t>
    </w:r>
    <w:r>
      <w:rPr>
        <w:sz w:val="18"/>
        <w:szCs w:val="18"/>
        <w:spacing w:val="6"/>
      </w:rPr>
      <w:t xml:space="preserve"> </w:t>
    </w:r>
    <w:r>
      <w:rPr>
        <w:sz w:val="18"/>
        <w:szCs w:val="18"/>
        <w:spacing w:val="-4"/>
      </w:rPr>
      <w:t>-</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77"/>
      <w:spacing w:line="173" w:lineRule="auto"/>
      <w:rPr>
        <w:sz w:val="18"/>
        <w:szCs w:val="18"/>
      </w:rPr>
    </w:pPr>
    <w:r>
      <w:rPr>
        <w:sz w:val="18"/>
        <w:szCs w:val="18"/>
        <w:spacing w:val="-4"/>
      </w:rPr>
      <w:t>-</w:t>
    </w:r>
    <w:r>
      <w:rPr>
        <w:sz w:val="18"/>
        <w:szCs w:val="18"/>
        <w:spacing w:val="7"/>
      </w:rPr>
      <w:t xml:space="preserve"> </w:t>
    </w:r>
    <w:r>
      <w:rPr>
        <w:sz w:val="18"/>
        <w:szCs w:val="18"/>
        <w:spacing w:val="-4"/>
      </w:rPr>
      <w:t>55</w:t>
    </w:r>
    <w:r>
      <w:rPr>
        <w:sz w:val="18"/>
        <w:szCs w:val="18"/>
        <w:spacing w:val="6"/>
      </w:rPr>
      <w:t xml:space="preserve"> </w:t>
    </w:r>
    <w:r>
      <w:rPr>
        <w:sz w:val="18"/>
        <w:szCs w:val="18"/>
        <w:spacing w:val="-4"/>
      </w:rPr>
      <w:t>-</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77"/>
      <w:spacing w:line="176" w:lineRule="auto"/>
      <w:rPr>
        <w:sz w:val="18"/>
        <w:szCs w:val="18"/>
      </w:rPr>
    </w:pPr>
    <w:r>
      <w:rPr>
        <w:sz w:val="18"/>
        <w:szCs w:val="18"/>
        <w:spacing w:val="-4"/>
      </w:rPr>
      <w:t>-</w:t>
    </w:r>
    <w:r>
      <w:rPr>
        <w:sz w:val="18"/>
        <w:szCs w:val="18"/>
        <w:spacing w:val="7"/>
      </w:rPr>
      <w:t xml:space="preserve"> </w:t>
    </w:r>
    <w:r>
      <w:rPr>
        <w:sz w:val="18"/>
        <w:szCs w:val="18"/>
        <w:spacing w:val="-4"/>
      </w:rPr>
      <w:t>56</w:t>
    </w:r>
    <w:r>
      <w:rPr>
        <w:sz w:val="18"/>
        <w:szCs w:val="18"/>
        <w:spacing w:val="6"/>
      </w:rPr>
      <w:t xml:space="preserve"> </w:t>
    </w:r>
    <w:r>
      <w:rPr>
        <w:sz w:val="18"/>
        <w:szCs w:val="18"/>
        <w:spacing w:val="-4"/>
      </w:rPr>
      <w:t>-</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3" w:lineRule="auto"/>
      <w:rPr>
        <w:sz w:val="18"/>
        <w:szCs w:val="18"/>
      </w:rPr>
    </w:pPr>
    <w:r>
      <w:rPr>
        <w:sz w:val="18"/>
        <w:szCs w:val="18"/>
        <w:spacing w:val="-4"/>
      </w:rPr>
      <w:t>-</w:t>
    </w:r>
    <w:r>
      <w:rPr>
        <w:sz w:val="18"/>
        <w:szCs w:val="18"/>
        <w:spacing w:val="7"/>
      </w:rPr>
      <w:t xml:space="preserve"> </w:t>
    </w:r>
    <w:r>
      <w:rPr>
        <w:sz w:val="18"/>
        <w:szCs w:val="18"/>
        <w:spacing w:val="-4"/>
      </w:rPr>
      <w:t>57</w:t>
    </w:r>
    <w:r>
      <w:rPr>
        <w:sz w:val="18"/>
        <w:szCs w:val="18"/>
        <w:spacing w:val="6"/>
      </w:rPr>
      <w:t xml:space="preserve"> </w:t>
    </w:r>
    <w:r>
      <w:rPr>
        <w:sz w:val="18"/>
        <w:szCs w:val="18"/>
        <w:spacing w:val="-4"/>
      </w:rPr>
      <w:t>-</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72"/>
      <w:spacing w:line="176" w:lineRule="auto"/>
      <w:rPr>
        <w:sz w:val="18"/>
        <w:szCs w:val="18"/>
      </w:rPr>
    </w:pPr>
    <w:r>
      <w:rPr>
        <w:sz w:val="18"/>
        <w:szCs w:val="18"/>
        <w:spacing w:val="-4"/>
      </w:rPr>
      <w:t>-</w:t>
    </w:r>
    <w:r>
      <w:rPr>
        <w:sz w:val="18"/>
        <w:szCs w:val="18"/>
        <w:spacing w:val="7"/>
      </w:rPr>
      <w:t xml:space="preserve"> </w:t>
    </w:r>
    <w:r>
      <w:rPr>
        <w:sz w:val="18"/>
        <w:szCs w:val="18"/>
        <w:spacing w:val="-4"/>
      </w:rPr>
      <w:t>58</w:t>
    </w:r>
    <w:r>
      <w:rPr>
        <w:sz w:val="18"/>
        <w:szCs w:val="18"/>
        <w:spacing w:val="6"/>
      </w:rPr>
      <w:t xml:space="preserve"> </w:t>
    </w:r>
    <w:r>
      <w:rPr>
        <w:sz w:val="18"/>
        <w:szCs w:val="18"/>
        <w:spacing w:val="-4"/>
      </w:rPr>
      <w:t>-</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72"/>
      <w:spacing w:line="176" w:lineRule="auto"/>
      <w:rPr>
        <w:sz w:val="18"/>
        <w:szCs w:val="18"/>
      </w:rPr>
    </w:pPr>
    <w:r>
      <w:rPr>
        <w:sz w:val="18"/>
        <w:szCs w:val="18"/>
        <w:spacing w:val="-4"/>
      </w:rPr>
      <w:t>-</w:t>
    </w:r>
    <w:r>
      <w:rPr>
        <w:sz w:val="18"/>
        <w:szCs w:val="18"/>
        <w:spacing w:val="7"/>
      </w:rPr>
      <w:t xml:space="preserve"> </w:t>
    </w:r>
    <w:r>
      <w:rPr>
        <w:sz w:val="18"/>
        <w:szCs w:val="18"/>
        <w:spacing w:val="-4"/>
      </w:rPr>
      <w:t>59</w:t>
    </w:r>
    <w:r>
      <w:rPr>
        <w:sz w:val="18"/>
        <w:szCs w:val="18"/>
        <w:spacing w:val="6"/>
      </w:rPr>
      <w:t xml:space="preserve"> </w:t>
    </w:r>
    <w:r>
      <w:rPr>
        <w:sz w:val="18"/>
        <w:szCs w:val="18"/>
        <w:spacing w:val="-4"/>
      </w:rPr>
      <w:t>-</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15"/>
      <w:spacing w:line="173" w:lineRule="auto"/>
      <w:rPr>
        <w:sz w:val="18"/>
        <w:szCs w:val="18"/>
      </w:rPr>
    </w:pPr>
    <w:r>
      <w:rPr>
        <w:sz w:val="18"/>
        <w:szCs w:val="18"/>
        <w:spacing w:val="-6"/>
      </w:rPr>
      <w:t>-</w:t>
    </w:r>
    <w:r>
      <w:rPr>
        <w:sz w:val="18"/>
        <w:szCs w:val="18"/>
        <w:spacing w:val="7"/>
      </w:rPr>
      <w:t xml:space="preserve"> </w:t>
    </w:r>
    <w:r>
      <w:rPr>
        <w:sz w:val="18"/>
        <w:szCs w:val="18"/>
        <w:spacing w:val="-6"/>
      </w:rPr>
      <w:t>5</w:t>
    </w:r>
    <w:r>
      <w:rPr>
        <w:sz w:val="18"/>
        <w:szCs w:val="18"/>
        <w:spacing w:val="7"/>
      </w:rPr>
      <w:t xml:space="preserve"> </w:t>
    </w:r>
    <w:r>
      <w:rPr>
        <w:sz w:val="18"/>
        <w:szCs w:val="18"/>
        <w:spacing w:val="-6"/>
      </w:rPr>
      <w:t>-</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72"/>
      <w:spacing w:line="176" w:lineRule="auto"/>
      <w:rPr>
        <w:sz w:val="18"/>
        <w:szCs w:val="18"/>
      </w:rPr>
    </w:pPr>
    <w:r>
      <w:rPr>
        <w:sz w:val="18"/>
        <w:szCs w:val="18"/>
        <w:spacing w:val="-4"/>
      </w:rPr>
      <w:t>-</w:t>
    </w:r>
    <w:r>
      <w:rPr>
        <w:sz w:val="18"/>
        <w:szCs w:val="18"/>
        <w:spacing w:val="7"/>
      </w:rPr>
      <w:t xml:space="preserve"> </w:t>
    </w:r>
    <w:r>
      <w:rPr>
        <w:sz w:val="18"/>
        <w:szCs w:val="18"/>
        <w:spacing w:val="-4"/>
      </w:rPr>
      <w:t>60</w:t>
    </w:r>
    <w:r>
      <w:rPr>
        <w:sz w:val="18"/>
        <w:szCs w:val="18"/>
        <w:spacing w:val="6"/>
      </w:rPr>
      <w:t xml:space="preserve"> </w:t>
    </w:r>
    <w:r>
      <w:rPr>
        <w:sz w:val="18"/>
        <w:szCs w:val="18"/>
        <w:spacing w:val="-4"/>
      </w:rPr>
      <w:t>-</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444"/>
      <w:spacing w:line="176" w:lineRule="auto"/>
      <w:rPr>
        <w:sz w:val="18"/>
        <w:szCs w:val="18"/>
      </w:rPr>
    </w:pPr>
    <w:r>
      <w:rPr>
        <w:sz w:val="18"/>
        <w:szCs w:val="18"/>
        <w:spacing w:val="-4"/>
      </w:rPr>
      <w:t>-</w:t>
    </w:r>
    <w:r>
      <w:rPr>
        <w:sz w:val="18"/>
        <w:szCs w:val="18"/>
        <w:spacing w:val="7"/>
      </w:rPr>
      <w:t xml:space="preserve"> </w:t>
    </w:r>
    <w:r>
      <w:rPr>
        <w:sz w:val="18"/>
        <w:szCs w:val="18"/>
        <w:spacing w:val="-4"/>
      </w:rPr>
      <w:t>61</w:t>
    </w:r>
    <w:r>
      <w:rPr>
        <w:sz w:val="18"/>
        <w:szCs w:val="18"/>
        <w:spacing w:val="6"/>
      </w:rPr>
      <w:t xml:space="preserve"> </w:t>
    </w:r>
    <w:r>
      <w:rPr>
        <w:sz w:val="18"/>
        <w:szCs w:val="18"/>
        <w:spacing w:val="-4"/>
      </w:rPr>
      <w:t>-</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77"/>
      <w:spacing w:line="176" w:lineRule="auto"/>
      <w:rPr>
        <w:sz w:val="18"/>
        <w:szCs w:val="18"/>
      </w:rPr>
    </w:pPr>
    <w:r>
      <w:rPr>
        <w:sz w:val="18"/>
        <w:szCs w:val="18"/>
        <w:spacing w:val="-4"/>
      </w:rPr>
      <w:t>-</w:t>
    </w:r>
    <w:r>
      <w:rPr>
        <w:sz w:val="18"/>
        <w:szCs w:val="18"/>
        <w:spacing w:val="7"/>
      </w:rPr>
      <w:t xml:space="preserve"> </w:t>
    </w:r>
    <w:r>
      <w:rPr>
        <w:sz w:val="18"/>
        <w:szCs w:val="18"/>
        <w:spacing w:val="-4"/>
      </w:rPr>
      <w:t>62</w:t>
    </w:r>
    <w:r>
      <w:rPr>
        <w:sz w:val="18"/>
        <w:szCs w:val="18"/>
        <w:spacing w:val="6"/>
      </w:rPr>
      <w:t xml:space="preserve"> </w:t>
    </w:r>
    <w:r>
      <w:rPr>
        <w:sz w:val="18"/>
        <w:szCs w:val="18"/>
        <w:spacing w:val="-4"/>
      </w:rPr>
      <w:t>-</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77"/>
      <w:spacing w:line="176" w:lineRule="auto"/>
      <w:rPr>
        <w:sz w:val="18"/>
        <w:szCs w:val="18"/>
      </w:rPr>
    </w:pPr>
    <w:r>
      <w:rPr>
        <w:sz w:val="18"/>
        <w:szCs w:val="18"/>
        <w:spacing w:val="-4"/>
      </w:rPr>
      <w:t>-</w:t>
    </w:r>
    <w:r>
      <w:rPr>
        <w:sz w:val="18"/>
        <w:szCs w:val="18"/>
        <w:spacing w:val="7"/>
      </w:rPr>
      <w:t xml:space="preserve"> </w:t>
    </w:r>
    <w:r>
      <w:rPr>
        <w:sz w:val="18"/>
        <w:szCs w:val="18"/>
        <w:spacing w:val="-4"/>
      </w:rPr>
      <w:t>63</w:t>
    </w:r>
    <w:r>
      <w:rPr>
        <w:sz w:val="18"/>
        <w:szCs w:val="18"/>
        <w:spacing w:val="6"/>
      </w:rPr>
      <w:t xml:space="preserve"> </w:t>
    </w:r>
    <w:r>
      <w:rPr>
        <w:sz w:val="18"/>
        <w:szCs w:val="18"/>
        <w:spacing w:val="-4"/>
      </w:rPr>
      <w:t>-</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77"/>
      <w:spacing w:line="176" w:lineRule="auto"/>
      <w:rPr>
        <w:sz w:val="18"/>
        <w:szCs w:val="18"/>
      </w:rPr>
    </w:pPr>
    <w:r>
      <w:rPr>
        <w:sz w:val="18"/>
        <w:szCs w:val="18"/>
        <w:spacing w:val="-4"/>
      </w:rPr>
      <w:t>-</w:t>
    </w:r>
    <w:r>
      <w:rPr>
        <w:sz w:val="18"/>
        <w:szCs w:val="18"/>
        <w:spacing w:val="7"/>
      </w:rPr>
      <w:t xml:space="preserve"> </w:t>
    </w:r>
    <w:r>
      <w:rPr>
        <w:sz w:val="18"/>
        <w:szCs w:val="18"/>
        <w:spacing w:val="-4"/>
      </w:rPr>
      <w:t>64</w:t>
    </w:r>
    <w:r>
      <w:rPr>
        <w:sz w:val="18"/>
        <w:szCs w:val="18"/>
        <w:spacing w:val="6"/>
      </w:rPr>
      <w:t xml:space="preserve"> </w:t>
    </w:r>
    <w:r>
      <w:rPr>
        <w:sz w:val="18"/>
        <w:szCs w:val="18"/>
        <w:spacing w:val="-4"/>
      </w:rPr>
      <w:t>-</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92"/>
      <w:spacing w:line="176" w:lineRule="auto"/>
      <w:rPr>
        <w:sz w:val="18"/>
        <w:szCs w:val="18"/>
      </w:rPr>
    </w:pPr>
    <w:r>
      <w:rPr>
        <w:sz w:val="18"/>
        <w:szCs w:val="18"/>
        <w:spacing w:val="-4"/>
      </w:rPr>
      <w:t>-</w:t>
    </w:r>
    <w:r>
      <w:rPr>
        <w:sz w:val="18"/>
        <w:szCs w:val="18"/>
        <w:spacing w:val="7"/>
      </w:rPr>
      <w:t xml:space="preserve"> </w:t>
    </w:r>
    <w:r>
      <w:rPr>
        <w:sz w:val="18"/>
        <w:szCs w:val="18"/>
        <w:spacing w:val="-4"/>
      </w:rPr>
      <w:t>65</w:t>
    </w:r>
    <w:r>
      <w:rPr>
        <w:sz w:val="18"/>
        <w:szCs w:val="18"/>
        <w:spacing w:val="6"/>
      </w:rPr>
      <w:t xml:space="preserve"> </w:t>
    </w:r>
    <w:r>
      <w:rPr>
        <w:sz w:val="18"/>
        <w:szCs w:val="18"/>
        <w:spacing w:val="-4"/>
      </w:rPr>
      <w:t>-</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079"/>
      <w:spacing w:line="176" w:lineRule="auto"/>
      <w:rPr>
        <w:sz w:val="18"/>
        <w:szCs w:val="18"/>
      </w:rPr>
    </w:pPr>
    <w:r>
      <w:rPr>
        <w:sz w:val="18"/>
        <w:szCs w:val="18"/>
        <w:spacing w:val="-4"/>
      </w:rPr>
      <w:t>-</w:t>
    </w:r>
    <w:r>
      <w:rPr>
        <w:sz w:val="18"/>
        <w:szCs w:val="18"/>
        <w:spacing w:val="7"/>
      </w:rPr>
      <w:t xml:space="preserve"> </w:t>
    </w:r>
    <w:r>
      <w:rPr>
        <w:sz w:val="18"/>
        <w:szCs w:val="18"/>
        <w:spacing w:val="-4"/>
      </w:rPr>
      <w:t>66</w:t>
    </w:r>
    <w:r>
      <w:rPr>
        <w:sz w:val="18"/>
        <w:szCs w:val="18"/>
        <w:spacing w:val="6"/>
      </w:rPr>
      <w:t xml:space="preserve"> </w:t>
    </w:r>
    <w:r>
      <w:rPr>
        <w:sz w:val="18"/>
        <w:szCs w:val="18"/>
        <w:spacing w:val="-4"/>
      </w:rPr>
      <w:t>-</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77"/>
      <w:spacing w:line="176" w:lineRule="auto"/>
      <w:rPr>
        <w:sz w:val="18"/>
        <w:szCs w:val="18"/>
      </w:rPr>
    </w:pPr>
    <w:r>
      <w:rPr>
        <w:sz w:val="18"/>
        <w:szCs w:val="18"/>
        <w:spacing w:val="-4"/>
      </w:rPr>
      <w:t>-</w:t>
    </w:r>
    <w:r>
      <w:rPr>
        <w:sz w:val="18"/>
        <w:szCs w:val="18"/>
        <w:spacing w:val="7"/>
      </w:rPr>
      <w:t xml:space="preserve"> </w:t>
    </w:r>
    <w:r>
      <w:rPr>
        <w:sz w:val="18"/>
        <w:szCs w:val="18"/>
        <w:spacing w:val="-4"/>
      </w:rPr>
      <w:t>67</w:t>
    </w:r>
    <w:r>
      <w:rPr>
        <w:sz w:val="18"/>
        <w:szCs w:val="18"/>
        <w:spacing w:val="6"/>
      </w:rPr>
      <w:t xml:space="preserve"> </w:t>
    </w:r>
    <w:r>
      <w:rPr>
        <w:sz w:val="18"/>
        <w:szCs w:val="18"/>
        <w:spacing w:val="-4"/>
      </w:rPr>
      <w:t>-</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6" w:lineRule="auto"/>
      <w:rPr>
        <w:sz w:val="18"/>
        <w:szCs w:val="18"/>
      </w:rPr>
    </w:pPr>
    <w:r>
      <w:rPr>
        <w:sz w:val="18"/>
        <w:szCs w:val="18"/>
        <w:spacing w:val="-4"/>
      </w:rPr>
      <w:t>-</w:t>
    </w:r>
    <w:r>
      <w:rPr>
        <w:sz w:val="18"/>
        <w:szCs w:val="18"/>
        <w:spacing w:val="7"/>
      </w:rPr>
      <w:t xml:space="preserve"> </w:t>
    </w:r>
    <w:r>
      <w:rPr>
        <w:sz w:val="18"/>
        <w:szCs w:val="18"/>
        <w:spacing w:val="-4"/>
      </w:rPr>
      <w:t>68</w:t>
    </w:r>
    <w:r>
      <w:rPr>
        <w:sz w:val="18"/>
        <w:szCs w:val="18"/>
        <w:spacing w:val="6"/>
      </w:rPr>
      <w:t xml:space="preserve"> </w:t>
    </w:r>
    <w:r>
      <w:rPr>
        <w:sz w:val="18"/>
        <w:szCs w:val="18"/>
        <w:spacing w:val="-4"/>
      </w:rPr>
      <w:t>-</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6" w:lineRule="auto"/>
      <w:rPr>
        <w:sz w:val="18"/>
        <w:szCs w:val="18"/>
      </w:rPr>
    </w:pPr>
    <w:r>
      <w:rPr>
        <w:sz w:val="18"/>
        <w:szCs w:val="18"/>
        <w:spacing w:val="-4"/>
      </w:rPr>
      <w:t>-</w:t>
    </w:r>
    <w:r>
      <w:rPr>
        <w:sz w:val="18"/>
        <w:szCs w:val="18"/>
        <w:spacing w:val="7"/>
      </w:rPr>
      <w:t xml:space="preserve"> </w:t>
    </w:r>
    <w:r>
      <w:rPr>
        <w:sz w:val="18"/>
        <w:szCs w:val="18"/>
        <w:spacing w:val="-4"/>
      </w:rPr>
      <w:t>69</w:t>
    </w:r>
    <w:r>
      <w:rPr>
        <w:sz w:val="18"/>
        <w:szCs w:val="18"/>
        <w:spacing w:val="6"/>
      </w:rPr>
      <w:t xml:space="preserve"> </w:t>
    </w:r>
    <w:r>
      <w:rPr>
        <w:sz w:val="18"/>
        <w:szCs w:val="18"/>
        <w:spacing w:val="-4"/>
      </w:rPr>
      <w:t>-</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10"/>
      <w:spacing w:line="176" w:lineRule="auto"/>
      <w:rPr>
        <w:sz w:val="18"/>
        <w:szCs w:val="18"/>
      </w:rPr>
    </w:pPr>
    <w:r>
      <w:rPr>
        <w:sz w:val="18"/>
        <w:szCs w:val="18"/>
        <w:spacing w:val="-6"/>
      </w:rPr>
      <w:t>-</w:t>
    </w:r>
    <w:r>
      <w:rPr>
        <w:sz w:val="18"/>
        <w:szCs w:val="18"/>
        <w:spacing w:val="7"/>
      </w:rPr>
      <w:t xml:space="preserve"> </w:t>
    </w:r>
    <w:r>
      <w:rPr>
        <w:sz w:val="18"/>
        <w:szCs w:val="18"/>
        <w:spacing w:val="-6"/>
      </w:rPr>
      <w:t>6</w:t>
    </w:r>
    <w:r>
      <w:rPr>
        <w:sz w:val="18"/>
        <w:szCs w:val="18"/>
        <w:spacing w:val="7"/>
      </w:rPr>
      <w:t xml:space="preserve"> </w:t>
    </w:r>
    <w:r>
      <w:rPr>
        <w:sz w:val="18"/>
        <w:szCs w:val="18"/>
        <w:spacing w:val="-6"/>
      </w:rPr>
      <w:t>-</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6" w:lineRule="auto"/>
      <w:rPr>
        <w:sz w:val="18"/>
        <w:szCs w:val="18"/>
      </w:rPr>
    </w:pPr>
    <w:r>
      <w:rPr>
        <w:sz w:val="18"/>
        <w:szCs w:val="18"/>
        <w:spacing w:val="-4"/>
      </w:rPr>
      <w:t>-</w:t>
    </w:r>
    <w:r>
      <w:rPr>
        <w:sz w:val="18"/>
        <w:szCs w:val="18"/>
        <w:spacing w:val="7"/>
      </w:rPr>
      <w:t xml:space="preserve"> </w:t>
    </w:r>
    <w:r>
      <w:rPr>
        <w:sz w:val="18"/>
        <w:szCs w:val="18"/>
        <w:spacing w:val="-4"/>
      </w:rPr>
      <w:t>70</w:t>
    </w:r>
    <w:r>
      <w:rPr>
        <w:sz w:val="18"/>
        <w:szCs w:val="18"/>
        <w:spacing w:val="6"/>
      </w:rPr>
      <w:t xml:space="preserve"> </w:t>
    </w:r>
    <w:r>
      <w:rPr>
        <w:sz w:val="18"/>
        <w:szCs w:val="18"/>
        <w:spacing w:val="-4"/>
      </w:rPr>
      <w:t>-</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6" w:lineRule="auto"/>
      <w:rPr>
        <w:sz w:val="18"/>
        <w:szCs w:val="18"/>
      </w:rPr>
    </w:pPr>
    <w:r>
      <w:rPr>
        <w:sz w:val="18"/>
        <w:szCs w:val="18"/>
        <w:spacing w:val="-4"/>
      </w:rPr>
      <w:t>-</w:t>
    </w:r>
    <w:r>
      <w:rPr>
        <w:sz w:val="18"/>
        <w:szCs w:val="18"/>
        <w:spacing w:val="7"/>
      </w:rPr>
      <w:t xml:space="preserve"> </w:t>
    </w:r>
    <w:r>
      <w:rPr>
        <w:sz w:val="18"/>
        <w:szCs w:val="18"/>
        <w:spacing w:val="-4"/>
      </w:rPr>
      <w:t>71</w:t>
    </w:r>
    <w:r>
      <w:rPr>
        <w:sz w:val="18"/>
        <w:szCs w:val="18"/>
        <w:spacing w:val="6"/>
      </w:rPr>
      <w:t xml:space="preserve"> </w:t>
    </w:r>
    <w:r>
      <w:rPr>
        <w:sz w:val="18"/>
        <w:szCs w:val="18"/>
        <w:spacing w:val="-4"/>
      </w:rPr>
      <w:t>-</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6" w:lineRule="auto"/>
      <w:rPr>
        <w:sz w:val="18"/>
        <w:szCs w:val="18"/>
      </w:rPr>
    </w:pPr>
    <w:r>
      <w:rPr>
        <w:sz w:val="18"/>
        <w:szCs w:val="18"/>
        <w:spacing w:val="-4"/>
      </w:rPr>
      <w:t>-</w:t>
    </w:r>
    <w:r>
      <w:rPr>
        <w:sz w:val="18"/>
        <w:szCs w:val="18"/>
        <w:spacing w:val="7"/>
      </w:rPr>
      <w:t xml:space="preserve"> </w:t>
    </w:r>
    <w:r>
      <w:rPr>
        <w:sz w:val="18"/>
        <w:szCs w:val="18"/>
        <w:spacing w:val="-4"/>
      </w:rPr>
      <w:t>72</w:t>
    </w:r>
    <w:r>
      <w:rPr>
        <w:sz w:val="18"/>
        <w:szCs w:val="18"/>
        <w:spacing w:val="6"/>
      </w:rPr>
      <w:t xml:space="preserve"> </w:t>
    </w:r>
    <w:r>
      <w:rPr>
        <w:sz w:val="18"/>
        <w:szCs w:val="18"/>
        <w:spacing w:val="-4"/>
      </w:rPr>
      <w:t>-</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6" w:lineRule="auto"/>
      <w:rPr>
        <w:sz w:val="18"/>
        <w:szCs w:val="18"/>
      </w:rPr>
    </w:pPr>
    <w:r>
      <w:rPr>
        <w:sz w:val="18"/>
        <w:szCs w:val="18"/>
        <w:spacing w:val="-4"/>
      </w:rPr>
      <w:t>-</w:t>
    </w:r>
    <w:r>
      <w:rPr>
        <w:sz w:val="18"/>
        <w:szCs w:val="18"/>
        <w:spacing w:val="7"/>
      </w:rPr>
      <w:t xml:space="preserve"> </w:t>
    </w:r>
    <w:r>
      <w:rPr>
        <w:sz w:val="18"/>
        <w:szCs w:val="18"/>
        <w:spacing w:val="-4"/>
      </w:rPr>
      <w:t>73</w:t>
    </w:r>
    <w:r>
      <w:rPr>
        <w:sz w:val="18"/>
        <w:szCs w:val="18"/>
        <w:spacing w:val="6"/>
      </w:rPr>
      <w:t xml:space="preserve"> </w:t>
    </w:r>
    <w:r>
      <w:rPr>
        <w:sz w:val="18"/>
        <w:szCs w:val="18"/>
        <w:spacing w:val="-4"/>
      </w:rPr>
      <w:t>-</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5"/>
      <w:spacing w:line="176" w:lineRule="auto"/>
      <w:rPr>
        <w:sz w:val="18"/>
        <w:szCs w:val="18"/>
      </w:rPr>
    </w:pPr>
    <w:r>
      <w:rPr>
        <w:sz w:val="18"/>
        <w:szCs w:val="18"/>
        <w:spacing w:val="-4"/>
      </w:rPr>
      <w:t>-</w:t>
    </w:r>
    <w:r>
      <w:rPr>
        <w:sz w:val="18"/>
        <w:szCs w:val="18"/>
        <w:spacing w:val="7"/>
      </w:rPr>
      <w:t xml:space="preserve"> </w:t>
    </w:r>
    <w:r>
      <w:rPr>
        <w:sz w:val="18"/>
        <w:szCs w:val="18"/>
        <w:spacing w:val="-4"/>
      </w:rPr>
      <w:t>74</w:t>
    </w:r>
    <w:r>
      <w:rPr>
        <w:sz w:val="18"/>
        <w:szCs w:val="18"/>
        <w:spacing w:val="6"/>
      </w:rPr>
      <w:t xml:space="preserve"> </w:t>
    </w:r>
    <w:r>
      <w:rPr>
        <w:sz w:val="18"/>
        <w:szCs w:val="18"/>
        <w:spacing w:val="-4"/>
      </w:rPr>
      <w:t>-</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174"/>
      <w:spacing w:line="173" w:lineRule="auto"/>
      <w:rPr>
        <w:sz w:val="18"/>
        <w:szCs w:val="18"/>
      </w:rPr>
    </w:pPr>
    <w:r>
      <w:rPr>
        <w:sz w:val="18"/>
        <w:szCs w:val="18"/>
        <w:spacing w:val="-4"/>
      </w:rPr>
      <w:t>-</w:t>
    </w:r>
    <w:r>
      <w:rPr>
        <w:sz w:val="18"/>
        <w:szCs w:val="18"/>
        <w:spacing w:val="7"/>
      </w:rPr>
      <w:t xml:space="preserve"> </w:t>
    </w:r>
    <w:r>
      <w:rPr>
        <w:sz w:val="18"/>
        <w:szCs w:val="18"/>
        <w:spacing w:val="-4"/>
      </w:rPr>
      <w:t>75</w:t>
    </w:r>
    <w:r>
      <w:rPr>
        <w:sz w:val="18"/>
        <w:szCs w:val="18"/>
        <w:spacing w:val="6"/>
      </w:rPr>
      <w:t xml:space="preserve"> </w:t>
    </w:r>
    <w:r>
      <w:rPr>
        <w:sz w:val="18"/>
        <w:szCs w:val="18"/>
        <w:spacing w:val="-4"/>
      </w:rPr>
      <w:t>-</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174"/>
      <w:spacing w:line="176" w:lineRule="auto"/>
      <w:rPr>
        <w:sz w:val="18"/>
        <w:szCs w:val="18"/>
      </w:rPr>
    </w:pPr>
    <w:r>
      <w:rPr>
        <w:sz w:val="18"/>
        <w:szCs w:val="18"/>
        <w:spacing w:val="-4"/>
      </w:rPr>
      <w:t>-</w:t>
    </w:r>
    <w:r>
      <w:rPr>
        <w:sz w:val="18"/>
        <w:szCs w:val="18"/>
        <w:spacing w:val="7"/>
      </w:rPr>
      <w:t xml:space="preserve"> </w:t>
    </w:r>
    <w:r>
      <w:rPr>
        <w:sz w:val="18"/>
        <w:szCs w:val="18"/>
        <w:spacing w:val="-4"/>
      </w:rPr>
      <w:t>76</w:t>
    </w:r>
    <w:r>
      <w:rPr>
        <w:sz w:val="18"/>
        <w:szCs w:val="18"/>
        <w:spacing w:val="6"/>
      </w:rPr>
      <w:t xml:space="preserve"> </w:t>
    </w:r>
    <w:r>
      <w:rPr>
        <w:sz w:val="18"/>
        <w:szCs w:val="18"/>
        <w:spacing w:val="-4"/>
      </w:rPr>
      <w:t>-</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3" w:lineRule="auto"/>
      <w:rPr>
        <w:sz w:val="18"/>
        <w:szCs w:val="18"/>
      </w:rPr>
    </w:pPr>
    <w:r>
      <w:rPr>
        <w:sz w:val="18"/>
        <w:szCs w:val="18"/>
        <w:spacing w:val="-4"/>
      </w:rPr>
      <w:t>-</w:t>
    </w:r>
    <w:r>
      <w:rPr>
        <w:sz w:val="18"/>
        <w:szCs w:val="18"/>
        <w:spacing w:val="7"/>
      </w:rPr>
      <w:t xml:space="preserve"> </w:t>
    </w:r>
    <w:r>
      <w:rPr>
        <w:sz w:val="18"/>
        <w:szCs w:val="18"/>
        <w:spacing w:val="-4"/>
      </w:rPr>
      <w:t>77</w:t>
    </w:r>
    <w:r>
      <w:rPr>
        <w:sz w:val="18"/>
        <w:szCs w:val="18"/>
        <w:spacing w:val="6"/>
      </w:rPr>
      <w:t xml:space="preserve"> </w:t>
    </w:r>
    <w:r>
      <w:rPr>
        <w:sz w:val="18"/>
        <w:szCs w:val="18"/>
        <w:spacing w:val="-4"/>
      </w:rPr>
      <w:t>-</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6" w:lineRule="auto"/>
      <w:rPr>
        <w:sz w:val="18"/>
        <w:szCs w:val="18"/>
      </w:rPr>
    </w:pPr>
    <w:r>
      <w:rPr>
        <w:sz w:val="18"/>
        <w:szCs w:val="18"/>
        <w:spacing w:val="-4"/>
      </w:rPr>
      <w:t>-</w:t>
    </w:r>
    <w:r>
      <w:rPr>
        <w:sz w:val="18"/>
        <w:szCs w:val="18"/>
        <w:spacing w:val="7"/>
      </w:rPr>
      <w:t xml:space="preserve"> </w:t>
    </w:r>
    <w:r>
      <w:rPr>
        <w:sz w:val="18"/>
        <w:szCs w:val="18"/>
        <w:spacing w:val="-4"/>
      </w:rPr>
      <w:t>78</w:t>
    </w:r>
    <w:r>
      <w:rPr>
        <w:sz w:val="18"/>
        <w:szCs w:val="18"/>
        <w:spacing w:val="6"/>
      </w:rPr>
      <w:t xml:space="preserve"> </w:t>
    </w:r>
    <w:r>
      <w:rPr>
        <w:sz w:val="18"/>
        <w:szCs w:val="18"/>
        <w:spacing w:val="-4"/>
      </w:rPr>
      <w:t>-</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6" w:lineRule="auto"/>
      <w:rPr>
        <w:sz w:val="18"/>
        <w:szCs w:val="18"/>
      </w:rPr>
    </w:pPr>
    <w:r>
      <w:rPr>
        <w:sz w:val="18"/>
        <w:szCs w:val="18"/>
        <w:spacing w:val="-4"/>
      </w:rPr>
      <w:t>-</w:t>
    </w:r>
    <w:r>
      <w:rPr>
        <w:sz w:val="18"/>
        <w:szCs w:val="18"/>
        <w:spacing w:val="7"/>
      </w:rPr>
      <w:t xml:space="preserve"> </w:t>
    </w:r>
    <w:r>
      <w:rPr>
        <w:sz w:val="18"/>
        <w:szCs w:val="18"/>
        <w:spacing w:val="-4"/>
      </w:rPr>
      <w:t>79</w:t>
    </w:r>
    <w:r>
      <w:rPr>
        <w:sz w:val="18"/>
        <w:szCs w:val="18"/>
        <w:spacing w:val="6"/>
      </w:rPr>
      <w:t xml:space="preserve"> </w:t>
    </w:r>
    <w:r>
      <w:rPr>
        <w:sz w:val="18"/>
        <w:szCs w:val="18"/>
        <w:spacing w:val="-4"/>
      </w:rPr>
      <w:t>-</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10"/>
      <w:spacing w:line="173" w:lineRule="auto"/>
      <w:rPr>
        <w:sz w:val="18"/>
        <w:szCs w:val="18"/>
      </w:rPr>
    </w:pPr>
    <w:r>
      <w:rPr>
        <w:sz w:val="18"/>
        <w:szCs w:val="18"/>
        <w:spacing w:val="-5"/>
      </w:rPr>
      <w:t>-</w:t>
    </w:r>
    <w:r>
      <w:rPr>
        <w:sz w:val="18"/>
        <w:szCs w:val="18"/>
        <w:spacing w:val="4"/>
      </w:rPr>
      <w:t xml:space="preserve"> </w:t>
    </w:r>
    <w:r>
      <w:rPr>
        <w:sz w:val="18"/>
        <w:szCs w:val="18"/>
        <w:spacing w:val="-5"/>
      </w:rPr>
      <w:t>7</w:t>
    </w:r>
    <w:r>
      <w:rPr>
        <w:sz w:val="18"/>
        <w:szCs w:val="18"/>
        <w:spacing w:val="7"/>
      </w:rPr>
      <w:t xml:space="preserve"> </w:t>
    </w:r>
    <w:r>
      <w:rPr>
        <w:sz w:val="18"/>
        <w:szCs w:val="18"/>
        <w:spacing w:val="-5"/>
      </w:rPr>
      <w:t>-</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6" w:lineRule="auto"/>
      <w:rPr>
        <w:sz w:val="18"/>
        <w:szCs w:val="18"/>
      </w:rPr>
    </w:pPr>
    <w:r>
      <w:rPr>
        <w:sz w:val="18"/>
        <w:szCs w:val="18"/>
        <w:spacing w:val="-5"/>
      </w:rPr>
      <w:t>-</w:t>
    </w:r>
    <w:r>
      <w:rPr>
        <w:sz w:val="18"/>
        <w:szCs w:val="18"/>
        <w:spacing w:val="11"/>
      </w:rPr>
      <w:t xml:space="preserve"> </w:t>
    </w:r>
    <w:r>
      <w:rPr>
        <w:sz w:val="18"/>
        <w:szCs w:val="18"/>
        <w:spacing w:val="-5"/>
      </w:rPr>
      <w:t>80</w:t>
    </w:r>
    <w:r>
      <w:rPr>
        <w:sz w:val="18"/>
        <w:szCs w:val="18"/>
        <w:spacing w:val="6"/>
      </w:rPr>
      <w:t xml:space="preserve"> </w:t>
    </w:r>
    <w:r>
      <w:rPr>
        <w:sz w:val="18"/>
        <w:szCs w:val="18"/>
        <w:spacing w:val="-5"/>
      </w:rPr>
      <w:t>-</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6" w:lineRule="auto"/>
      <w:rPr>
        <w:sz w:val="18"/>
        <w:szCs w:val="18"/>
      </w:rPr>
    </w:pPr>
    <w:r>
      <w:rPr>
        <w:sz w:val="18"/>
        <w:szCs w:val="18"/>
        <w:spacing w:val="-5"/>
      </w:rPr>
      <w:t>-</w:t>
    </w:r>
    <w:r>
      <w:rPr>
        <w:sz w:val="18"/>
        <w:szCs w:val="18"/>
        <w:spacing w:val="11"/>
      </w:rPr>
      <w:t xml:space="preserve"> </w:t>
    </w:r>
    <w:r>
      <w:rPr>
        <w:sz w:val="18"/>
        <w:szCs w:val="18"/>
        <w:spacing w:val="-5"/>
      </w:rPr>
      <w:t>81</w:t>
    </w:r>
    <w:r>
      <w:rPr>
        <w:sz w:val="18"/>
        <w:szCs w:val="18"/>
        <w:spacing w:val="6"/>
      </w:rPr>
      <w:t xml:space="preserve"> </w:t>
    </w:r>
    <w:r>
      <w:rPr>
        <w:sz w:val="18"/>
        <w:szCs w:val="18"/>
        <w:spacing w:val="-5"/>
      </w:rPr>
      <w:t>-</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6" w:lineRule="auto"/>
      <w:rPr>
        <w:sz w:val="18"/>
        <w:szCs w:val="18"/>
      </w:rPr>
    </w:pPr>
    <w:r>
      <w:rPr>
        <w:sz w:val="18"/>
        <w:szCs w:val="18"/>
        <w:spacing w:val="-5"/>
      </w:rPr>
      <w:t>-</w:t>
    </w:r>
    <w:r>
      <w:rPr>
        <w:sz w:val="18"/>
        <w:szCs w:val="18"/>
        <w:spacing w:val="11"/>
      </w:rPr>
      <w:t xml:space="preserve"> </w:t>
    </w:r>
    <w:r>
      <w:rPr>
        <w:sz w:val="18"/>
        <w:szCs w:val="18"/>
        <w:spacing w:val="-5"/>
      </w:rPr>
      <w:t>82</w:t>
    </w:r>
    <w:r>
      <w:rPr>
        <w:sz w:val="18"/>
        <w:szCs w:val="18"/>
        <w:spacing w:val="6"/>
      </w:rPr>
      <w:t xml:space="preserve"> </w:t>
    </w:r>
    <w:r>
      <w:rPr>
        <w:sz w:val="18"/>
        <w:szCs w:val="18"/>
        <w:spacing w:val="-5"/>
      </w:rPr>
      <w:t>-</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6" w:lineRule="auto"/>
      <w:rPr>
        <w:sz w:val="18"/>
        <w:szCs w:val="18"/>
      </w:rPr>
    </w:pPr>
    <w:r>
      <w:rPr>
        <w:sz w:val="18"/>
        <w:szCs w:val="18"/>
        <w:spacing w:val="-5"/>
      </w:rPr>
      <w:t>-</w:t>
    </w:r>
    <w:r>
      <w:rPr>
        <w:sz w:val="18"/>
        <w:szCs w:val="18"/>
        <w:spacing w:val="11"/>
      </w:rPr>
      <w:t xml:space="preserve"> </w:t>
    </w:r>
    <w:r>
      <w:rPr>
        <w:sz w:val="18"/>
        <w:szCs w:val="18"/>
        <w:spacing w:val="-5"/>
      </w:rPr>
      <w:t>83</w:t>
    </w:r>
    <w:r>
      <w:rPr>
        <w:sz w:val="18"/>
        <w:szCs w:val="18"/>
        <w:spacing w:val="6"/>
      </w:rPr>
      <w:t xml:space="preserve"> </w:t>
    </w:r>
    <w:r>
      <w:rPr>
        <w:sz w:val="18"/>
        <w:szCs w:val="18"/>
        <w:spacing w:val="-5"/>
      </w:rPr>
      <w:t>-</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64"/>
      <w:spacing w:line="176" w:lineRule="auto"/>
      <w:rPr>
        <w:sz w:val="18"/>
        <w:szCs w:val="18"/>
      </w:rPr>
    </w:pPr>
    <w:r>
      <w:rPr>
        <w:sz w:val="18"/>
        <w:szCs w:val="18"/>
        <w:spacing w:val="-5"/>
      </w:rPr>
      <w:t>-</w:t>
    </w:r>
    <w:r>
      <w:rPr>
        <w:sz w:val="18"/>
        <w:szCs w:val="18"/>
        <w:spacing w:val="11"/>
      </w:rPr>
      <w:t xml:space="preserve"> </w:t>
    </w:r>
    <w:r>
      <w:rPr>
        <w:sz w:val="18"/>
        <w:szCs w:val="18"/>
        <w:spacing w:val="-5"/>
      </w:rPr>
      <w:t>84</w:t>
    </w:r>
    <w:r>
      <w:rPr>
        <w:sz w:val="18"/>
        <w:szCs w:val="18"/>
        <w:spacing w:val="6"/>
      </w:rPr>
      <w:t xml:space="preserve"> </w:t>
    </w:r>
    <w:r>
      <w:rPr>
        <w:sz w:val="18"/>
        <w:szCs w:val="18"/>
        <w:spacing w:val="-5"/>
      </w:rPr>
      <w:t>-</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10"/>
      <w:spacing w:line="176" w:lineRule="auto"/>
      <w:rPr>
        <w:sz w:val="18"/>
        <w:szCs w:val="18"/>
      </w:rPr>
    </w:pPr>
    <w:r>
      <w:rPr>
        <w:sz w:val="18"/>
        <w:szCs w:val="18"/>
        <w:spacing w:val="-7"/>
      </w:rPr>
      <w:t>-</w:t>
    </w:r>
    <w:r>
      <w:rPr>
        <w:sz w:val="18"/>
        <w:szCs w:val="18"/>
        <w:spacing w:val="10"/>
      </w:rPr>
      <w:t xml:space="preserve"> </w:t>
    </w:r>
    <w:r>
      <w:rPr>
        <w:sz w:val="18"/>
        <w:szCs w:val="18"/>
        <w:spacing w:val="-7"/>
      </w:rPr>
      <w:t>8</w:t>
    </w:r>
    <w:r>
      <w:rPr>
        <w:sz w:val="18"/>
        <w:szCs w:val="18"/>
        <w:spacing w:val="7"/>
      </w:rPr>
      <w:t xml:space="preserve"> </w:t>
    </w:r>
    <w:r>
      <w:rPr>
        <w:sz w:val="18"/>
        <w:szCs w:val="18"/>
        <w:spacing w:val="-7"/>
      </w:rPr>
      <w:t>-</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73"/>
      <w:spacing w:before="46" w:line="221" w:lineRule="auto"/>
      <w:rPr>
        <w:rFonts w:ascii="FangSong" w:hAnsi="FangSong" w:eastAsia="FangSong" w:cs="FangSong"/>
        <w:sz w:val="18"/>
        <w:szCs w:val="18"/>
      </w:rPr>
    </w:pPr>
    <w:r>
      <w:pict>
        <v:shape id="_x0000_s18" style="position:absolute;margin-left:54pt;margin-top:48.5pt;mso-position-vertical-relative:page;mso-position-horizontal-relative:page;width:733.95pt;height:0.5pt;z-index:251667456;" o:allowincell="f" fillcolor="#000000" filled="true" stroked="false" coordsize="14679,10" coordorigin="0,0" path="m,l14678,0l14678,9l0,9l0,0xe"/>
      </w:pict>
    </w:r>
    <w:r>
      <w:rPr>
        <w:rFonts w:ascii="FangSong" w:hAnsi="FangSong" w:eastAsia="FangSong" w:cs="FangSong"/>
        <w:sz w:val="18"/>
        <w:szCs w:val="18"/>
        <w:b/>
        <w:bCs/>
        <w:spacing w:val="-2"/>
      </w:rPr>
      <w:t>浙江环益资源利用股份有限公司土壤和地下水自行监测报告（2025年度）</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73"/>
      <w:spacing w:before="46" w:line="221" w:lineRule="auto"/>
      <w:rPr>
        <w:rFonts w:ascii="FangSong" w:hAnsi="FangSong" w:eastAsia="FangSong" w:cs="FangSong"/>
        <w:sz w:val="18"/>
        <w:szCs w:val="18"/>
      </w:rPr>
    </w:pPr>
    <w:r>
      <w:pict>
        <v:shape id="_x0000_s20" style="position:absolute;margin-left:54pt;margin-top:48.5pt;mso-position-vertical-relative:page;mso-position-horizontal-relative:page;width:733.95pt;height:0.5pt;z-index:251668480;" o:allowincell="f" fillcolor="#000000" filled="true" stroked="false" coordsize="14679,10" coordorigin="0,0" path="m,l14678,0l14678,9l0,9l0,0xe"/>
      </w:pict>
    </w:r>
    <w:r>
      <w:rPr>
        <w:rFonts w:ascii="FangSong" w:hAnsi="FangSong" w:eastAsia="FangSong" w:cs="FangSong"/>
        <w:sz w:val="18"/>
        <w:szCs w:val="18"/>
        <w:b/>
        <w:bCs/>
        <w:spacing w:val="-2"/>
      </w:rPr>
      <w:t>浙江环益资源利用股份有限公司土壤和地下水自行监测报告（2025年度）</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73"/>
      <w:spacing w:before="46" w:line="221" w:lineRule="auto"/>
      <w:rPr>
        <w:rFonts w:ascii="FangSong" w:hAnsi="FangSong" w:eastAsia="FangSong" w:cs="FangSong"/>
        <w:sz w:val="18"/>
        <w:szCs w:val="18"/>
      </w:rPr>
    </w:pPr>
    <w:r>
      <w:pict>
        <v:shape id="_x0000_s22" style="position:absolute;margin-left:54pt;margin-top:48.5pt;mso-position-vertical-relative:page;mso-position-horizontal-relative:page;width:733.95pt;height:0.5pt;z-index:251669504;" o:allowincell="f" fillcolor="#000000" filled="true" stroked="false" coordsize="14679,10" coordorigin="0,0" path="m,l14678,0l14678,9l0,9l0,0xe"/>
      </w:pict>
    </w:r>
    <w:r>
      <w:rPr>
        <w:rFonts w:ascii="FangSong" w:hAnsi="FangSong" w:eastAsia="FangSong" w:cs="FangSong"/>
        <w:sz w:val="18"/>
        <w:szCs w:val="18"/>
        <w:b/>
        <w:bCs/>
        <w:spacing w:val="-2"/>
      </w:rPr>
      <w:t>浙江环益资源利用股份有限公司土壤和地下水自行监测报告（2025年度）</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93"/>
      <w:spacing w:before="46" w:line="221" w:lineRule="auto"/>
      <w:rPr>
        <w:rFonts w:ascii="FangSong" w:hAnsi="FangSong" w:eastAsia="FangSong" w:cs="FangSong"/>
        <w:sz w:val="18"/>
        <w:szCs w:val="18"/>
      </w:rPr>
    </w:pPr>
    <w:r>
      <w:pict>
        <v:shape id="_x0000_s24" style="position:absolute;margin-left:54pt;margin-top:54.2pt;mso-position-vertical-relative:page;mso-position-horizontal-relative:page;width:487.3pt;height:0.5pt;z-index:251670528;"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06"/>
      <w:spacing w:before="46" w:line="221" w:lineRule="auto"/>
      <w:rPr>
        <w:rFonts w:ascii="FangSong" w:hAnsi="FangSong" w:eastAsia="FangSong" w:cs="FangSong"/>
        <w:sz w:val="18"/>
        <w:szCs w:val="18"/>
      </w:rPr>
    </w:pPr>
    <w:r>
      <w:pict>
        <v:shape id="_x0000_s26" style="position:absolute;margin-left:54pt;margin-top:54.2pt;mso-position-vertical-relative:page;mso-position-horizontal-relative:page;width:487.3pt;height:0.5pt;z-index:251672576;"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93"/>
      <w:spacing w:before="46" w:line="221" w:lineRule="auto"/>
      <w:rPr>
        <w:rFonts w:ascii="FangSong" w:hAnsi="FangSong" w:eastAsia="FangSong" w:cs="FangSong"/>
        <w:sz w:val="18"/>
        <w:szCs w:val="18"/>
      </w:rPr>
    </w:pPr>
    <w:r>
      <w:pict>
        <v:shape id="_x0000_s28" style="position:absolute;margin-left:54pt;margin-top:54.2pt;mso-position-vertical-relative:page;mso-position-horizontal-relative:page;width:487.3pt;height:0.5pt;z-index:251680768;"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93"/>
      <w:spacing w:before="46" w:line="221" w:lineRule="auto"/>
      <w:rPr>
        <w:rFonts w:ascii="FangSong" w:hAnsi="FangSong" w:eastAsia="FangSong" w:cs="FangSong"/>
        <w:sz w:val="18"/>
        <w:szCs w:val="18"/>
      </w:rPr>
    </w:pPr>
    <w:r>
      <w:pict>
        <v:shape id="_x0000_s30" style="position:absolute;margin-left:54pt;margin-top:54.2pt;mso-position-vertical-relative:page;mso-position-horizontal-relative:page;width:487.3pt;height:0.5pt;z-index:251681792;"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0"/>
      <w:spacing w:before="46" w:line="221" w:lineRule="auto"/>
      <w:rPr>
        <w:rFonts w:ascii="FangSong" w:hAnsi="FangSong" w:eastAsia="FangSong" w:cs="FangSong"/>
        <w:sz w:val="18"/>
        <w:szCs w:val="18"/>
      </w:rPr>
    </w:pPr>
    <w:r>
      <w:pict>
        <v:shape id="_x0000_s32" style="position:absolute;margin-left:72pt;margin-top:45.65pt;mso-position-vertical-relative:page;mso-position-horizontal-relative:page;width:697.95pt;height:0.5pt;z-index:251682816;" o:allowincell="f" fillcolor="#000000" filled="true" stroked="false" coordsize="13959,10" coordorigin="0,0" path="m,l13958,0l13958,9l0,9l0,0xe"/>
      </w:pict>
    </w:r>
    <w:r>
      <w:rPr>
        <w:rFonts w:ascii="FangSong" w:hAnsi="FangSong" w:eastAsia="FangSong" w:cs="FangSong"/>
        <w:sz w:val="18"/>
        <w:szCs w:val="18"/>
        <w:b/>
        <w:bCs/>
        <w:spacing w:val="-2"/>
      </w:rPr>
      <w:t>浙江环益资源利用股份有限公司土壤和地下水自行监测报告（2025年度）</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93"/>
      <w:spacing w:before="46" w:line="221" w:lineRule="auto"/>
      <w:rPr>
        <w:rFonts w:ascii="FangSong" w:hAnsi="FangSong" w:eastAsia="FangSong" w:cs="FangSong"/>
        <w:sz w:val="18"/>
        <w:szCs w:val="18"/>
      </w:rPr>
    </w:pPr>
    <w:r>
      <w:pict>
        <v:shape id="_x0000_s34" style="position:absolute;margin-left:54pt;margin-top:54.2pt;mso-position-vertical-relative:page;mso-position-horizontal-relative:page;width:487.3pt;height:0.5pt;z-index:251683840;"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06"/>
      <w:spacing w:before="46" w:line="221" w:lineRule="auto"/>
      <w:rPr>
        <w:rFonts w:ascii="FangSong" w:hAnsi="FangSong" w:eastAsia="FangSong" w:cs="FangSong"/>
        <w:sz w:val="18"/>
        <w:szCs w:val="18"/>
      </w:rPr>
    </w:pPr>
    <w:r>
      <w:pict>
        <v:shape id="_x0000_s36" style="position:absolute;margin-left:54pt;margin-top:54.2pt;mso-position-vertical-relative:page;mso-position-horizontal-relative:page;width:487.3pt;height:0.5pt;z-index:251684864;"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93"/>
      <w:spacing w:before="46" w:line="221" w:lineRule="auto"/>
      <w:rPr>
        <w:rFonts w:ascii="FangSong" w:hAnsi="FangSong" w:eastAsia="FangSong" w:cs="FangSong"/>
        <w:sz w:val="18"/>
        <w:szCs w:val="18"/>
      </w:rPr>
    </w:pPr>
    <w:r>
      <w:pict>
        <v:shape id="_x0000_s2" style="position:absolute;margin-left:54pt;margin-top:54.2pt;mso-position-vertical-relative:page;mso-position-horizontal-relative:page;width:487.3pt;height:0.5pt;z-index:251658240;"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06"/>
      <w:spacing w:before="46" w:line="221" w:lineRule="auto"/>
      <w:rPr>
        <w:rFonts w:ascii="FangSong" w:hAnsi="FangSong" w:eastAsia="FangSong" w:cs="FangSong"/>
        <w:sz w:val="18"/>
        <w:szCs w:val="18"/>
      </w:rPr>
    </w:pPr>
    <w:r>
      <w:pict>
        <v:shape id="_x0000_s38" style="position:absolute;margin-left:54pt;margin-top:54.2pt;mso-position-vertical-relative:page;mso-position-horizontal-relative:page;width:487.3pt;height:0.5pt;z-index:251685888;"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28"/>
      <w:spacing w:before="46" w:line="221" w:lineRule="auto"/>
      <w:rPr>
        <w:rFonts w:ascii="FangSong" w:hAnsi="FangSong" w:eastAsia="FangSong" w:cs="FangSong"/>
        <w:sz w:val="18"/>
        <w:szCs w:val="18"/>
      </w:rPr>
    </w:pPr>
    <w:r>
      <w:pict>
        <v:shape id="_x0000_s40" style="position:absolute;margin-left:54pt;margin-top:54.2pt;mso-position-vertical-relative:page;mso-position-horizontal-relative:page;width:487.3pt;height:0.5pt;z-index:251686912;"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95"/>
      <w:spacing w:before="46" w:line="221" w:lineRule="auto"/>
      <w:rPr>
        <w:rFonts w:ascii="FangSong" w:hAnsi="FangSong" w:eastAsia="FangSong" w:cs="FangSong"/>
        <w:sz w:val="18"/>
        <w:szCs w:val="18"/>
      </w:rPr>
    </w:pPr>
    <w:r>
      <w:pict>
        <v:shape id="_x0000_s42" style="position:absolute;margin-left:54pt;margin-top:54.2pt;mso-position-vertical-relative:page;mso-position-horizontal-relative:page;width:487.3pt;height:0.5pt;z-index:251692032;"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04"/>
      <w:spacing w:before="46" w:line="221" w:lineRule="auto"/>
      <w:rPr>
        <w:rFonts w:ascii="FangSong" w:hAnsi="FangSong" w:eastAsia="FangSong" w:cs="FangSong"/>
        <w:sz w:val="18"/>
        <w:szCs w:val="18"/>
      </w:rPr>
    </w:pPr>
    <w:r>
      <w:pict>
        <v:shape id="_x0000_s44" style="position:absolute;margin-left:54pt;margin-top:54.2pt;mso-position-vertical-relative:page;mso-position-horizontal-relative:page;width:487.3pt;height:0.5pt;z-index:251694080;"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93"/>
      <w:spacing w:before="46" w:line="221" w:lineRule="auto"/>
      <w:rPr>
        <w:rFonts w:ascii="FangSong" w:hAnsi="FangSong" w:eastAsia="FangSong" w:cs="FangSong"/>
        <w:sz w:val="18"/>
        <w:szCs w:val="18"/>
      </w:rPr>
    </w:pPr>
    <w:r>
      <w:pict>
        <v:shape id="_x0000_s46" style="position:absolute;margin-left:54pt;margin-top:54.2pt;mso-position-vertical-relative:page;mso-position-horizontal-relative:page;width:487.3pt;height:0.5pt;z-index:251695104;"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3"/>
      <w:spacing w:before="46" w:line="221" w:lineRule="auto"/>
      <w:rPr>
        <w:rFonts w:ascii="FangSong" w:hAnsi="FangSong" w:eastAsia="FangSong" w:cs="FangSong"/>
        <w:sz w:val="18"/>
        <w:szCs w:val="18"/>
      </w:rPr>
    </w:pPr>
    <w:r>
      <w:pict>
        <v:shape id="_x0000_s48" style="position:absolute;margin-left:72pt;margin-top:48.5pt;mso-position-vertical-relative:page;mso-position-horizontal-relative:page;width:697.95pt;height:0.5pt;z-index:251697152;" o:allowincell="f" fillcolor="#000000" filled="true" stroked="false" coordsize="13959,10" coordorigin="0,0" path="m,l13958,0l13958,9l0,9l0,0xe"/>
      </w:pict>
    </w:r>
    <w:r>
      <w:rPr>
        <w:rFonts w:ascii="FangSong" w:hAnsi="FangSong" w:eastAsia="FangSong" w:cs="FangSong"/>
        <w:sz w:val="18"/>
        <w:szCs w:val="18"/>
        <w:b/>
        <w:bCs/>
        <w:spacing w:val="-2"/>
      </w:rPr>
      <w:t>浙江环益资源利用股份有限公司土壤和地下水自行监测报告（2025年度）</w:t>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96"/>
      <w:spacing w:before="46" w:line="221" w:lineRule="auto"/>
      <w:rPr>
        <w:rFonts w:ascii="FangSong" w:hAnsi="FangSong" w:eastAsia="FangSong" w:cs="FangSong"/>
        <w:sz w:val="18"/>
        <w:szCs w:val="18"/>
      </w:rPr>
    </w:pPr>
    <w:r>
      <w:pict>
        <v:shape id="_x0000_s52" style="position:absolute;margin-left:54pt;margin-top:54.2pt;mso-position-vertical-relative:page;mso-position-horizontal-relative:page;width:487.3pt;height:0.5pt;z-index:251702272;"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01"/>
      <w:spacing w:before="46" w:line="221" w:lineRule="auto"/>
      <w:rPr>
        <w:rFonts w:ascii="FangSong" w:hAnsi="FangSong" w:eastAsia="FangSong" w:cs="FangSong"/>
        <w:sz w:val="18"/>
        <w:szCs w:val="18"/>
      </w:rPr>
    </w:pPr>
    <w:r>
      <w:pict>
        <v:shape id="_x0000_s54" style="position:absolute;margin-left:54pt;margin-top:54.2pt;mso-position-vertical-relative:page;mso-position-horizontal-relative:page;width:487.3pt;height:0.5pt;z-index:251705344;"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93"/>
      <w:spacing w:before="46" w:line="221" w:lineRule="auto"/>
      <w:rPr>
        <w:rFonts w:ascii="FangSong" w:hAnsi="FangSong" w:eastAsia="FangSong" w:cs="FangSong"/>
        <w:sz w:val="18"/>
        <w:szCs w:val="18"/>
      </w:rPr>
    </w:pPr>
    <w:r>
      <w:pict>
        <v:shape id="_x0000_s56" style="position:absolute;margin-left:54pt;margin-top:54.2pt;mso-position-vertical-relative:page;mso-position-horizontal-relative:page;width:487.3pt;height:0.5pt;z-index:251708416;"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36"/>
      <w:spacing w:before="46" w:line="221" w:lineRule="auto"/>
      <w:rPr>
        <w:rFonts w:ascii="FangSong" w:hAnsi="FangSong" w:eastAsia="FangSong" w:cs="FangSong"/>
        <w:sz w:val="18"/>
        <w:szCs w:val="18"/>
      </w:rPr>
    </w:pPr>
    <w:r>
      <w:pict>
        <v:shape id="_x0000_s58" style="position:absolute;margin-left:54pt;margin-top:54.2pt;mso-position-vertical-relative:page;mso-position-horizontal-relative:page;width:487.3pt;height:0.5pt;z-index:251711488;"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93"/>
      <w:spacing w:before="46" w:line="221" w:lineRule="auto"/>
      <w:rPr>
        <w:rFonts w:ascii="FangSong" w:hAnsi="FangSong" w:eastAsia="FangSong" w:cs="FangSong"/>
        <w:sz w:val="18"/>
        <w:szCs w:val="18"/>
      </w:rPr>
    </w:pPr>
    <w:r>
      <w:pict>
        <v:shape id="_x0000_s4" style="position:absolute;margin-left:54pt;margin-top:54.2pt;mso-position-vertical-relative:page;mso-position-horizontal-relative:page;width:487.3pt;height:0.5pt;z-index:251659264;"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93"/>
      <w:spacing w:before="46" w:line="221" w:lineRule="auto"/>
      <w:rPr>
        <w:rFonts w:ascii="FangSong" w:hAnsi="FangSong" w:eastAsia="FangSong" w:cs="FangSong"/>
        <w:sz w:val="18"/>
        <w:szCs w:val="18"/>
      </w:rPr>
    </w:pPr>
    <w:r>
      <w:pict>
        <v:shape id="_x0000_s60" style="position:absolute;margin-left:54pt;margin-top:54.2pt;mso-position-vertical-relative:page;mso-position-horizontal-relative:page;width:487.3pt;height:0.5pt;z-index:251712512;"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06"/>
      <w:spacing w:before="46" w:line="221" w:lineRule="auto"/>
      <w:rPr>
        <w:rFonts w:ascii="FangSong" w:hAnsi="FangSong" w:eastAsia="FangSong" w:cs="FangSong"/>
        <w:sz w:val="18"/>
        <w:szCs w:val="18"/>
      </w:rPr>
    </w:pPr>
    <w:r>
      <w:pict>
        <v:shape id="_x0000_s62" style="position:absolute;margin-left:54pt;margin-top:54.2pt;mso-position-vertical-relative:page;mso-position-horizontal-relative:page;width:487.3pt;height:0.5pt;z-index:251713536;"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06"/>
      <w:spacing w:before="46" w:line="221" w:lineRule="auto"/>
      <w:rPr>
        <w:rFonts w:ascii="FangSong" w:hAnsi="FangSong" w:eastAsia="FangSong" w:cs="FangSong"/>
        <w:sz w:val="18"/>
        <w:szCs w:val="18"/>
      </w:rPr>
    </w:pPr>
    <w:r>
      <w:pict>
        <v:shape id="_x0000_s64" style="position:absolute;margin-left:54pt;margin-top:54.2pt;mso-position-vertical-relative:page;mso-position-horizontal-relative:page;width:487.3pt;height:0.5pt;z-index:251714560;"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93"/>
      <w:spacing w:before="46" w:line="221" w:lineRule="auto"/>
      <w:rPr>
        <w:rFonts w:ascii="FangSong" w:hAnsi="FangSong" w:eastAsia="FangSong" w:cs="FangSong"/>
        <w:sz w:val="18"/>
        <w:szCs w:val="18"/>
      </w:rPr>
    </w:pPr>
    <w:r>
      <w:pict>
        <v:shape id="_x0000_s66" style="position:absolute;margin-left:54pt;margin-top:54.2pt;mso-position-vertical-relative:page;mso-position-horizontal-relative:page;width:487.3pt;height:0.5pt;z-index:251715584;"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73"/>
      <w:spacing w:before="46" w:line="221" w:lineRule="auto"/>
      <w:rPr>
        <w:rFonts w:ascii="FangSong" w:hAnsi="FangSong" w:eastAsia="FangSong" w:cs="FangSong"/>
        <w:sz w:val="18"/>
        <w:szCs w:val="18"/>
      </w:rPr>
    </w:pPr>
    <w:r>
      <w:pict>
        <v:shape id="_x0000_s68" style="position:absolute;margin-left:54pt;margin-top:45.65pt;mso-position-vertical-relative:page;mso-position-horizontal-relative:page;width:733.95pt;height:0.5pt;z-index:251719680;" o:allowincell="f" fillcolor="#000000" filled="true" stroked="false" coordsize="14679,10" coordorigin="0,0" path="m,l14678,0l14678,9l0,9l0,0xe"/>
      </w:pict>
    </w:r>
    <w:r>
      <w:rPr>
        <w:rFonts w:ascii="FangSong" w:hAnsi="FangSong" w:eastAsia="FangSong" w:cs="FangSong"/>
        <w:sz w:val="18"/>
        <w:szCs w:val="18"/>
        <w:b/>
        <w:bCs/>
        <w:spacing w:val="-2"/>
      </w:rPr>
      <w:t>浙江环益资源利用股份有限公司土壤和地下水自行监测报告（2025年度）</w:t>
    </w:r>
  </w:p>
</w:hdr>
</file>

<file path=word/header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06"/>
      <w:spacing w:before="46" w:line="221" w:lineRule="auto"/>
      <w:rPr>
        <w:rFonts w:ascii="FangSong" w:hAnsi="FangSong" w:eastAsia="FangSong" w:cs="FangSong"/>
        <w:sz w:val="18"/>
        <w:szCs w:val="18"/>
      </w:rPr>
    </w:pPr>
    <w:r>
      <w:pict>
        <v:shape id="_x0000_s70" style="position:absolute;margin-left:54pt;margin-top:54.2pt;mso-position-vertical-relative:page;mso-position-horizontal-relative:page;width:487.3pt;height:0.5pt;z-index:251720704;"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21"/>
      <w:spacing w:before="46" w:line="221" w:lineRule="auto"/>
      <w:rPr>
        <w:rFonts w:ascii="FangSong" w:hAnsi="FangSong" w:eastAsia="FangSong" w:cs="FangSong"/>
        <w:sz w:val="18"/>
        <w:szCs w:val="18"/>
      </w:rPr>
    </w:pPr>
    <w:r>
      <w:pict>
        <v:shape id="_x0000_s72" style="position:absolute;margin-left:54pt;margin-top:54.2pt;mso-position-vertical-relative:page;mso-position-horizontal-relative:page;width:487.3pt;height:0.5pt;z-index:251723776;"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08"/>
      <w:spacing w:before="46" w:line="221" w:lineRule="auto"/>
      <w:rPr>
        <w:rFonts w:ascii="FangSong" w:hAnsi="FangSong" w:eastAsia="FangSong" w:cs="FangSong"/>
        <w:sz w:val="18"/>
        <w:szCs w:val="18"/>
      </w:rPr>
    </w:pPr>
    <w:r>
      <w:pict>
        <v:shape id="_x0000_s74" style="position:absolute;margin-left:72pt;margin-top:37.15pt;mso-position-vertical-relative:page;mso-position-horizontal-relative:page;width:697.95pt;height:0.5pt;z-index:251724800;" o:allowincell="f" fillcolor="#000000" filled="true" stroked="false" coordsize="13959,10" coordorigin="0,0" path="m,l13958,0l13958,9l0,9l0,0xe"/>
      </w:pict>
    </w:r>
    <w:r>
      <w:rPr>
        <w:rFonts w:ascii="FangSong" w:hAnsi="FangSong" w:eastAsia="FangSong" w:cs="FangSong"/>
        <w:sz w:val="18"/>
        <w:szCs w:val="18"/>
        <w:b/>
        <w:bCs/>
        <w:spacing w:val="-2"/>
      </w:rPr>
      <w:t>浙江环益资源利用股份有限公司土壤和地下水自行监测报告（2025年度）</w:t>
    </w:r>
  </w:p>
</w:hdr>
</file>

<file path=word/header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06"/>
      <w:spacing w:before="46" w:line="221" w:lineRule="auto"/>
      <w:rPr>
        <w:rFonts w:ascii="FangSong" w:hAnsi="FangSong" w:eastAsia="FangSong" w:cs="FangSong"/>
        <w:sz w:val="18"/>
        <w:szCs w:val="18"/>
      </w:rPr>
    </w:pPr>
    <w:r>
      <w:pict>
        <v:shape id="_x0000_s76" style="position:absolute;margin-left:54pt;margin-top:54.2pt;mso-position-vertical-relative:page;mso-position-horizontal-relative:page;width:487.3pt;height:0.5pt;z-index:251725824;"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3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93"/>
      <w:spacing w:before="46" w:line="221" w:lineRule="auto"/>
      <w:rPr>
        <w:rFonts w:ascii="FangSong" w:hAnsi="FangSong" w:eastAsia="FangSong" w:cs="FangSong"/>
        <w:sz w:val="18"/>
        <w:szCs w:val="18"/>
      </w:rPr>
    </w:pPr>
    <w:r>
      <w:pict>
        <v:shape id="_x0000_s78" style="position:absolute;margin-left:54pt;margin-top:54.2pt;mso-position-vertical-relative:page;mso-position-horizontal-relative:page;width:487.3pt;height:0.5pt;z-index:251727872;"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93"/>
      <w:spacing w:before="46" w:line="221" w:lineRule="auto"/>
      <w:rPr>
        <w:rFonts w:ascii="FangSong" w:hAnsi="FangSong" w:eastAsia="FangSong" w:cs="FangSong"/>
        <w:sz w:val="18"/>
        <w:szCs w:val="18"/>
      </w:rPr>
    </w:pPr>
    <w:r>
      <w:pict>
        <v:shape id="_x0000_s6" style="position:absolute;margin-left:54pt;margin-top:54.2pt;mso-position-vertical-relative:page;mso-position-horizontal-relative:page;width:487.3pt;height:0.5pt;z-index:251660288;"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4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93"/>
      <w:spacing w:before="46" w:line="221" w:lineRule="auto"/>
      <w:rPr>
        <w:rFonts w:ascii="FangSong" w:hAnsi="FangSong" w:eastAsia="FangSong" w:cs="FangSong"/>
        <w:sz w:val="18"/>
        <w:szCs w:val="18"/>
      </w:rPr>
    </w:pPr>
    <w:r>
      <w:pict>
        <v:shape id="_x0000_s80" style="position:absolute;margin-left:54pt;margin-top:54.2pt;mso-position-vertical-relative:page;mso-position-horizontal-relative:page;width:487.3pt;height:0.5pt;z-index:251728896;"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4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93"/>
      <w:spacing w:before="46" w:line="221" w:lineRule="auto"/>
      <w:rPr>
        <w:rFonts w:ascii="FangSong" w:hAnsi="FangSong" w:eastAsia="FangSong" w:cs="FangSong"/>
        <w:sz w:val="18"/>
        <w:szCs w:val="18"/>
      </w:rPr>
    </w:pPr>
    <w:r>
      <w:pict>
        <v:shape id="_x0000_s82" style="position:absolute;margin-left:54pt;margin-top:54.2pt;mso-position-vertical-relative:page;mso-position-horizontal-relative:page;width:487.3pt;height:0.5pt;z-index:251730944;"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4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93"/>
      <w:spacing w:before="46" w:line="221" w:lineRule="auto"/>
      <w:rPr>
        <w:rFonts w:ascii="FangSong" w:hAnsi="FangSong" w:eastAsia="FangSong" w:cs="FangSong"/>
        <w:sz w:val="18"/>
        <w:szCs w:val="18"/>
      </w:rPr>
    </w:pPr>
    <w:r>
      <w:pict>
        <v:shape id="_x0000_s84" style="position:absolute;margin-left:54pt;margin-top:54.2pt;mso-position-vertical-relative:page;mso-position-horizontal-relative:page;width:487.3pt;height:0.5pt;z-index:251732992;"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4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3"/>
      <w:spacing w:before="46" w:line="221" w:lineRule="auto"/>
      <w:rPr>
        <w:rFonts w:ascii="FangSong" w:hAnsi="FangSong" w:eastAsia="FangSong" w:cs="FangSong"/>
        <w:sz w:val="18"/>
        <w:szCs w:val="18"/>
      </w:rPr>
    </w:pPr>
    <w:r>
      <w:pict>
        <v:shape id="_x0000_s86" style="position:absolute;margin-left:72pt;margin-top:45.65pt;mso-position-vertical-relative:page;mso-position-horizontal-relative:page;width:697.95pt;height:0.5pt;z-index:251734016;" o:allowincell="f" fillcolor="#000000" filled="true" stroked="false" coordsize="13959,10" coordorigin="0,0" path="m,l13958,0l13958,9l0,9l0,0xe"/>
      </w:pict>
    </w:r>
    <w:r>
      <w:rPr>
        <w:rFonts w:ascii="FangSong" w:hAnsi="FangSong" w:eastAsia="FangSong" w:cs="FangSong"/>
        <w:sz w:val="18"/>
        <w:szCs w:val="18"/>
        <w:b/>
        <w:bCs/>
        <w:spacing w:val="-2"/>
      </w:rPr>
      <w:t>浙江环益资源利用股份有限公司土壤和地下水自行监测报告（2025年度）</w:t>
    </w:r>
  </w:p>
</w:hdr>
</file>

<file path=word/header4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93"/>
      <w:spacing w:before="46" w:line="221" w:lineRule="auto"/>
      <w:rPr>
        <w:rFonts w:ascii="FangSong" w:hAnsi="FangSong" w:eastAsia="FangSong" w:cs="FangSong"/>
        <w:sz w:val="18"/>
        <w:szCs w:val="18"/>
      </w:rPr>
    </w:pPr>
    <w:r>
      <w:pict>
        <v:shape id="_x0000_s88" style="position:absolute;margin-left:54pt;margin-top:56.2pt;mso-position-vertical-relative:page;mso-position-horizontal-relative:page;width:487.3pt;height:0.5pt;z-index:251737088;"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95"/>
      <w:spacing w:before="46" w:line="221" w:lineRule="auto"/>
      <w:rPr>
        <w:rFonts w:ascii="FangSong" w:hAnsi="FangSong" w:eastAsia="FangSong" w:cs="FangSong"/>
        <w:sz w:val="18"/>
        <w:szCs w:val="18"/>
      </w:rPr>
    </w:pPr>
    <w:r>
      <w:pict>
        <v:shape id="_x0000_s8" style="position:absolute;margin-left:54pt;margin-top:54.2pt;mso-position-vertical-relative:page;mso-position-horizontal-relative:page;width:487.3pt;height:0.5pt;z-index:251661312;"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98"/>
      <w:spacing w:before="46" w:line="221" w:lineRule="auto"/>
      <w:rPr>
        <w:rFonts w:ascii="FangSong" w:hAnsi="FangSong" w:eastAsia="FangSong" w:cs="FangSong"/>
        <w:sz w:val="18"/>
        <w:szCs w:val="18"/>
      </w:rPr>
    </w:pPr>
    <w:r>
      <w:pict>
        <v:shape id="_x0000_s10" style="position:absolute;margin-left:54pt;margin-top:54.2pt;mso-position-vertical-relative:page;mso-position-horizontal-relative:page;width:487.3pt;height:0.5pt;z-index:251662336;"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93"/>
      <w:spacing w:before="46" w:line="221" w:lineRule="auto"/>
      <w:rPr>
        <w:rFonts w:ascii="FangSong" w:hAnsi="FangSong" w:eastAsia="FangSong" w:cs="FangSong"/>
        <w:sz w:val="18"/>
        <w:szCs w:val="18"/>
      </w:rPr>
    </w:pPr>
    <w:r>
      <w:pict>
        <v:shape id="_x0000_s12" style="position:absolute;margin-left:54pt;margin-top:54.2pt;mso-position-vertical-relative:page;mso-position-horizontal-relative:page;width:487.3pt;height:0.5pt;z-index:251663360;"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93"/>
      <w:spacing w:before="46" w:line="221" w:lineRule="auto"/>
      <w:rPr>
        <w:rFonts w:ascii="FangSong" w:hAnsi="FangSong" w:eastAsia="FangSong" w:cs="FangSong"/>
        <w:sz w:val="18"/>
        <w:szCs w:val="18"/>
      </w:rPr>
    </w:pPr>
    <w:r>
      <w:pict>
        <v:shape id="_x0000_s14" style="position:absolute;margin-left:54pt;margin-top:54.2pt;mso-position-vertical-relative:page;mso-position-horizontal-relative:page;width:487.3pt;height:0.5pt;z-index:251665408;"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93"/>
      <w:spacing w:before="46" w:line="221" w:lineRule="auto"/>
      <w:rPr>
        <w:rFonts w:ascii="FangSong" w:hAnsi="FangSong" w:eastAsia="FangSong" w:cs="FangSong"/>
        <w:sz w:val="18"/>
        <w:szCs w:val="18"/>
      </w:rPr>
    </w:pPr>
    <w:r>
      <w:pict>
        <v:shape id="_x0000_s16" style="position:absolute;margin-left:54pt;margin-top:54.2pt;mso-position-vertical-relative:page;mso-position-horizontal-relative:page;width:487.3pt;height:0.5pt;z-index:251666432;" o:allowincell="f" fillcolor="#000000" filled="true" stroked="false" coordsize="9745,10" coordorigin="0,0" path="m,l9745,0l9745,9l0,9l0,0xe"/>
      </w:pict>
    </w:r>
    <w:r>
      <w:rPr>
        <w:rFonts w:ascii="FangSong" w:hAnsi="FangSong" w:eastAsia="FangSong" w:cs="FangSong"/>
        <w:sz w:val="18"/>
        <w:szCs w:val="18"/>
        <w:b/>
        <w:bCs/>
        <w:spacing w:val="-2"/>
      </w:rPr>
      <w:t>浙江环益资源利用股份有限公司土壤和地下水自行监测报告（2025年度）</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Times New Roman" w:hAnsi="Times New Roman" w:eastAsia="Times New Roman" w:cs="Times New Roman"/>
      <w:sz w:val="20"/>
      <w:szCs w:val="20"/>
      <w:lang w:val="en-US" w:eastAsia="en-US" w:bidi="ar-SA"/>
    </w:rPr>
  </w:style>
  <w:style w:type="paragraph" w:styleId="TableText">
    <w:name w:val="Table Text"/>
    <w:basedOn w:val="Normal"/>
    <w:semiHidden/>
    <w:qFormat/>
    <w:pPr/>
    <w:rPr>
      <w:rFonts w:ascii="FangSong" w:hAnsi="FangSong" w:eastAsia="FangSong" w:cs="FangSong"/>
      <w:sz w:val="20"/>
      <w:szCs w:val="20"/>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39.jpeg"/><Relationship Id="rId98" Type="http://schemas.openxmlformats.org/officeDocument/2006/relationships/footer" Target="footer37.xml"/><Relationship Id="rId97" Type="http://schemas.openxmlformats.org/officeDocument/2006/relationships/header" Target="header23.xml"/><Relationship Id="rId96" Type="http://schemas.openxmlformats.org/officeDocument/2006/relationships/image" Target="media/image38.jpeg"/><Relationship Id="rId95" Type="http://schemas.openxmlformats.org/officeDocument/2006/relationships/image" Target="media/image37.jpeg"/><Relationship Id="rId94" Type="http://schemas.openxmlformats.org/officeDocument/2006/relationships/image" Target="media/image36.jpeg"/><Relationship Id="rId93" Type="http://schemas.openxmlformats.org/officeDocument/2006/relationships/image" Target="media/image35.jpeg"/><Relationship Id="rId92" Type="http://schemas.openxmlformats.org/officeDocument/2006/relationships/image" Target="media/image34.jpeg"/><Relationship Id="rId91" Type="http://schemas.openxmlformats.org/officeDocument/2006/relationships/image" Target="media/image33.jpeg"/><Relationship Id="rId90" Type="http://schemas.openxmlformats.org/officeDocument/2006/relationships/image" Target="media/image32.jpeg"/><Relationship Id="rId9" Type="http://schemas.openxmlformats.org/officeDocument/2006/relationships/header" Target="header4.xml"/><Relationship Id="rId89" Type="http://schemas.openxmlformats.org/officeDocument/2006/relationships/image" Target="media/image31.jpeg"/><Relationship Id="rId88" Type="http://schemas.openxmlformats.org/officeDocument/2006/relationships/footer" Target="footer36.xml"/><Relationship Id="rId87" Type="http://schemas.openxmlformats.org/officeDocument/2006/relationships/image" Target="media/image30.jpeg"/><Relationship Id="rId86" Type="http://schemas.openxmlformats.org/officeDocument/2006/relationships/image" Target="media/image29.jpeg"/><Relationship Id="rId85" Type="http://schemas.openxmlformats.org/officeDocument/2006/relationships/image" Target="media/image28.jpeg"/><Relationship Id="rId84" Type="http://schemas.openxmlformats.org/officeDocument/2006/relationships/footer" Target="footer35.xml"/><Relationship Id="rId83" Type="http://schemas.openxmlformats.org/officeDocument/2006/relationships/header" Target="header22.xml"/><Relationship Id="rId82" Type="http://schemas.openxmlformats.org/officeDocument/2006/relationships/footer" Target="footer34.xml"/><Relationship Id="rId81" Type="http://schemas.openxmlformats.org/officeDocument/2006/relationships/image" Target="media/image27.jpeg"/><Relationship Id="rId80" Type="http://schemas.openxmlformats.org/officeDocument/2006/relationships/footer" Target="footer33.xml"/><Relationship Id="rId8" Type="http://schemas.openxmlformats.org/officeDocument/2006/relationships/footer" Target="footer3.xml"/><Relationship Id="rId79" Type="http://schemas.openxmlformats.org/officeDocument/2006/relationships/footer" Target="footer32.xml"/><Relationship Id="rId78" Type="http://schemas.openxmlformats.org/officeDocument/2006/relationships/footer" Target="footer31.xml"/><Relationship Id="rId77" Type="http://schemas.openxmlformats.org/officeDocument/2006/relationships/footer" Target="footer30.xml"/><Relationship Id="rId76" Type="http://schemas.openxmlformats.org/officeDocument/2006/relationships/header" Target="header21.xml"/><Relationship Id="rId75" Type="http://schemas.openxmlformats.org/officeDocument/2006/relationships/footer" Target="footer29.xml"/><Relationship Id="rId74" Type="http://schemas.openxmlformats.org/officeDocument/2006/relationships/header" Target="header20.xml"/><Relationship Id="rId73" Type="http://schemas.openxmlformats.org/officeDocument/2006/relationships/footer" Target="footer28.xml"/><Relationship Id="rId72" Type="http://schemas.openxmlformats.org/officeDocument/2006/relationships/header" Target="header19.xml"/><Relationship Id="rId71" Type="http://schemas.openxmlformats.org/officeDocument/2006/relationships/image" Target="media/image26.jpeg"/><Relationship Id="rId70" Type="http://schemas.openxmlformats.org/officeDocument/2006/relationships/footer" Target="footer27.xml"/><Relationship Id="rId7" Type="http://schemas.openxmlformats.org/officeDocument/2006/relationships/header" Target="header3.xml"/><Relationship Id="rId69" Type="http://schemas.openxmlformats.org/officeDocument/2006/relationships/header" Target="header18.xml"/><Relationship Id="rId68" Type="http://schemas.openxmlformats.org/officeDocument/2006/relationships/image" Target="media/image25.jpeg"/><Relationship Id="rId67" Type="http://schemas.openxmlformats.org/officeDocument/2006/relationships/footer" Target="footer26.xml"/><Relationship Id="rId66" Type="http://schemas.openxmlformats.org/officeDocument/2006/relationships/header" Target="header17.xml"/><Relationship Id="rId65" Type="http://schemas.openxmlformats.org/officeDocument/2006/relationships/footer" Target="footer25.xml"/><Relationship Id="rId64" Type="http://schemas.openxmlformats.org/officeDocument/2006/relationships/header" Target="header16.xml"/><Relationship Id="rId63" Type="http://schemas.openxmlformats.org/officeDocument/2006/relationships/footer" Target="footer24.xml"/><Relationship Id="rId62" Type="http://schemas.openxmlformats.org/officeDocument/2006/relationships/header" Target="header15.xml"/><Relationship Id="rId61" Type="http://schemas.openxmlformats.org/officeDocument/2006/relationships/footer" Target="footer23.xml"/><Relationship Id="rId60" Type="http://schemas.openxmlformats.org/officeDocument/2006/relationships/footer" Target="footer22.xml"/><Relationship Id="rId6" Type="http://schemas.openxmlformats.org/officeDocument/2006/relationships/footer" Target="footer2.xml"/><Relationship Id="rId59" Type="http://schemas.openxmlformats.org/officeDocument/2006/relationships/image" Target="media/image24.jpeg"/><Relationship Id="rId58" Type="http://schemas.openxmlformats.org/officeDocument/2006/relationships/footer" Target="footer21.xml"/><Relationship Id="rId57" Type="http://schemas.openxmlformats.org/officeDocument/2006/relationships/image" Target="media/image23.jpeg"/><Relationship Id="rId56" Type="http://schemas.openxmlformats.org/officeDocument/2006/relationships/image" Target="media/image22.jpeg"/><Relationship Id="rId55" Type="http://schemas.openxmlformats.org/officeDocument/2006/relationships/footer" Target="footer20.xml"/><Relationship Id="rId54" Type="http://schemas.openxmlformats.org/officeDocument/2006/relationships/image" Target="media/image21.jpeg"/><Relationship Id="rId53" Type="http://schemas.openxmlformats.org/officeDocument/2006/relationships/image" Target="media/image20.jpeg"/><Relationship Id="rId52" Type="http://schemas.openxmlformats.org/officeDocument/2006/relationships/footer" Target="footer19.xml"/><Relationship Id="rId51" Type="http://schemas.openxmlformats.org/officeDocument/2006/relationships/image" Target="media/image19.jpeg"/><Relationship Id="rId50" Type="http://schemas.openxmlformats.org/officeDocument/2006/relationships/image" Target="media/image18.jpeg"/><Relationship Id="rId5" Type="http://schemas.openxmlformats.org/officeDocument/2006/relationships/header" Target="header2.xml"/><Relationship Id="rId49" Type="http://schemas.openxmlformats.org/officeDocument/2006/relationships/footer" Target="footer18.xml"/><Relationship Id="rId48" Type="http://schemas.openxmlformats.org/officeDocument/2006/relationships/image" Target="media/image17.jpeg"/><Relationship Id="rId47" Type="http://schemas.openxmlformats.org/officeDocument/2006/relationships/image" Target="media/image16.jpeg"/><Relationship Id="rId46" Type="http://schemas.openxmlformats.org/officeDocument/2006/relationships/footer" Target="footer17.xml"/><Relationship Id="rId45" Type="http://schemas.openxmlformats.org/officeDocument/2006/relationships/image" Target="media/image15.jpeg"/><Relationship Id="rId44" Type="http://schemas.openxmlformats.org/officeDocument/2006/relationships/image" Target="media/image14.jpeg"/><Relationship Id="rId43" Type="http://schemas.openxmlformats.org/officeDocument/2006/relationships/footer" Target="footer16.xml"/><Relationship Id="rId42" Type="http://schemas.openxmlformats.org/officeDocument/2006/relationships/header" Target="header14.xml"/><Relationship Id="rId41" Type="http://schemas.openxmlformats.org/officeDocument/2006/relationships/image" Target="media/image13.jpeg"/><Relationship Id="rId40" Type="http://schemas.openxmlformats.org/officeDocument/2006/relationships/footer" Target="footer15.xml"/><Relationship Id="rId4" Type="http://schemas.openxmlformats.org/officeDocument/2006/relationships/image" Target="media/image2.jpeg"/><Relationship Id="rId39" Type="http://schemas.openxmlformats.org/officeDocument/2006/relationships/footer" Target="footer14.xml"/><Relationship Id="rId38" Type="http://schemas.openxmlformats.org/officeDocument/2006/relationships/header" Target="header13.xml"/><Relationship Id="rId37" Type="http://schemas.openxmlformats.org/officeDocument/2006/relationships/footer" Target="footer13.xml"/><Relationship Id="rId36" Type="http://schemas.openxmlformats.org/officeDocument/2006/relationships/header" Target="header12.xml"/><Relationship Id="rId35" Type="http://schemas.openxmlformats.org/officeDocument/2006/relationships/footer" Target="footer12.xml"/><Relationship Id="rId34" Type="http://schemas.openxmlformats.org/officeDocument/2006/relationships/header" Target="header11.xml"/><Relationship Id="rId33" Type="http://schemas.openxmlformats.org/officeDocument/2006/relationships/footer" Target="footer11.xml"/><Relationship Id="rId32" Type="http://schemas.openxmlformats.org/officeDocument/2006/relationships/header" Target="header10.xml"/><Relationship Id="rId31" Type="http://schemas.openxmlformats.org/officeDocument/2006/relationships/image" Target="media/image12.jpeg"/><Relationship Id="rId30" Type="http://schemas.openxmlformats.org/officeDocument/2006/relationships/footer" Target="footer10.xml"/><Relationship Id="rId3" Type="http://schemas.openxmlformats.org/officeDocument/2006/relationships/image" Target="media/image1.jpeg"/><Relationship Id="rId29" Type="http://schemas.openxmlformats.org/officeDocument/2006/relationships/header" Target="header9.xml"/><Relationship Id="rId28" Type="http://schemas.openxmlformats.org/officeDocument/2006/relationships/footer" Target="footer9.xml"/><Relationship Id="rId27" Type="http://schemas.openxmlformats.org/officeDocument/2006/relationships/header" Target="header8.xml"/><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footer" Target="footer8.xml"/><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footer" Target="footer1.xml"/><Relationship Id="rId19" Type="http://schemas.openxmlformats.org/officeDocument/2006/relationships/footer" Target="footer7.xml"/><Relationship Id="rId182" Type="http://schemas.openxmlformats.org/officeDocument/2006/relationships/fontTable" Target="fontTable.xml"/><Relationship Id="rId181" Type="http://schemas.openxmlformats.org/officeDocument/2006/relationships/styles" Target="styles.xml"/><Relationship Id="rId180" Type="http://schemas.openxmlformats.org/officeDocument/2006/relationships/settings" Target="settings.xml"/><Relationship Id="rId18" Type="http://schemas.openxmlformats.org/officeDocument/2006/relationships/header" Target="header7.xml"/><Relationship Id="rId179" Type="http://schemas.openxmlformats.org/officeDocument/2006/relationships/image" Target="media/image51.png"/><Relationship Id="rId178" Type="http://schemas.openxmlformats.org/officeDocument/2006/relationships/footer" Target="footer84.xml"/><Relationship Id="rId177" Type="http://schemas.openxmlformats.org/officeDocument/2006/relationships/image" Target="media/image50.png"/><Relationship Id="rId176" Type="http://schemas.openxmlformats.org/officeDocument/2006/relationships/footer" Target="footer83.xml"/><Relationship Id="rId175" Type="http://schemas.openxmlformats.org/officeDocument/2006/relationships/image" Target="media/image49.png"/><Relationship Id="rId174" Type="http://schemas.openxmlformats.org/officeDocument/2006/relationships/footer" Target="footer82.xml"/><Relationship Id="rId173" Type="http://schemas.openxmlformats.org/officeDocument/2006/relationships/image" Target="media/image48.png"/><Relationship Id="rId172" Type="http://schemas.openxmlformats.org/officeDocument/2006/relationships/footer" Target="footer81.xml"/><Relationship Id="rId171" Type="http://schemas.openxmlformats.org/officeDocument/2006/relationships/image" Target="media/image47.png"/><Relationship Id="rId170" Type="http://schemas.openxmlformats.org/officeDocument/2006/relationships/footer" Target="footer80.xml"/><Relationship Id="rId17" Type="http://schemas.openxmlformats.org/officeDocument/2006/relationships/image" Target="media/image5.jpeg"/><Relationship Id="rId169" Type="http://schemas.openxmlformats.org/officeDocument/2006/relationships/image" Target="media/image46.png"/><Relationship Id="rId168" Type="http://schemas.openxmlformats.org/officeDocument/2006/relationships/footer" Target="footer79.xml"/><Relationship Id="rId167" Type="http://schemas.openxmlformats.org/officeDocument/2006/relationships/image" Target="media/image45.png"/><Relationship Id="rId166" Type="http://schemas.openxmlformats.org/officeDocument/2006/relationships/footer" Target="footer78.xml"/><Relationship Id="rId165" Type="http://schemas.openxmlformats.org/officeDocument/2006/relationships/header" Target="header44.xml"/><Relationship Id="rId164" Type="http://schemas.openxmlformats.org/officeDocument/2006/relationships/image" Target="media/image44.png"/><Relationship Id="rId163" Type="http://schemas.openxmlformats.org/officeDocument/2006/relationships/footer" Target="footer77.xml"/><Relationship Id="rId162" Type="http://schemas.openxmlformats.org/officeDocument/2006/relationships/footer" Target="footer76.xml"/><Relationship Id="rId161" Type="http://schemas.openxmlformats.org/officeDocument/2006/relationships/footer" Target="footer75.xml"/><Relationship Id="rId160" Type="http://schemas.openxmlformats.org/officeDocument/2006/relationships/header" Target="header43.xml"/><Relationship Id="rId16" Type="http://schemas.openxmlformats.org/officeDocument/2006/relationships/footer" Target="footer6.xml"/><Relationship Id="rId159" Type="http://schemas.openxmlformats.org/officeDocument/2006/relationships/footer" Target="footer74.xml"/><Relationship Id="rId158" Type="http://schemas.openxmlformats.org/officeDocument/2006/relationships/header" Target="header42.xml"/><Relationship Id="rId157" Type="http://schemas.openxmlformats.org/officeDocument/2006/relationships/footer" Target="footer73.xml"/><Relationship Id="rId156" Type="http://schemas.openxmlformats.org/officeDocument/2006/relationships/footer" Target="footer72.xml"/><Relationship Id="rId155" Type="http://schemas.openxmlformats.org/officeDocument/2006/relationships/header" Target="header41.xml"/><Relationship Id="rId154" Type="http://schemas.openxmlformats.org/officeDocument/2006/relationships/footer" Target="footer71.xml"/><Relationship Id="rId153" Type="http://schemas.openxmlformats.org/officeDocument/2006/relationships/footer" Target="footer70.xml"/><Relationship Id="rId152" Type="http://schemas.openxmlformats.org/officeDocument/2006/relationships/header" Target="header40.xml"/><Relationship Id="rId151" Type="http://schemas.openxmlformats.org/officeDocument/2006/relationships/footer" Target="footer69.xml"/><Relationship Id="rId150" Type="http://schemas.openxmlformats.org/officeDocument/2006/relationships/header" Target="header39.xml"/><Relationship Id="rId15" Type="http://schemas.openxmlformats.org/officeDocument/2006/relationships/header" Target="header6.xml"/><Relationship Id="rId149" Type="http://schemas.openxmlformats.org/officeDocument/2006/relationships/footer" Target="footer68.xml"/><Relationship Id="rId148" Type="http://schemas.openxmlformats.org/officeDocument/2006/relationships/footer" Target="footer67.xml"/><Relationship Id="rId147" Type="http://schemas.openxmlformats.org/officeDocument/2006/relationships/header" Target="header38.xml"/><Relationship Id="rId146" Type="http://schemas.openxmlformats.org/officeDocument/2006/relationships/footer" Target="footer66.xml"/><Relationship Id="rId145" Type="http://schemas.openxmlformats.org/officeDocument/2006/relationships/header" Target="header37.xml"/><Relationship Id="rId144" Type="http://schemas.openxmlformats.org/officeDocument/2006/relationships/footer" Target="footer65.xml"/><Relationship Id="rId143" Type="http://schemas.openxmlformats.org/officeDocument/2006/relationships/header" Target="header36.xml"/><Relationship Id="rId142" Type="http://schemas.openxmlformats.org/officeDocument/2006/relationships/footer" Target="footer64.xml"/><Relationship Id="rId141" Type="http://schemas.openxmlformats.org/officeDocument/2006/relationships/footer" Target="footer63.xml"/><Relationship Id="rId140" Type="http://schemas.openxmlformats.org/officeDocument/2006/relationships/footer" Target="footer62.xml"/><Relationship Id="rId14" Type="http://schemas.openxmlformats.org/officeDocument/2006/relationships/image" Target="media/image4.jpeg"/><Relationship Id="rId139" Type="http://schemas.openxmlformats.org/officeDocument/2006/relationships/header" Target="header35.xml"/><Relationship Id="rId138" Type="http://schemas.openxmlformats.org/officeDocument/2006/relationships/footer" Target="footer61.xml"/><Relationship Id="rId137" Type="http://schemas.openxmlformats.org/officeDocument/2006/relationships/header" Target="header34.xml"/><Relationship Id="rId136" Type="http://schemas.openxmlformats.org/officeDocument/2006/relationships/footer" Target="footer60.xml"/><Relationship Id="rId135" Type="http://schemas.openxmlformats.org/officeDocument/2006/relationships/footer" Target="footer59.xml"/><Relationship Id="rId134" Type="http://schemas.openxmlformats.org/officeDocument/2006/relationships/footer" Target="footer58.xml"/><Relationship Id="rId133" Type="http://schemas.openxmlformats.org/officeDocument/2006/relationships/footer" Target="footer57.xml"/><Relationship Id="rId132" Type="http://schemas.openxmlformats.org/officeDocument/2006/relationships/header" Target="header33.xml"/><Relationship Id="rId131" Type="http://schemas.openxmlformats.org/officeDocument/2006/relationships/footer" Target="footer56.xml"/><Relationship Id="rId130" Type="http://schemas.openxmlformats.org/officeDocument/2006/relationships/header" Target="header32.xml"/><Relationship Id="rId13" Type="http://schemas.openxmlformats.org/officeDocument/2006/relationships/footer" Target="footer5.xml"/><Relationship Id="rId129" Type="http://schemas.openxmlformats.org/officeDocument/2006/relationships/footer" Target="footer55.xml"/><Relationship Id="rId128" Type="http://schemas.openxmlformats.org/officeDocument/2006/relationships/header" Target="header31.xml"/><Relationship Id="rId127" Type="http://schemas.openxmlformats.org/officeDocument/2006/relationships/footer" Target="footer54.xml"/><Relationship Id="rId126" Type="http://schemas.openxmlformats.org/officeDocument/2006/relationships/header" Target="header30.xml"/><Relationship Id="rId125" Type="http://schemas.openxmlformats.org/officeDocument/2006/relationships/footer" Target="footer53.xml"/><Relationship Id="rId124" Type="http://schemas.openxmlformats.org/officeDocument/2006/relationships/header" Target="header29.xml"/><Relationship Id="rId123" Type="http://schemas.openxmlformats.org/officeDocument/2006/relationships/footer" Target="footer52.xml"/><Relationship Id="rId122" Type="http://schemas.openxmlformats.org/officeDocument/2006/relationships/image" Target="media/image43.jpeg"/><Relationship Id="rId121" Type="http://schemas.openxmlformats.org/officeDocument/2006/relationships/footer" Target="footer51.xml"/><Relationship Id="rId120" Type="http://schemas.openxmlformats.org/officeDocument/2006/relationships/footer" Target="footer50.xml"/><Relationship Id="rId12" Type="http://schemas.openxmlformats.org/officeDocument/2006/relationships/header" Target="header5.xml"/><Relationship Id="rId119" Type="http://schemas.openxmlformats.org/officeDocument/2006/relationships/header" Target="header28.xml"/><Relationship Id="rId118" Type="http://schemas.openxmlformats.org/officeDocument/2006/relationships/image" Target="media/image42.jpeg"/><Relationship Id="rId117" Type="http://schemas.openxmlformats.org/officeDocument/2006/relationships/footer" Target="footer49.xml"/><Relationship Id="rId116" Type="http://schemas.openxmlformats.org/officeDocument/2006/relationships/footer" Target="footer48.xml"/><Relationship Id="rId115" Type="http://schemas.openxmlformats.org/officeDocument/2006/relationships/footer" Target="footer47.xml"/><Relationship Id="rId114" Type="http://schemas.openxmlformats.org/officeDocument/2006/relationships/header" Target="header27.xml"/><Relationship Id="rId113" Type="http://schemas.openxmlformats.org/officeDocument/2006/relationships/footer" Target="footer46.xml"/><Relationship Id="rId112" Type="http://schemas.openxmlformats.org/officeDocument/2006/relationships/footer" Target="footer45.xml"/><Relationship Id="rId111" Type="http://schemas.openxmlformats.org/officeDocument/2006/relationships/footer" Target="footer44.xml"/><Relationship Id="rId110" Type="http://schemas.openxmlformats.org/officeDocument/2006/relationships/header" Target="header26.xml"/><Relationship Id="rId11" Type="http://schemas.openxmlformats.org/officeDocument/2006/relationships/image" Target="media/image3.png"/><Relationship Id="rId109" Type="http://schemas.openxmlformats.org/officeDocument/2006/relationships/footer" Target="footer43.xml"/><Relationship Id="rId108" Type="http://schemas.openxmlformats.org/officeDocument/2006/relationships/footer" Target="footer42.xml"/><Relationship Id="rId107" Type="http://schemas.openxmlformats.org/officeDocument/2006/relationships/footer" Target="footer41.xml"/><Relationship Id="rId106" Type="http://schemas.openxmlformats.org/officeDocument/2006/relationships/footer" Target="footer40.xml"/><Relationship Id="rId105" Type="http://schemas.openxmlformats.org/officeDocument/2006/relationships/header" Target="header25.xml"/><Relationship Id="rId104" Type="http://schemas.openxmlformats.org/officeDocument/2006/relationships/image" Target="media/image41.jpeg"/><Relationship Id="rId103" Type="http://schemas.openxmlformats.org/officeDocument/2006/relationships/footer" Target="footer39.xml"/><Relationship Id="rId102" Type="http://schemas.openxmlformats.org/officeDocument/2006/relationships/footer" Target="footer38.xml"/><Relationship Id="rId101" Type="http://schemas.openxmlformats.org/officeDocument/2006/relationships/header" Target="header24.xml"/><Relationship Id="rId100" Type="http://schemas.openxmlformats.org/officeDocument/2006/relationships/image" Target="media/image40.jpeg"/><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2025-09-09T14:28:36Z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2025-09-23T09:01:18</vt:filetime>
  </property>
</Properties>
</file>